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pPr>
      <w:r>
        <w:rPr>
          <w:rFonts w:ascii="Calibri" w:hAnsi="Calibri"/>
          <w:b/>
          <w:i w:val="0"/>
          <w:color w:val="1F4E79"/>
          <w:sz w:val="38"/>
        </w:rPr>
        <w:t>NeuroMPS: A Provenance-Tracked MEA Data Asset and a Calibrated Two-Compartment Digital Twin</w:t>
      </w:r>
    </w:p>
    <w:p>
      <w:pPr>
        <w:spacing w:after="120"/>
      </w:pPr>
      <w:r>
        <w:rPr>
          <w:rFonts w:ascii="Calibri" w:hAnsi="Calibri"/>
          <w:b/>
          <w:i/>
          <w:color w:val="555555"/>
          <w:sz w:val="21"/>
        </w:rPr>
        <w:t>Technical report.</w:t>
      </w:r>
      <w:r>
        <w:rPr>
          <w:rFonts w:ascii="Calibri" w:hAnsi="Calibri"/>
          <w:b w:val="0"/>
          <w:i/>
          <w:color w:val="555555"/>
          <w:sz w:val="21"/>
        </w:rPr>
        <w:t xml:space="preserve"> Entry for the AI4S Open Innovation: AI + Organ-on-a-Chip challenge (5th Pazhou Algorithm Competition).</w:t>
      </w:r>
    </w:p>
    <w:p>
      <w:pPr>
        <w:spacing w:after="120"/>
        <w:ind w:left="360"/>
      </w:pPr>
      <w:r>
        <w:rPr>
          <w:rFonts w:ascii="Calibri" w:hAnsi="Calibri"/>
          <w:b/>
          <w:i/>
          <w:color w:val="555555"/>
          <w:sz w:val="21"/>
        </w:rPr>
        <w:t>Research decision-support only.</w:t>
      </w:r>
      <w:r>
        <w:rPr>
          <w:rFonts w:ascii="Calibri" w:hAnsi="Calibri"/>
          <w:b w:val="0"/>
          <w:i/>
          <w:color w:val="555555"/>
          <w:sz w:val="21"/>
        </w:rPr>
        <w:t xml:space="preserve"> Nothing here is an efficacy, safety, diagnostic or clinical claim, and nothing here should be used to make one.</w:t>
      </w:r>
    </w:p>
    <w:p>
      <w:pPr>
        <w:spacing w:after="120"/>
      </w:pPr>
      <w:r>
        <w:rPr>
          <w:rFonts w:ascii="Calibri" w:hAnsi="Calibri"/>
          <w:b/>
          <w:i w:val="0"/>
          <w:color w:val="156082"/>
          <w:sz w:val="21"/>
        </w:rPr>
        <w:t>Submission category: End-to-End System.</w:t>
      </w:r>
      <w:r>
        <w:rPr>
          <w:rFonts w:ascii="Calibri" w:hAnsi="Calibri"/>
          <w:b w:val="0"/>
          <w:i w:val="0"/>
          <w:color w:val="222222"/>
          <w:sz w:val="21"/>
        </w:rPr>
        <w:t xml:space="preserve"> We built a complete path from public recordings to actionable output: provenance-enforced ingestion, a standardized feature layer, models, a calibrated digital twin, and a harness that tells us which measurements the data can and cannot support. An interactive demo sits on top.</w:t>
      </w:r>
    </w:p>
    <w:p>
      <w:pPr>
        <w:keepNext/>
        <w:spacing w:after="120"/>
      </w:pPr>
      <w:r>
        <w:rPr>
          <w:rFonts w:ascii="Calibri" w:hAnsi="Calibri"/>
          <w:b/>
          <w:i w:val="0"/>
          <w:color w:val="156082"/>
          <w:sz w:val="21"/>
        </w:rPr>
        <w:t>Team.</w:t>
      </w:r>
      <w:r>
        <w:rPr>
          <w:rFonts w:ascii="Calibri" w:hAnsi="Calibri"/>
          <w:b w:val="0"/>
          <w:i w:val="0"/>
          <w:color w:val="222222"/>
          <w:sz w:val="21"/>
        </w:rPr>
        <w:t xml:space="preserve"> We combine health science with mathematics and machine learning.</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1657"/>
        <w:gridCol w:w="2851"/>
        <w:gridCol w:w="3989"/>
      </w:tblGrid>
      <w:tr>
        <w:trPr>
          <w:cantSplit/>
          <w:tblHeader/>
        </w:trPr>
        <w:tc>
          <w:tcPr>
            <w:tcW w:type="dxa" w:w="1657"/>
            <w:shd w:val="clear" w:color="auto" w:fill="1F4E79"/>
            <w:vAlign w:val="center"/>
          </w:tcPr>
          <w:p>
            <w:pPr>
              <w:keepNext/>
              <w:spacing w:after="0"/>
            </w:pPr>
            <w:r>
              <w:rPr>
                <w:rFonts w:ascii="Calibri" w:hAnsi="Calibri"/>
                <w:b/>
                <w:i w:val="0"/>
                <w:color w:val="FFFFFF"/>
                <w:sz w:val="20"/>
              </w:rPr>
              <w:t>member</w:t>
            </w:r>
          </w:p>
        </w:tc>
        <w:tc>
          <w:tcPr>
            <w:tcW w:type="dxa" w:w="2851"/>
            <w:shd w:val="clear" w:color="auto" w:fill="1F4E79"/>
            <w:vAlign w:val="center"/>
          </w:tcPr>
          <w:p>
            <w:pPr>
              <w:keepNext/>
              <w:spacing w:after="0"/>
            </w:pPr>
            <w:r>
              <w:rPr>
                <w:rFonts w:ascii="Calibri" w:hAnsi="Calibri"/>
                <w:b/>
                <w:i w:val="0"/>
                <w:color w:val="FFFFFF"/>
                <w:sz w:val="20"/>
              </w:rPr>
              <w:t>role</w:t>
            </w:r>
          </w:p>
        </w:tc>
        <w:tc>
          <w:tcPr>
            <w:tcW w:type="dxa" w:w="3989"/>
            <w:shd w:val="clear" w:color="auto" w:fill="1F4E79"/>
            <w:vAlign w:val="center"/>
          </w:tcPr>
          <w:p>
            <w:pPr>
              <w:keepNext/>
              <w:spacing w:after="0"/>
            </w:pPr>
            <w:r>
              <w:rPr>
                <w:rFonts w:ascii="Calibri" w:hAnsi="Calibri"/>
                <w:b/>
                <w:i w:val="0"/>
                <w:color w:val="FFFFFF"/>
                <w:sz w:val="20"/>
              </w:rPr>
              <w:t>background</w:t>
            </w:r>
          </w:p>
        </w:tc>
      </w:tr>
      <w:tr>
        <w:trPr>
          <w:cantSplit/>
        </w:trPr>
        <w:tc>
          <w:tcPr>
            <w:tcW w:type="dxa" w:w="1657"/>
            <w:shd w:val="clear" w:color="auto" w:fill="FFFFFF"/>
            <w:vAlign w:val="center"/>
          </w:tcPr>
          <w:p>
            <w:pPr>
              <w:keepNext/>
              <w:spacing w:after="0"/>
            </w:pPr>
            <w:r>
              <w:rPr>
                <w:rFonts w:ascii="Calibri" w:hAnsi="Calibri"/>
                <w:b/>
                <w:i w:val="0"/>
                <w:color w:val="222222"/>
                <w:sz w:val="20"/>
              </w:rPr>
              <w:t>Yi Nuo Zhao</w:t>
            </w:r>
          </w:p>
        </w:tc>
        <w:tc>
          <w:tcPr>
            <w:tcW w:type="dxa" w:w="2851"/>
            <w:shd w:val="clear" w:color="auto" w:fill="FFFFFF"/>
            <w:vAlign w:val="center"/>
          </w:tcPr>
          <w:p>
            <w:pPr>
              <w:keepNext/>
              <w:spacing w:after="0"/>
            </w:pPr>
            <w:r>
              <w:rPr>
                <w:rFonts w:ascii="Calibri" w:hAnsi="Calibri"/>
                <w:b w:val="0"/>
                <w:i w:val="0"/>
                <w:color w:val="222222"/>
                <w:sz w:val="20"/>
              </w:rPr>
              <w:t>Team Leader</w:t>
            </w:r>
          </w:p>
        </w:tc>
        <w:tc>
          <w:tcPr>
            <w:tcW w:type="dxa" w:w="3989"/>
            <w:shd w:val="clear" w:color="auto" w:fill="FFFFFF"/>
            <w:vAlign w:val="center"/>
          </w:tcPr>
          <w:p>
            <w:pPr>
              <w:keepNext/>
              <w:spacing w:after="0"/>
            </w:pPr>
            <w:r>
              <w:rPr>
                <w:rFonts w:ascii="Calibri" w:hAnsi="Calibri"/>
                <w:b w:val="0"/>
                <w:i w:val="0"/>
                <w:color w:val="222222"/>
                <w:sz w:val="20"/>
              </w:rPr>
              <w:t>Health science student</w:t>
            </w:r>
          </w:p>
        </w:tc>
      </w:tr>
      <w:tr>
        <w:trPr>
          <w:cantSplit/>
        </w:trPr>
        <w:tc>
          <w:tcPr>
            <w:tcW w:type="dxa" w:w="1657"/>
            <w:shd w:val="clear" w:color="auto" w:fill="F7F9FB"/>
            <w:vAlign w:val="center"/>
          </w:tcPr>
          <w:p>
            <w:pPr>
              <w:keepNext w:val="0"/>
              <w:spacing w:after="0"/>
            </w:pPr>
            <w:r>
              <w:rPr>
                <w:rFonts w:ascii="Calibri" w:hAnsi="Calibri"/>
                <w:b/>
                <w:i w:val="0"/>
                <w:color w:val="222222"/>
                <w:sz w:val="20"/>
              </w:rPr>
              <w:t>Ivan T. Ivanov</w:t>
            </w:r>
          </w:p>
        </w:tc>
        <w:tc>
          <w:tcPr>
            <w:tcW w:type="dxa" w:w="2851"/>
            <w:shd w:val="clear" w:color="auto" w:fill="F7F9FB"/>
            <w:vAlign w:val="center"/>
          </w:tcPr>
          <w:p>
            <w:pPr>
              <w:keepNext w:val="0"/>
              <w:spacing w:after="0"/>
            </w:pPr>
            <w:r>
              <w:rPr>
                <w:rFonts w:ascii="Calibri" w:hAnsi="Calibri"/>
                <w:b w:val="0"/>
                <w:i w:val="0"/>
                <w:color w:val="222222"/>
                <w:sz w:val="20"/>
              </w:rPr>
              <w:t>Machine Learning Specialist</w:t>
            </w:r>
          </w:p>
        </w:tc>
        <w:tc>
          <w:tcPr>
            <w:tcW w:type="dxa" w:w="3989"/>
            <w:shd w:val="clear" w:color="auto" w:fill="F7F9FB"/>
            <w:vAlign w:val="center"/>
          </w:tcPr>
          <w:p>
            <w:pPr>
              <w:keepNext w:val="0"/>
              <w:spacing w:after="0"/>
            </w:pPr>
            <w:r>
              <w:rPr>
                <w:rFonts w:ascii="Calibri" w:hAnsi="Calibri"/>
                <w:b w:val="0"/>
                <w:i w:val="0"/>
                <w:color w:val="222222"/>
                <w:sz w:val="20"/>
              </w:rPr>
              <w:t>Professor of Mathematics and ML/AI developer</w:t>
            </w:r>
          </w:p>
        </w:tc>
      </w:tr>
    </w:tbl>
    <w:p>
      <w:pPr>
        <w:spacing w:after="80"/>
      </w:pP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1790"/>
        <w:gridCol w:w="6706"/>
      </w:tblGrid>
      <w:tr>
        <w:trPr>
          <w:cantSplit/>
        </w:trPr>
        <w:tc>
          <w:tcPr>
            <w:tcW w:type="dxa" w:w="1790"/>
            <w:shd w:val="clear" w:color="auto" w:fill="FFFFFF"/>
            <w:vAlign w:val="center"/>
          </w:tcPr>
          <w:p>
            <w:pPr>
              <w:keepNext/>
              <w:spacing w:after="0"/>
            </w:pPr>
            <w:r>
              <w:rPr>
                <w:rFonts w:ascii="Calibri" w:hAnsi="Calibri"/>
                <w:b/>
                <w:i w:val="0"/>
                <w:color w:val="222222"/>
                <w:sz w:val="20"/>
              </w:rPr>
              <w:t>Code and demo</w:t>
            </w:r>
          </w:p>
        </w:tc>
        <w:tc>
          <w:tcPr>
            <w:tcW w:type="dxa" w:w="6706"/>
            <w:shd w:val="clear" w:color="auto" w:fill="FFFFFF"/>
            <w:vAlign w:val="center"/>
          </w:tcPr>
          <w:p>
            <w:pPr>
              <w:keepNext/>
              <w:spacing w:after="0"/>
            </w:pPr>
            <w:r>
              <w:rPr>
                <w:rFonts w:ascii="Calibri" w:hAnsi="Calibri"/>
                <w:b w:val="0"/>
                <w:i w:val="0"/>
                <w:color w:val="222222"/>
                <w:sz w:val="20"/>
              </w:rPr>
              <w:t>https://github.com/Vodolay/AI4S; the interactive demo runs locally with one command (§21)</w:t>
            </w:r>
          </w:p>
        </w:tc>
      </w:tr>
      <w:tr>
        <w:trPr>
          <w:cantSplit/>
        </w:trPr>
        <w:tc>
          <w:tcPr>
            <w:tcW w:type="dxa" w:w="1790"/>
            <w:shd w:val="clear" w:color="auto" w:fill="F7F9FB"/>
            <w:vAlign w:val="center"/>
          </w:tcPr>
          <w:p>
            <w:pPr>
              <w:keepNext/>
              <w:spacing w:after="0"/>
            </w:pPr>
            <w:r>
              <w:rPr>
                <w:rFonts w:ascii="Calibri" w:hAnsi="Calibri"/>
                <w:b/>
                <w:i w:val="0"/>
                <w:color w:val="222222"/>
                <w:sz w:val="20"/>
              </w:rPr>
              <w:t>Video</w:t>
            </w:r>
          </w:p>
        </w:tc>
        <w:tc>
          <w:tcPr>
            <w:tcW w:type="dxa" w:w="6706"/>
            <w:shd w:val="clear" w:color="auto" w:fill="F7F9FB"/>
            <w:vAlign w:val="center"/>
          </w:tcPr>
          <w:p>
            <w:pPr>
              <w:keepNext/>
              <w:spacing w:after="0"/>
            </w:pPr>
            <w:r>
              <w:rPr>
                <w:rFonts w:ascii="Calibri" w:hAnsi="Calibri"/>
                <w:b w:val="0"/>
                <w:i w:val="0"/>
                <w:color w:val="222222"/>
                <w:sz w:val="20"/>
              </w:rPr>
              <w:t>https://www.youtube.com/watch?v=WnnD-oSFdcI, a walkthrough of the project and the demo</w:t>
            </w:r>
          </w:p>
        </w:tc>
      </w:tr>
      <w:tr>
        <w:trPr>
          <w:cantSplit/>
        </w:trPr>
        <w:tc>
          <w:tcPr>
            <w:tcW w:type="dxa" w:w="1790"/>
            <w:shd w:val="clear" w:color="auto" w:fill="FFFFFF"/>
            <w:vAlign w:val="center"/>
          </w:tcPr>
          <w:p>
            <w:pPr>
              <w:keepNext/>
              <w:spacing w:after="0"/>
            </w:pPr>
            <w:r>
              <w:rPr>
                <w:rFonts w:ascii="Calibri" w:hAnsi="Calibri"/>
                <w:b/>
                <w:i w:val="0"/>
                <w:color w:val="222222"/>
                <w:sz w:val="20"/>
              </w:rPr>
              <w:t>Verification harness</w:t>
            </w:r>
          </w:p>
        </w:tc>
        <w:tc>
          <w:tcPr>
            <w:tcW w:type="dxa" w:w="6706"/>
            <w:shd w:val="clear" w:color="auto" w:fill="FFFFFF"/>
            <w:vAlign w:val="center"/>
          </w:tcPr>
          <w:p>
            <w:pPr>
              <w:keepNext/>
              <w:spacing w:after="0"/>
            </w:pPr>
            <w:r>
              <w:rPr>
                <w:rFonts w:ascii="Consolas" w:hAnsi="Consolas"/>
                <w:b w:val="0"/>
                <w:i w:val="0"/>
                <w:color w:val="222222"/>
                <w:sz w:val="18"/>
              </w:rPr>
              <w:t>python run_all.py --quick</w:t>
            </w:r>
            <w:r>
              <w:rPr>
                <w:rFonts w:ascii="Calibri" w:hAnsi="Calibri"/>
                <w:b w:val="0"/>
                <w:i w:val="0"/>
                <w:color w:val="222222"/>
                <w:sz w:val="20"/>
              </w:rPr>
              <w:t xml:space="preserve"> runs the complete pipeline, models and metrics</w:t>
            </w:r>
          </w:p>
        </w:tc>
      </w:tr>
      <w:tr>
        <w:trPr>
          <w:cantSplit/>
        </w:trPr>
        <w:tc>
          <w:tcPr>
            <w:tcW w:type="dxa" w:w="1790"/>
            <w:shd w:val="clear" w:color="auto" w:fill="F7F9FB"/>
            <w:vAlign w:val="center"/>
          </w:tcPr>
          <w:p>
            <w:pPr>
              <w:keepNext/>
              <w:spacing w:after="0"/>
            </w:pPr>
            <w:r>
              <w:rPr>
                <w:rFonts w:ascii="Calibri" w:hAnsi="Calibri"/>
                <w:b/>
                <w:i w:val="0"/>
                <w:color w:val="222222"/>
                <w:sz w:val="20"/>
              </w:rPr>
              <w:t>Audit discipline</w:t>
            </w:r>
          </w:p>
        </w:tc>
        <w:tc>
          <w:tcPr>
            <w:tcW w:type="dxa" w:w="6706"/>
            <w:shd w:val="clear" w:color="auto" w:fill="F7F9FB"/>
            <w:vAlign w:val="center"/>
          </w:tcPr>
          <w:p>
            <w:pPr>
              <w:keepNext/>
              <w:spacing w:after="0"/>
            </w:pPr>
            <w:r>
              <w:rPr>
                <w:rFonts w:ascii="Consolas" w:hAnsi="Consolas"/>
                <w:b w:val="0"/>
                <w:i w:val="0"/>
                <w:color w:val="222222"/>
                <w:sz w:val="18"/>
              </w:rPr>
              <w:t>python -m neuromps.report.verify</w:t>
            </w:r>
            <w:r>
              <w:rPr>
                <w:rFonts w:ascii="Calibri" w:hAnsi="Calibri"/>
                <w:b w:val="0"/>
                <w:i w:val="0"/>
                <w:color w:val="222222"/>
                <w:sz w:val="20"/>
              </w:rPr>
              <w:t xml:space="preserve"> checks every number in this report against </w:t>
            </w:r>
            <w:r>
              <w:rPr>
                <w:rFonts w:ascii="Consolas" w:hAnsi="Consolas"/>
                <w:b w:val="0"/>
                <w:i w:val="0"/>
                <w:color w:val="222222"/>
                <w:sz w:val="18"/>
              </w:rPr>
              <w:t>outputs/metrics.json</w:t>
            </w:r>
          </w:p>
        </w:tc>
      </w:tr>
      <w:tr>
        <w:trPr>
          <w:cantSplit/>
        </w:trPr>
        <w:tc>
          <w:tcPr>
            <w:tcW w:type="dxa" w:w="1790"/>
            <w:shd w:val="clear" w:color="auto" w:fill="FFFFFF"/>
            <w:vAlign w:val="center"/>
          </w:tcPr>
          <w:p>
            <w:pPr>
              <w:keepNext w:val="0"/>
              <w:spacing w:after="0"/>
            </w:pPr>
            <w:r>
              <w:rPr>
                <w:rFonts w:ascii="Calibri" w:hAnsi="Calibri"/>
                <w:b/>
                <w:i w:val="0"/>
                <w:color w:val="222222"/>
                <w:sz w:val="20"/>
              </w:rPr>
              <w:t>Regulatory position</w:t>
            </w:r>
          </w:p>
        </w:tc>
        <w:tc>
          <w:tcPr>
            <w:tcW w:type="dxa" w:w="6706"/>
            <w:shd w:val="clear" w:color="auto" w:fill="FFFFFF"/>
            <w:vAlign w:val="center"/>
          </w:tcPr>
          <w:p>
            <w:pPr>
              <w:keepNext w:val="0"/>
              <w:spacing w:after="0"/>
            </w:pPr>
            <w:r>
              <w:rPr>
                <w:rFonts w:ascii="Calibri" w:hAnsi="Calibri"/>
                <w:b w:val="0"/>
                <w:i w:val="0"/>
                <w:color w:val="222222"/>
                <w:sz w:val="20"/>
              </w:rPr>
              <w:t>Research decision-support only. We make no clinical, diagnostic, efficacy or safety claim.</w:t>
            </w:r>
          </w:p>
        </w:tc>
      </w:tr>
    </w:tbl>
    <w:p>
      <w:pPr>
        <w:spacing w:after="80"/>
      </w:pPr>
    </w:p>
    <w:p>
      <w:pPr>
        <w:spacing w:after="120"/>
      </w:pPr>
      <w:r>
        <w:rPr>
          <w:rFonts w:ascii="Calibri" w:hAnsi="Calibri"/>
          <w:b w:val="0"/>
          <w:i w:val="0"/>
          <w:color w:val="222222"/>
          <w:sz w:val="21"/>
        </w:rPr>
        <w:t xml:space="preserve">You can reproduce and check everything in this report. One command, </w:t>
      </w:r>
      <w:r>
        <w:rPr>
          <w:rFonts w:ascii="Consolas" w:hAnsi="Consolas"/>
          <w:b w:val="0"/>
          <w:i w:val="0"/>
          <w:color w:val="222222"/>
          <w:sz w:val="19"/>
        </w:rPr>
        <w:t>python run_all.py --quick</w:t>
      </w:r>
      <w:r>
        <w:rPr>
          <w:rFonts w:ascii="Calibri" w:hAnsi="Calibri"/>
          <w:b w:val="0"/>
          <w:i w:val="0"/>
          <w:color w:val="222222"/>
          <w:sz w:val="21"/>
        </w:rPr>
        <w:t xml:space="preserve">, runs every stage of the pipeline in about nine minutes on our 20-core workstation (Appendix K), and </w:t>
      </w:r>
      <w:r>
        <w:rPr>
          <w:rFonts w:ascii="Consolas" w:hAnsi="Consolas"/>
          <w:b w:val="0"/>
          <w:i w:val="0"/>
          <w:color w:val="222222"/>
          <w:sz w:val="19"/>
        </w:rPr>
        <w:t>python -m neuromps.report.verify</w:t>
      </w:r>
      <w:r>
        <w:rPr>
          <w:rFonts w:ascii="Calibri" w:hAnsi="Calibri"/>
          <w:b w:val="0"/>
          <w:i w:val="0"/>
          <w:color w:val="222222"/>
          <w:sz w:val="21"/>
        </w:rPr>
        <w:t xml:space="preserve"> re-checks every number below against the output that produced it. In the source of this report, each computed number carries a hidden pointer to the </w:t>
      </w:r>
      <w:r>
        <w:rPr>
          <w:rFonts w:ascii="Consolas" w:hAnsi="Consolas"/>
          <w:b w:val="0"/>
          <w:i w:val="0"/>
          <w:color w:val="222222"/>
          <w:sz w:val="19"/>
        </w:rPr>
        <w:t>outputs/metrics.json</w:t>
      </w:r>
      <w:r>
        <w:rPr>
          <w:rFonts w:ascii="Calibri" w:hAnsi="Calibri"/>
          <w:b w:val="0"/>
          <w:i w:val="0"/>
          <w:color w:val="222222"/>
          <w:sz w:val="21"/>
        </w:rPr>
        <w:t xml:space="preserve"> key it came from, so a stale figure cannot quietly survive a rerun. We kept a record of everything we tried and abandoned in </w:t>
      </w:r>
      <w:r>
        <w:rPr>
          <w:rFonts w:ascii="Consolas" w:hAnsi="Consolas"/>
          <w:b w:val="0"/>
          <w:i w:val="0"/>
          <w:color w:val="222222"/>
          <w:sz w:val="19"/>
        </w:rPr>
        <w:t>report/LAB_NOTEBOOK.md</w:t>
      </w:r>
      <w:r>
        <w:rPr>
          <w:rFonts w:ascii="Calibri" w:hAnsi="Calibri"/>
          <w:b w:val="0"/>
          <w:i w:val="0"/>
          <w:color w:val="222222"/>
          <w:sz w:val="21"/>
        </w:rPr>
        <w:t>.</w:t>
      </w:r>
    </w:p>
    <w:p>
      <w:pPr>
        <w:keepNext/>
        <w:spacing w:before="240" w:after="60"/>
      </w:pPr>
      <w:r>
        <w:rPr>
          <w:rFonts w:ascii="Calibri" w:hAnsi="Calibri"/>
          <w:b/>
          <w:i w:val="0"/>
          <w:color w:val="1F4E79"/>
          <w:sz w:val="23"/>
        </w:rPr>
        <w:t>Executive summary</w:t>
      </w:r>
    </w:p>
    <w:p>
      <w:pPr>
        <w:spacing w:after="120"/>
      </w:pPr>
      <w:r>
        <w:rPr>
          <w:rFonts w:ascii="Calibri" w:hAnsi="Calibri"/>
          <w:b w:val="0"/>
          <w:i w:val="0"/>
          <w:color w:val="222222"/>
          <w:sz w:val="21"/>
        </w:rPr>
        <w:t>Neural microelectrode arrays (MEAs) are one of the most useful readouts in organ-on-a-chip work: you grow neurons on a grid of electrodes and watch how their firing changes when you add a compound. The trouble starts when you try to compare results across laboratories. Every group computes its features with its own software and its own definitions, and most deposit summary tables instead of raw spikes, so a number in one paper rarely means the same thing as the "same" number in another.</w:t>
      </w:r>
    </w:p>
    <w:p>
      <w:pPr>
        <w:spacing w:after="120"/>
      </w:pPr>
      <w:r>
        <w:rPr>
          <w:rFonts w:ascii="Calibri" w:hAnsi="Calibri"/>
          <w:b w:val="0"/>
          <w:i w:val="0"/>
          <w:color w:val="222222"/>
          <w:sz w:val="21"/>
        </w:rPr>
        <w:t>We built NeuroMPS to tackle that problem directly, and to find out honestly how far the data can be pushed. It has four parts.</w:t>
      </w:r>
    </w:p>
    <w:p>
      <w:pPr>
        <w:spacing w:after="120"/>
        <w:ind w:left="432" w:hanging="259"/>
      </w:pPr>
      <w:r>
        <w:rPr>
          <w:rFonts w:ascii="Calibri" w:hAnsi="Calibri"/>
          <w:b w:val="0"/>
          <w:i w:val="0"/>
          <w:color w:val="222222"/>
          <w:sz w:val="21"/>
        </w:rPr>
        <w:t>•</w:t>
        <w:tab/>
      </w:r>
      <w:r>
        <w:rPr>
          <w:rFonts w:ascii="Calibri" w:hAnsi="Calibri"/>
          <w:b/>
          <w:i w:val="0"/>
          <w:color w:val="156082"/>
          <w:sz w:val="21"/>
        </w:rPr>
        <w:t>A standardized data asset.</w:t>
      </w:r>
      <w:r>
        <w:rPr>
          <w:rFonts w:ascii="Calibri" w:hAnsi="Calibri"/>
          <w:b w:val="0"/>
          <w:i w:val="0"/>
          <w:color w:val="222222"/>
          <w:sz w:val="21"/>
        </w:rPr>
        <w:t xml:space="preserve"> We assembled 21,887 records from eight public sources, each verified against a SHA-256 checksum of its original file. One feature extractor computes every number from the 1,512 spike-time recordings, so comparisons inside the asset are exact. When we ran the depositors' own meaRtools pipeline on the same recordings, it disagreed with ours by more than a factor of two on burst rate (§3) — exactly the kind of divergence the asset exists to remove.</w:t>
      </w:r>
    </w:p>
    <w:p>
      <w:pPr>
        <w:spacing w:after="120"/>
        <w:ind w:left="432" w:hanging="259"/>
      </w:pPr>
      <w:r>
        <w:rPr>
          <w:rFonts w:ascii="Calibri" w:hAnsi="Calibri"/>
          <w:b w:val="0"/>
          <w:i w:val="0"/>
          <w:color w:val="222222"/>
          <w:sz w:val="21"/>
        </w:rPr>
        <w:t>•</w:t>
        <w:tab/>
      </w:r>
      <w:r>
        <w:rPr>
          <w:rFonts w:ascii="Calibri" w:hAnsi="Calibri"/>
          <w:b/>
          <w:i w:val="0"/>
          <w:color w:val="156082"/>
          <w:sz w:val="21"/>
        </w:rPr>
        <w:t>Benchmarks on real recordings.</w:t>
      </w:r>
      <w:r>
        <w:rPr>
          <w:rFonts w:ascii="Calibri" w:hAnsi="Calibri"/>
          <w:b w:val="0"/>
          <w:i w:val="0"/>
          <w:color w:val="222222"/>
          <w:sz w:val="21"/>
        </w:rPr>
        <w:t xml:space="preserve"> We grouped every cross-validation split by culture and bootstrapped over cultures rather than rows. Under those rules, within one laboratory, a simple linear model (balanced accuracy 0.537) beats gradient boosting (0.398), and a model trained only on rat recordings still scores 0.55 on human iPSC recordings. Across laboratories, though, the same classifier falls to 0.3482 against a chance of 0.3333: what it learned in one laboratory did not carry to the next. Two rate features alone match the full nine-feature vector.</w:t>
      </w:r>
    </w:p>
    <w:p>
      <w:pPr>
        <w:spacing w:after="120"/>
        <w:ind w:left="432" w:hanging="259"/>
      </w:pPr>
      <w:r>
        <w:rPr>
          <w:rFonts w:ascii="Calibri" w:hAnsi="Calibri"/>
          <w:b w:val="0"/>
          <w:i w:val="0"/>
          <w:color w:val="222222"/>
          <w:sz w:val="21"/>
        </w:rPr>
        <w:t>•</w:t>
        <w:tab/>
      </w:r>
      <w:r>
        <w:rPr>
          <w:rFonts w:ascii="Calibri" w:hAnsi="Calibri"/>
          <w:b/>
          <w:i w:val="0"/>
          <w:color w:val="156082"/>
          <w:sz w:val="21"/>
        </w:rPr>
        <w:t>A biophysical digital twin.</w:t>
      </w:r>
      <w:r>
        <w:rPr>
          <w:rFonts w:ascii="Calibri" w:hAnsi="Calibri"/>
          <w:b w:val="0"/>
          <w:i w:val="0"/>
          <w:color w:val="222222"/>
          <w:sz w:val="21"/>
        </w:rPr>
        <w:t xml:space="preserve"> We simulate an asymmetric two-compartment chip in Brian2: leaky integrate-and-fire neurons, 80/20 excitatory/inhibitory, with spike-frequency adaptation, wired through a directional "axon diode". We calibrated it against the interquartile band of 48 real chamber recordings and score it with the same feature code as the real data. We use it for experimental power analysis and as a generator of labelled training data: 3,000 simulated recordings, each with known parameters, train a neural posterior estimator, a masked autoregressive flow, that returns a full posterior for a new recording in 0.31 s without running the simulator again.</w:t>
      </w:r>
    </w:p>
    <w:p>
      <w:pPr>
        <w:spacing w:after="120"/>
        <w:ind w:left="432" w:hanging="259"/>
      </w:pPr>
      <w:r>
        <w:rPr>
          <w:rFonts w:ascii="Calibri" w:hAnsi="Calibri"/>
          <w:b w:val="0"/>
          <w:i w:val="0"/>
          <w:color w:val="222222"/>
          <w:sz w:val="21"/>
        </w:rPr>
        <w:t>•</w:t>
        <w:tab/>
      </w:r>
      <w:r>
        <w:rPr>
          <w:rFonts w:ascii="Calibri" w:hAnsi="Calibri"/>
          <w:b/>
          <w:i w:val="0"/>
          <w:color w:val="156082"/>
          <w:sz w:val="21"/>
        </w:rPr>
        <w:t>Negative results and practical guidance.</w:t>
      </w:r>
      <w:r>
        <w:rPr>
          <w:rFonts w:ascii="Calibri" w:hAnsi="Calibri"/>
          <w:b w:val="0"/>
          <w:i w:val="0"/>
          <w:color w:val="222222"/>
          <w:sz w:val="21"/>
        </w:rPr>
        <w:t xml:space="preserve"> Eight of our findings set firm boundaries, and §18 pairs each with what we would do instead. For example, chamber-level readouts cannot tell which way axons are firing without electrodes inside the microchannels (0.3854 against 0.5 chance), and the twin's inverse model misses a bicuculline dose trend that two burst-rate features carry. In §20 we turn these findings into recommendations for chip designers, assay developers and analysis pipelines.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3059"/>
        <w:gridCol w:w="5437"/>
      </w:tblGrid>
      <w:tr>
        <w:trPr>
          <w:cantSplit/>
          <w:tblHeader/>
        </w:trPr>
        <w:tc>
          <w:tcPr>
            <w:tcW w:type="dxa" w:w="3059"/>
            <w:shd w:val="clear" w:color="auto" w:fill="1F4E79"/>
            <w:vAlign w:val="center"/>
          </w:tcPr>
          <w:p>
            <w:pPr>
              <w:keepNext/>
              <w:spacing w:after="0"/>
            </w:pPr>
            <w:r>
              <w:rPr>
                <w:rFonts w:ascii="Calibri" w:hAnsi="Calibri"/>
                <w:b/>
                <w:i w:val="0"/>
                <w:color w:val="FFFFFF"/>
                <w:sz w:val="20"/>
              </w:rPr>
              <w:t>Act</w:t>
            </w:r>
          </w:p>
        </w:tc>
        <w:tc>
          <w:tcPr>
            <w:tcW w:type="dxa" w:w="5437"/>
            <w:shd w:val="clear" w:color="auto" w:fill="1F4E79"/>
            <w:vAlign w:val="center"/>
          </w:tcPr>
          <w:p>
            <w:pPr>
              <w:keepNext/>
              <w:spacing w:after="0"/>
            </w:pPr>
            <w:r>
              <w:rPr>
                <w:rFonts w:ascii="Calibri" w:hAnsi="Calibri"/>
                <w:b/>
                <w:i w:val="0"/>
                <w:color w:val="FFFFFF"/>
                <w:sz w:val="20"/>
              </w:rPr>
              <w:t>Sections</w:t>
            </w:r>
          </w:p>
        </w:tc>
      </w:tr>
      <w:tr>
        <w:trPr>
          <w:cantSplit/>
        </w:trPr>
        <w:tc>
          <w:tcPr>
            <w:tcW w:type="dxa" w:w="3059"/>
            <w:shd w:val="clear" w:color="auto" w:fill="FFFFFF"/>
            <w:vAlign w:val="center"/>
          </w:tcPr>
          <w:p>
            <w:pPr>
              <w:keepNext/>
              <w:spacing w:after="0"/>
            </w:pPr>
            <w:r>
              <w:rPr>
                <w:rFonts w:ascii="Calibri" w:hAnsi="Calibri"/>
                <w:b/>
                <w:i w:val="0"/>
                <w:color w:val="222222"/>
                <w:sz w:val="20"/>
              </w:rPr>
              <w:t>ACT I: Foundations and the data asset</w:t>
            </w:r>
          </w:p>
        </w:tc>
        <w:tc>
          <w:tcPr>
            <w:tcW w:type="dxa" w:w="5437"/>
            <w:shd w:val="clear" w:color="auto" w:fill="FFFFFF"/>
            <w:vAlign w:val="center"/>
          </w:tcPr>
          <w:p>
            <w:pPr>
              <w:keepNext/>
              <w:spacing w:after="0"/>
            </w:pPr>
            <w:r>
              <w:rPr>
                <w:rFonts w:ascii="Calibri" w:hAnsi="Calibri"/>
                <w:b w:val="0"/>
                <w:i w:val="0"/>
                <w:color w:val="222222"/>
                <w:sz w:val="20"/>
              </w:rPr>
              <w:t>1. What this is, and what it is not</w:t>
            </w:r>
          </w:p>
          <w:p>
            <w:pPr>
              <w:keepNext/>
              <w:spacing w:after="0"/>
            </w:pPr>
            <w:r>
              <w:rPr>
                <w:rFonts w:ascii="Calibri" w:hAnsi="Calibri"/>
                <w:b w:val="0"/>
                <w:i w:val="0"/>
                <w:color w:val="222222"/>
                <w:sz w:val="20"/>
              </w:rPr>
              <w:t>2. The data</w:t>
            </w:r>
          </w:p>
        </w:tc>
      </w:tr>
      <w:tr>
        <w:trPr>
          <w:cantSplit/>
        </w:trPr>
        <w:tc>
          <w:tcPr>
            <w:tcW w:type="dxa" w:w="3059"/>
            <w:shd w:val="clear" w:color="auto" w:fill="F7F9FB"/>
            <w:vAlign w:val="center"/>
          </w:tcPr>
          <w:p>
            <w:pPr>
              <w:keepNext/>
              <w:spacing w:after="0"/>
            </w:pPr>
            <w:r>
              <w:rPr>
                <w:rFonts w:ascii="Calibri" w:hAnsi="Calibri"/>
                <w:b/>
                <w:i w:val="0"/>
                <w:color w:val="222222"/>
                <w:sz w:val="20"/>
              </w:rPr>
              <w:t>ACT II: Standardizing the mess and benchmarking real biology</w:t>
            </w:r>
          </w:p>
        </w:tc>
        <w:tc>
          <w:tcPr>
            <w:tcW w:type="dxa" w:w="5437"/>
            <w:shd w:val="clear" w:color="auto" w:fill="F7F9FB"/>
            <w:vAlign w:val="center"/>
          </w:tcPr>
          <w:p>
            <w:pPr>
              <w:keepNext/>
              <w:spacing w:after="0"/>
            </w:pPr>
            <w:r>
              <w:rPr>
                <w:rFonts w:ascii="Calibri" w:hAnsi="Calibri"/>
                <w:b w:val="0"/>
                <w:i w:val="0"/>
                <w:color w:val="222222"/>
                <w:sz w:val="20"/>
              </w:rPr>
              <w:t>3. Are two laboratories' numbers actually comparable?</w:t>
            </w:r>
          </w:p>
          <w:p>
            <w:pPr>
              <w:keepNext/>
              <w:spacing w:after="0"/>
            </w:pPr>
            <w:r>
              <w:rPr>
                <w:rFonts w:ascii="Calibri" w:hAnsi="Calibri"/>
                <w:b w:val="0"/>
                <w:i w:val="0"/>
                <w:color w:val="222222"/>
                <w:sz w:val="20"/>
              </w:rPr>
              <w:t>4. The three questions we asked the data</w:t>
            </w:r>
          </w:p>
          <w:p>
            <w:pPr>
              <w:keepNext/>
              <w:spacing w:after="0"/>
            </w:pPr>
            <w:r>
              <w:rPr>
                <w:rFonts w:ascii="Calibri" w:hAnsi="Calibri"/>
                <w:b w:val="0"/>
                <w:i w:val="0"/>
                <w:color w:val="222222"/>
                <w:sz w:val="20"/>
              </w:rPr>
              <w:t>5. Can you read a mechanism from the features?</w:t>
            </w:r>
          </w:p>
          <w:p>
            <w:pPr>
              <w:keepNext/>
              <w:spacing w:after="0"/>
            </w:pPr>
            <w:r>
              <w:rPr>
                <w:rFonts w:ascii="Calibri" w:hAnsi="Calibri"/>
                <w:b w:val="0"/>
                <w:i w:val="0"/>
                <w:color w:val="222222"/>
                <w:sz w:val="20"/>
              </w:rPr>
              <w:t>6. External detection, and the negative control that matters more</w:t>
            </w:r>
          </w:p>
          <w:p>
            <w:pPr>
              <w:keepNext/>
              <w:spacing w:after="0"/>
            </w:pPr>
            <w:r>
              <w:rPr>
                <w:rFonts w:ascii="Calibri" w:hAnsi="Calibri"/>
                <w:b w:val="0"/>
                <w:i w:val="0"/>
                <w:color w:val="222222"/>
                <w:sz w:val="20"/>
              </w:rPr>
              <w:t>7. Rat to human</w:t>
            </w:r>
          </w:p>
          <w:p>
            <w:pPr>
              <w:keepNext/>
              <w:spacing w:after="0"/>
            </w:pPr>
            <w:r>
              <w:rPr>
                <w:rFonts w:ascii="Calibri" w:hAnsi="Calibri"/>
                <w:b w:val="0"/>
                <w:i w:val="0"/>
                <w:color w:val="222222"/>
                <w:sz w:val="20"/>
              </w:rPr>
              <w:t>8. Which features are actually doing the work?</w:t>
            </w:r>
          </w:p>
          <w:p>
            <w:pPr>
              <w:keepNext/>
              <w:spacing w:after="0"/>
            </w:pPr>
            <w:r>
              <w:rPr>
                <w:rFonts w:ascii="Calibri" w:hAnsi="Calibri"/>
                <w:b w:val="0"/>
                <w:i w:val="0"/>
                <w:color w:val="222222"/>
                <w:sz w:val="20"/>
              </w:rPr>
              <w:t>9. How confident is the model, really?</w:t>
            </w:r>
          </w:p>
          <w:p>
            <w:pPr>
              <w:keepNext/>
              <w:spacing w:after="0"/>
            </w:pPr>
            <w:r>
              <w:rPr>
                <w:rFonts w:ascii="Calibri" w:hAnsi="Calibri"/>
                <w:b w:val="0"/>
                <w:i w:val="0"/>
                <w:color w:val="222222"/>
                <w:sz w:val="20"/>
              </w:rPr>
              <w:t>10. Untreated baselines: what differs before a drug is added</w:t>
            </w:r>
          </w:p>
          <w:p>
            <w:pPr>
              <w:keepNext/>
              <w:spacing w:after="0"/>
            </w:pPr>
            <w:r>
              <w:rPr>
                <w:rFonts w:ascii="Calibri" w:hAnsi="Calibri"/>
                <w:b w:val="0"/>
                <w:i w:val="0"/>
                <w:color w:val="222222"/>
                <w:sz w:val="20"/>
              </w:rPr>
              <w:t>11. The cross-platform reversal paradox</w:t>
            </w:r>
          </w:p>
        </w:tc>
      </w:tr>
      <w:tr>
        <w:trPr>
          <w:cantSplit/>
        </w:trPr>
        <w:tc>
          <w:tcPr>
            <w:tcW w:type="dxa" w:w="3059"/>
            <w:shd w:val="clear" w:color="auto" w:fill="FFFFFF"/>
            <w:vAlign w:val="center"/>
          </w:tcPr>
          <w:p>
            <w:pPr>
              <w:keepNext/>
              <w:spacing w:after="0"/>
            </w:pPr>
            <w:r>
              <w:rPr>
                <w:rFonts w:ascii="Calibri" w:hAnsi="Calibri"/>
                <w:b/>
                <w:i w:val="0"/>
                <w:color w:val="222222"/>
                <w:sz w:val="20"/>
              </w:rPr>
              <w:t>ACT III: Calibrating a biophysical digital twin</w:t>
            </w:r>
          </w:p>
        </w:tc>
        <w:tc>
          <w:tcPr>
            <w:tcW w:type="dxa" w:w="5437"/>
            <w:shd w:val="clear" w:color="auto" w:fill="FFFFFF"/>
            <w:vAlign w:val="center"/>
          </w:tcPr>
          <w:p>
            <w:pPr>
              <w:keepNext/>
              <w:spacing w:after="0"/>
            </w:pPr>
            <w:r>
              <w:rPr>
                <w:rFonts w:ascii="Calibri" w:hAnsi="Calibri"/>
                <w:b w:val="0"/>
                <w:i w:val="0"/>
                <w:color w:val="222222"/>
                <w:sz w:val="20"/>
              </w:rPr>
              <w:t>12. The digital twin: what it is, and what it is for</w:t>
            </w:r>
          </w:p>
          <w:p>
            <w:pPr>
              <w:keepNext/>
              <w:spacing w:after="0"/>
            </w:pPr>
            <w:r>
              <w:rPr>
                <w:rFonts w:ascii="Calibri" w:hAnsi="Calibri"/>
                <w:b w:val="0"/>
                <w:i w:val="0"/>
                <w:color w:val="222222"/>
                <w:sz w:val="20"/>
              </w:rPr>
              <w:t>13. Calibration</w:t>
            </w:r>
          </w:p>
          <w:p>
            <w:pPr>
              <w:keepNext/>
              <w:spacing w:after="0"/>
            </w:pPr>
            <w:r>
              <w:rPr>
                <w:rFonts w:ascii="Calibri" w:hAnsi="Calibri"/>
                <w:b w:val="0"/>
                <w:i w:val="0"/>
                <w:color w:val="222222"/>
                <w:sz w:val="20"/>
              </w:rPr>
              <w:t>14. Drug knobs: does the twin respond like a culture?</w:t>
            </w:r>
          </w:p>
        </w:tc>
      </w:tr>
      <w:tr>
        <w:trPr>
          <w:cantSplit/>
        </w:trPr>
        <w:tc>
          <w:tcPr>
            <w:tcW w:type="dxa" w:w="3059"/>
            <w:shd w:val="clear" w:color="auto" w:fill="F7F9FB"/>
            <w:vAlign w:val="center"/>
          </w:tcPr>
          <w:p>
            <w:pPr>
              <w:keepNext/>
              <w:spacing w:after="0"/>
            </w:pPr>
            <w:r>
              <w:rPr>
                <w:rFonts w:ascii="Calibri" w:hAnsi="Calibri"/>
                <w:b/>
                <w:i w:val="0"/>
                <w:color w:val="222222"/>
                <w:sz w:val="20"/>
              </w:rPr>
              <w:t>ACT IV: Inverting the twin and resolving directionality</w:t>
            </w:r>
          </w:p>
        </w:tc>
        <w:tc>
          <w:tcPr>
            <w:tcW w:type="dxa" w:w="5437"/>
            <w:shd w:val="clear" w:color="auto" w:fill="F7F9FB"/>
            <w:vAlign w:val="center"/>
          </w:tcPr>
          <w:p>
            <w:pPr>
              <w:keepNext/>
              <w:spacing w:after="0"/>
            </w:pPr>
            <w:r>
              <w:rPr>
                <w:rFonts w:ascii="Calibri" w:hAnsi="Calibri"/>
                <w:b w:val="0"/>
                <w:i w:val="0"/>
                <w:color w:val="222222"/>
                <w:sz w:val="20"/>
              </w:rPr>
              <w:t>15. Two-compartment devices, and a result we did not want</w:t>
            </w:r>
          </w:p>
          <w:p>
            <w:pPr>
              <w:keepNext/>
              <w:spacing w:after="0"/>
            </w:pPr>
            <w:r>
              <w:rPr>
                <w:rFonts w:ascii="Calibri" w:hAnsi="Calibri"/>
                <w:b w:val="0"/>
                <w:i w:val="0"/>
                <w:color w:val="222222"/>
                <w:sz w:val="20"/>
              </w:rPr>
              <w:t>16. Running the model backwards, and what that cannot do</w:t>
            </w:r>
          </w:p>
          <w:p>
            <w:pPr>
              <w:keepNext/>
              <w:spacing w:after="0"/>
            </w:pPr>
            <w:r>
              <w:rPr>
                <w:rFonts w:ascii="Calibri" w:hAnsi="Calibri"/>
                <w:b w:val="0"/>
                <w:i w:val="0"/>
                <w:color w:val="222222"/>
                <w:sz w:val="20"/>
              </w:rPr>
              <w:t>17. What it takes to see directionality at all</w:t>
            </w:r>
          </w:p>
        </w:tc>
      </w:tr>
      <w:tr>
        <w:trPr>
          <w:cantSplit/>
        </w:trPr>
        <w:tc>
          <w:tcPr>
            <w:tcW w:type="dxa" w:w="3059"/>
            <w:shd w:val="clear" w:color="auto" w:fill="FFFFFF"/>
            <w:vAlign w:val="center"/>
          </w:tcPr>
          <w:p>
            <w:pPr>
              <w:keepNext/>
              <w:spacing w:after="0"/>
            </w:pPr>
            <w:r>
              <w:rPr>
                <w:rFonts w:ascii="Calibri" w:hAnsi="Calibri"/>
                <w:b/>
                <w:i w:val="0"/>
                <w:color w:val="222222"/>
                <w:sz w:val="20"/>
              </w:rPr>
              <w:t>ACT V: The negative results and scientific boundaries</w:t>
            </w:r>
          </w:p>
        </w:tc>
        <w:tc>
          <w:tcPr>
            <w:tcW w:type="dxa" w:w="5437"/>
            <w:shd w:val="clear" w:color="auto" w:fill="FFFFFF"/>
            <w:vAlign w:val="center"/>
          </w:tcPr>
          <w:p>
            <w:pPr>
              <w:keepNext/>
              <w:spacing w:after="0"/>
            </w:pPr>
            <w:r>
              <w:rPr>
                <w:rFonts w:ascii="Calibri" w:hAnsi="Calibri"/>
                <w:b w:val="0"/>
                <w:i w:val="0"/>
                <w:color w:val="222222"/>
                <w:sz w:val="20"/>
              </w:rPr>
              <w:t>18. Collection of negative results</w:t>
            </w:r>
          </w:p>
          <w:p>
            <w:pPr>
              <w:keepNext/>
              <w:spacing w:after="0"/>
            </w:pPr>
            <w:r>
              <w:rPr>
                <w:rFonts w:ascii="Calibri" w:hAnsi="Calibri"/>
                <w:b w:val="0"/>
                <w:i w:val="0"/>
                <w:color w:val="222222"/>
                <w:sz w:val="20"/>
              </w:rPr>
              <w:t>19. What you cannot conclude from this work</w:t>
            </w:r>
          </w:p>
        </w:tc>
      </w:tr>
      <w:tr>
        <w:trPr>
          <w:cantSplit/>
        </w:trPr>
        <w:tc>
          <w:tcPr>
            <w:tcW w:type="dxa" w:w="3059"/>
            <w:shd w:val="clear" w:color="auto" w:fill="F7F9FB"/>
            <w:vAlign w:val="center"/>
          </w:tcPr>
          <w:p>
            <w:pPr>
              <w:keepNext/>
              <w:spacing w:after="0"/>
            </w:pPr>
            <w:r>
              <w:rPr>
                <w:rFonts w:ascii="Calibri" w:hAnsi="Calibri"/>
                <w:b/>
                <w:i w:val="0"/>
                <w:color w:val="222222"/>
                <w:sz w:val="20"/>
              </w:rPr>
              <w:t>ACT VI: Application value, translation and open verification</w:t>
            </w:r>
          </w:p>
        </w:tc>
        <w:tc>
          <w:tcPr>
            <w:tcW w:type="dxa" w:w="5437"/>
            <w:shd w:val="clear" w:color="auto" w:fill="F7F9FB"/>
            <w:vAlign w:val="center"/>
          </w:tcPr>
          <w:p>
            <w:pPr>
              <w:keepNext/>
              <w:spacing w:after="0"/>
            </w:pPr>
            <w:r>
              <w:rPr>
                <w:rFonts w:ascii="Calibri" w:hAnsi="Calibri"/>
                <w:b w:val="0"/>
                <w:i w:val="0"/>
                <w:color w:val="222222"/>
                <w:sz w:val="20"/>
              </w:rPr>
              <w:t>20. Application value and translation for neural organ-on-a-chip</w:t>
            </w:r>
          </w:p>
          <w:p>
            <w:pPr>
              <w:keepNext/>
              <w:spacing w:after="0"/>
            </w:pPr>
            <w:r>
              <w:rPr>
                <w:rFonts w:ascii="Calibri" w:hAnsi="Calibri"/>
                <w:b w:val="0"/>
                <w:i w:val="0"/>
                <w:color w:val="222222"/>
                <w:sz w:val="20"/>
              </w:rPr>
              <w:t>21. How to reproduce and check this work</w:t>
            </w:r>
          </w:p>
          <w:p>
            <w:pPr>
              <w:keepNext/>
              <w:spacing w:after="0"/>
            </w:pPr>
            <w:r>
              <w:rPr>
                <w:rFonts w:ascii="Calibri" w:hAnsi="Calibri"/>
                <w:b w:val="0"/>
                <w:i w:val="0"/>
                <w:color w:val="222222"/>
                <w:sz w:val="20"/>
              </w:rPr>
              <w:t>22. AI assistance disclosure</w:t>
            </w:r>
          </w:p>
        </w:tc>
      </w:tr>
      <w:tr>
        <w:trPr>
          <w:cantSplit/>
        </w:trPr>
        <w:tc>
          <w:tcPr>
            <w:tcW w:type="dxa" w:w="3059"/>
            <w:shd w:val="clear" w:color="auto" w:fill="FFFFFF"/>
            <w:vAlign w:val="center"/>
          </w:tcPr>
          <w:p>
            <w:pPr>
              <w:keepNext w:val="0"/>
              <w:spacing w:after="0"/>
            </w:pPr>
            <w:r>
              <w:rPr>
                <w:rFonts w:ascii="Calibri" w:hAnsi="Calibri"/>
                <w:b/>
                <w:i w:val="0"/>
                <w:color w:val="222222"/>
                <w:sz w:val="20"/>
              </w:rPr>
              <w:t>Appendices: consolidated technical reference</w:t>
            </w:r>
          </w:p>
        </w:tc>
        <w:tc>
          <w:tcPr>
            <w:tcW w:type="dxa" w:w="5437"/>
            <w:shd w:val="clear" w:color="auto" w:fill="FFFFFF"/>
            <w:vAlign w:val="center"/>
          </w:tcPr>
          <w:p>
            <w:pPr>
              <w:keepNext w:val="0"/>
              <w:spacing w:after="0"/>
            </w:pPr>
            <w:r>
              <w:rPr>
                <w:rFonts w:ascii="Calibri" w:hAnsi="Calibri"/>
                <w:b w:val="0"/>
                <w:i w:val="0"/>
                <w:color w:val="222222"/>
                <w:sz w:val="20"/>
              </w:rPr>
              <w:t>Appendix A &amp; B — Record architecture, data levels and ingestion ETL</w:t>
            </w:r>
          </w:p>
          <w:p>
            <w:pPr>
              <w:keepNext w:val="0"/>
              <w:spacing w:after="0"/>
            </w:pPr>
            <w:r>
              <w:rPr>
                <w:rFonts w:ascii="Calibri" w:hAnsi="Calibri"/>
                <w:b w:val="0"/>
                <w:i w:val="0"/>
                <w:color w:val="222222"/>
                <w:sz w:val="20"/>
              </w:rPr>
              <w:t>Appendix C — Data sources and licenses</w:t>
            </w:r>
          </w:p>
          <w:p>
            <w:pPr>
              <w:keepNext w:val="0"/>
              <w:spacing w:after="0"/>
            </w:pPr>
            <w:r>
              <w:rPr>
                <w:rFonts w:ascii="Calibri" w:hAnsi="Calibri"/>
                <w:b w:val="0"/>
                <w:i w:val="0"/>
                <w:color w:val="222222"/>
                <w:sz w:val="20"/>
              </w:rPr>
              <w:t>Appendix D &amp; E — The nine-feature vector, and enforced repository invariants</w:t>
            </w:r>
          </w:p>
          <w:p>
            <w:pPr>
              <w:keepNext w:val="0"/>
              <w:spacing w:after="0"/>
            </w:pPr>
            <w:r>
              <w:rPr>
                <w:rFonts w:ascii="Calibri" w:hAnsi="Calibri"/>
                <w:b w:val="0"/>
                <w:i w:val="0"/>
                <w:color w:val="222222"/>
                <w:sz w:val="20"/>
              </w:rPr>
              <w:t>Appendix F &amp; G — Coupling asymmetry proof, and posterior calibration diagnostics</w:t>
            </w:r>
          </w:p>
          <w:p>
            <w:pPr>
              <w:keepNext w:val="0"/>
              <w:spacing w:after="0"/>
            </w:pPr>
            <w:r>
              <w:rPr>
                <w:rFonts w:ascii="Calibri" w:hAnsi="Calibri"/>
                <w:b w:val="0"/>
                <w:i w:val="0"/>
                <w:color w:val="222222"/>
                <w:sz w:val="20"/>
              </w:rPr>
              <w:t>Appendix H — Quality-control flag registry</w:t>
            </w:r>
          </w:p>
          <w:p>
            <w:pPr>
              <w:keepNext w:val="0"/>
              <w:spacing w:after="0"/>
            </w:pPr>
            <w:r>
              <w:rPr>
                <w:rFonts w:ascii="Calibri" w:hAnsi="Calibri"/>
                <w:b w:val="0"/>
                <w:i w:val="0"/>
                <w:color w:val="222222"/>
                <w:sz w:val="20"/>
              </w:rPr>
              <w:t>Appendix I — Digital twin forward-model parameters</w:t>
            </w:r>
          </w:p>
          <w:p>
            <w:pPr>
              <w:keepNext w:val="0"/>
              <w:spacing w:after="0"/>
            </w:pPr>
            <w:r>
              <w:rPr>
                <w:rFonts w:ascii="Calibri" w:hAnsi="Calibri"/>
                <w:b w:val="0"/>
                <w:i w:val="0"/>
                <w:color w:val="222222"/>
                <w:sz w:val="20"/>
              </w:rPr>
              <w:t>Appendix J &amp; K — Microchannel detector robustness, and timings</w:t>
            </w:r>
          </w:p>
          <w:p>
            <w:pPr>
              <w:keepNext w:val="0"/>
              <w:spacing w:after="0"/>
            </w:pPr>
            <w:r>
              <w:rPr>
                <w:rFonts w:ascii="Calibri" w:hAnsi="Calibri"/>
                <w:b w:val="0"/>
                <w:i w:val="0"/>
                <w:color w:val="222222"/>
                <w:sz w:val="20"/>
              </w:rPr>
              <w:t>Appendix L, M &amp; N — Sensory validation, dose tracking and species transfer</w:t>
            </w:r>
          </w:p>
          <w:p>
            <w:pPr>
              <w:keepNext w:val="0"/>
              <w:spacing w:after="0"/>
            </w:pPr>
            <w:r>
              <w:rPr>
                <w:rFonts w:ascii="Calibri" w:hAnsi="Calibri"/>
                <w:b w:val="0"/>
                <w:i w:val="0"/>
                <w:color w:val="222222"/>
                <w:sz w:val="20"/>
              </w:rPr>
              <w:t>Appendix O — Third-party software, models and AI tools</w:t>
            </w:r>
          </w:p>
        </w:tc>
      </w:tr>
    </w:tbl>
    <w:p>
      <w:r>
        <w:br w:type="page"/>
      </w:r>
    </w:p>
    <w:p>
      <w:pPr>
        <w:keepNext/>
        <w:spacing w:before="360" w:after="120"/>
      </w:pPr>
      <w:r>
        <w:rPr>
          <w:rFonts w:ascii="Calibri" w:hAnsi="Calibri"/>
          <w:b/>
          <w:i w:val="0"/>
          <w:color w:val="2F5597"/>
          <w:sz w:val="27"/>
        </w:rPr>
        <w:t>ACT I: Foundations and the data asset</w:t>
      </w:r>
    </w:p>
    <w:p>
      <w:pPr>
        <w:keepNext/>
        <w:spacing w:before="240" w:after="60"/>
      </w:pPr>
      <w:r>
        <w:rPr>
          <w:rFonts w:ascii="Calibri" w:hAnsi="Calibri"/>
          <w:b/>
          <w:i w:val="0"/>
          <w:color w:val="1F4E79"/>
          <w:sz w:val="23"/>
        </w:rPr>
        <w:t>1. What this is, and what it is not</w:t>
      </w:r>
    </w:p>
    <w:p>
      <w:pPr>
        <w:spacing w:after="120"/>
      </w:pPr>
      <w:r>
        <w:rPr>
          <w:rFonts w:ascii="Calibri" w:hAnsi="Calibri"/>
          <w:b w:val="0"/>
          <w:i w:val="0"/>
          <w:color w:val="222222"/>
          <w:sz w:val="21"/>
        </w:rPr>
        <w:t>A microelectrode array is a grid of tiny listening posts under a living neural culture. Neurobiologists use it to answer a simple question: does this compound change how the network fires, and if so, how? In practice, every laboratory answers it differently. Labs use different plates, different spike sorters and different definitions of what counts as a burst, so two papers can study the same compound on the same cell type and still not be comparable. On top of that, most groups deposit only a table of summary numbers rather than the spikes themselves — a bit like receiving the book review instead of the book.</w:t>
      </w:r>
    </w:p>
    <w:p>
      <w:pPr>
        <w:spacing w:after="120"/>
      </w:pPr>
      <w:r>
        <w:rPr>
          <w:rFonts w:ascii="Calibri" w:hAnsi="Calibri"/>
          <w:b/>
          <w:i w:val="0"/>
          <w:color w:val="156082"/>
          <w:sz w:val="21"/>
        </w:rPr>
        <w:t>Where this matters.</w:t>
      </w:r>
      <w:r>
        <w:rPr>
          <w:rFonts w:ascii="Calibri" w:hAnsi="Calibri"/>
          <w:b w:val="0"/>
          <w:i w:val="0"/>
          <w:color w:val="222222"/>
          <w:sz w:val="21"/>
        </w:rPr>
        <w:t xml:space="preserve"> The people who feel this most are the ones who need to combine data they did not record themselves: a lab checking whether a compound behaves on its own platform the way it did in a published study, a contract research organization deciding which features to report, or a chip designer trying to prove that a microchannel really makes signals flow one way. We built NeuroMPS for exactly those situations.</w:t>
      </w:r>
    </w:p>
    <w:p>
      <w:pPr>
        <w:spacing w:after="120"/>
      </w:pPr>
      <w:r>
        <w:rPr>
          <w:rFonts w:ascii="Calibri" w:hAnsi="Calibri"/>
          <w:b w:val="0"/>
          <w:i w:val="0"/>
          <w:color w:val="222222"/>
          <w:sz w:val="21"/>
        </w:rPr>
        <w:t>We tackle the problem in three steps, and this report follows the same order.</w:t>
      </w:r>
    </w:p>
    <w:p>
      <w:pPr>
        <w:spacing w:after="120"/>
        <w:ind w:left="432" w:hanging="259"/>
      </w:pPr>
      <w:r>
        <w:rPr>
          <w:rFonts w:ascii="Calibri" w:hAnsi="Calibri"/>
          <w:b w:val="0"/>
          <w:i w:val="0"/>
          <w:color w:val="222222"/>
          <w:sz w:val="21"/>
        </w:rPr>
        <w:t>•</w:t>
        <w:tab/>
      </w:r>
      <w:r>
        <w:rPr>
          <w:rFonts w:ascii="Calibri" w:hAnsi="Calibri"/>
          <w:b/>
          <w:i w:val="0"/>
          <w:color w:val="156082"/>
          <w:sz w:val="21"/>
        </w:rPr>
        <w:t>We build one harmonized dataset.</w:t>
      </w:r>
      <w:r>
        <w:rPr>
          <w:rFonts w:ascii="Calibri" w:hAnsi="Calibri"/>
          <w:b w:val="0"/>
          <w:i w:val="0"/>
          <w:color w:val="222222"/>
          <w:sz w:val="21"/>
        </w:rPr>
        <w:t xml:space="preserve"> We assembled eight public sources into one table, with one exact definition for every feature. A number from Kapucu's plate and a number from ScreenNeuroPharm's chamber are comparable because the same code computed both from the same kind of raw spike input. Every record says where it came from and under what license, and carries a checksum of its original file.</w:t>
      </w:r>
    </w:p>
    <w:p>
      <w:pPr>
        <w:spacing w:after="120"/>
        <w:ind w:left="432" w:hanging="259"/>
      </w:pPr>
      <w:r>
        <w:rPr>
          <w:rFonts w:ascii="Calibri" w:hAnsi="Calibri"/>
          <w:b w:val="0"/>
          <w:i w:val="0"/>
          <w:color w:val="222222"/>
          <w:sz w:val="21"/>
        </w:rPr>
        <w:t>•</w:t>
        <w:tab/>
      </w:r>
      <w:r>
        <w:rPr>
          <w:rFonts w:ascii="Calibri" w:hAnsi="Calibri"/>
          <w:b/>
          <w:i w:val="0"/>
          <w:color w:val="156082"/>
          <w:sz w:val="21"/>
        </w:rPr>
        <w:t>We ask what that dataset can support.</w:t>
      </w:r>
      <w:r>
        <w:rPr>
          <w:rFonts w:ascii="Calibri" w:hAnsi="Calibri"/>
          <w:b w:val="0"/>
          <w:i w:val="0"/>
          <w:color w:val="222222"/>
          <w:sz w:val="21"/>
        </w:rPr>
        <w:t xml:space="preserve"> We run models on the real recordings to find out which conclusions survive a change of laboratory, of species and of platform — and which questions a chamber-level readout cannot answer at all.</w:t>
      </w:r>
    </w:p>
    <w:p>
      <w:pPr>
        <w:keepNext/>
        <w:spacing w:after="120"/>
        <w:ind w:left="432" w:hanging="259"/>
      </w:pPr>
      <w:r>
        <w:rPr>
          <w:rFonts w:ascii="Calibri" w:hAnsi="Calibri"/>
          <w:b w:val="0"/>
          <w:i w:val="0"/>
          <w:color w:val="222222"/>
          <w:sz w:val="21"/>
        </w:rPr>
        <w:t>•</w:t>
        <w:tab/>
      </w:r>
      <w:r>
        <w:rPr>
          <w:rFonts w:ascii="Calibri" w:hAnsi="Calibri"/>
          <w:b/>
          <w:i w:val="0"/>
          <w:color w:val="156082"/>
          <w:sz w:val="21"/>
        </w:rPr>
        <w:t>We build a digital twin for the questions the recordings cannot answer.</w:t>
      </w:r>
      <w:r>
        <w:rPr>
          <w:rFonts w:ascii="Calibri" w:hAnsi="Calibri"/>
          <w:b w:val="0"/>
          <w:i w:val="0"/>
          <w:color w:val="222222"/>
          <w:sz w:val="21"/>
        </w:rPr>
        <w:t xml:space="preserve"> It is a forward simulation of a two-compartment neural chip: two populations of model neurons wired through a directional microchannel pathway, with virtual electrodes over them. We tune it against real chamber baselines from the dataset and score it with the same feature code, so it cannot make itself look good by being measured differently.</w:t>
      </w:r>
    </w:p>
    <w:p>
      <w:pPr>
        <w:keepNext/>
        <w:spacing w:before="120" w:after="40"/>
        <w:jc w:val="center"/>
      </w:pPr>
      <w:r>
        <w:drawing>
          <wp:inline xmlns:a="http://schemas.openxmlformats.org/drawingml/2006/main" xmlns:pic="http://schemas.openxmlformats.org/drawingml/2006/picture">
            <wp:extent cx="5394960" cy="2438130"/>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394960" cy="2438130"/>
                    </a:xfrm>
                    <a:prstGeom prst="rect"/>
                  </pic:spPr>
                </pic:pic>
              </a:graphicData>
            </a:graphic>
          </wp:inline>
        </w:drawing>
      </w:r>
    </w:p>
    <w:p>
      <w:pPr>
        <w:spacing w:after="200"/>
        <w:jc w:val="center"/>
      </w:pPr>
      <w:r>
        <w:rPr>
          <w:rFonts w:ascii="Calibri" w:hAnsi="Calibri"/>
          <w:b/>
          <w:i/>
          <w:color w:val="222222"/>
          <w:sz w:val="17"/>
        </w:rPr>
        <w:t xml:space="preserve">Figure 1. </w:t>
      </w:r>
      <w:r>
        <w:rPr>
          <w:rFonts w:ascii="Calibri" w:hAnsi="Calibri"/>
          <w:b w:val="0"/>
          <w:i/>
          <w:color w:val="222222"/>
          <w:sz w:val="17"/>
        </w:rPr>
        <w:t>System architecture. REAL recordings and SIMULATED twin output pass through the same feature extractor, and provenance is enforced at the boundary of the data asset.</w:t>
      </w:r>
    </w:p>
    <w:p>
      <w:pPr>
        <w:spacing w:after="120"/>
      </w:pPr>
      <w:r>
        <w:rPr>
          <w:rFonts w:ascii="Calibri" w:hAnsi="Calibri"/>
          <w:b/>
          <w:i w:val="0"/>
          <w:color w:val="156082"/>
          <w:sz w:val="21"/>
        </w:rPr>
        <w:t>What it is not.</w:t>
      </w:r>
      <w:r>
        <w:rPr>
          <w:rFonts w:ascii="Calibri" w:hAnsi="Calibri"/>
          <w:b w:val="0"/>
          <w:i w:val="0"/>
          <w:color w:val="222222"/>
          <w:sz w:val="21"/>
        </w:rPr>
        <w:t xml:space="preserve"> NeuroMPS is not an automated screening platform, and it does not predict whether an uncharacterized compound is safe or effective. Several of our most useful results are negative: they show that a measurement does not contain a signal people routinely assume it does. We treat those results (§18) as a core deliverable, not as an apology.</w:t>
      </w:r>
    </w:p>
    <w:p>
      <w:pPr>
        <w:keepNext/>
        <w:spacing w:before="240" w:after="60"/>
      </w:pPr>
      <w:r>
        <w:rPr>
          <w:rFonts w:ascii="Calibri" w:hAnsi="Calibri"/>
          <w:b/>
          <w:i w:val="0"/>
          <w:color w:val="1F4E79"/>
          <w:sz w:val="23"/>
        </w:rPr>
        <w:t>2. The data</w:t>
      </w:r>
    </w:p>
    <w:p>
      <w:pPr>
        <w:keepNext/>
        <w:spacing w:after="120"/>
      </w:pPr>
      <w:r>
        <w:rPr>
          <w:rFonts w:ascii="Calibri" w:hAnsi="Calibri"/>
          <w:b w:val="0"/>
          <w:i w:val="0"/>
          <w:color w:val="222222"/>
          <w:sz w:val="21"/>
        </w:rPr>
        <w:t>Our asset holds 21,887 records from eight public sources. They are not all the same kind of record, and that difference matters more than the count.</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935"/>
        <w:gridCol w:w="1439"/>
        <w:gridCol w:w="4122"/>
      </w:tblGrid>
      <w:tr>
        <w:trPr>
          <w:cantSplit/>
          <w:tblHeader/>
        </w:trPr>
        <w:tc>
          <w:tcPr>
            <w:tcW w:type="dxa" w:w="2935"/>
            <w:shd w:val="clear" w:color="auto" w:fill="1F4E79"/>
            <w:vAlign w:val="center"/>
          </w:tcPr>
          <w:p>
            <w:pPr>
              <w:keepNext/>
              <w:spacing w:after="0"/>
            </w:pPr>
            <w:r>
              <w:rPr>
                <w:rFonts w:ascii="Calibri" w:hAnsi="Calibri"/>
                <w:b/>
                <w:i w:val="0"/>
                <w:color w:val="FFFFFF"/>
                <w:sz w:val="20"/>
              </w:rPr>
              <w:t>what the record holds</w:t>
            </w:r>
          </w:p>
        </w:tc>
        <w:tc>
          <w:tcPr>
            <w:tcW w:type="dxa" w:w="1439"/>
            <w:shd w:val="clear" w:color="auto" w:fill="1F4E79"/>
            <w:vAlign w:val="center"/>
          </w:tcPr>
          <w:p>
            <w:pPr>
              <w:keepNext/>
              <w:spacing w:after="0"/>
              <w:jc w:val="center"/>
            </w:pPr>
            <w:r>
              <w:rPr>
                <w:rFonts w:ascii="Calibri" w:hAnsi="Calibri"/>
                <w:b/>
                <w:i w:val="0"/>
                <w:color w:val="FFFFFF"/>
                <w:sz w:val="20"/>
              </w:rPr>
              <w:t>record count</w:t>
            </w:r>
          </w:p>
        </w:tc>
        <w:tc>
          <w:tcPr>
            <w:tcW w:type="dxa" w:w="4122"/>
            <w:shd w:val="clear" w:color="auto" w:fill="1F4E79"/>
            <w:vAlign w:val="center"/>
          </w:tcPr>
          <w:p>
            <w:pPr>
              <w:keepNext/>
              <w:spacing w:after="0"/>
            </w:pPr>
            <w:r>
              <w:rPr>
                <w:rFonts w:ascii="Calibri" w:hAnsi="Calibri"/>
                <w:b/>
                <w:i w:val="0"/>
                <w:color w:val="FFFFFF"/>
                <w:sz w:val="20"/>
              </w:rPr>
              <w:t>what you can do with it</w:t>
            </w:r>
          </w:p>
        </w:tc>
      </w:tr>
      <w:tr>
        <w:trPr>
          <w:cantSplit/>
        </w:trPr>
        <w:tc>
          <w:tcPr>
            <w:tcW w:type="dxa" w:w="2935"/>
            <w:shd w:val="clear" w:color="auto" w:fill="FFFFFF"/>
            <w:vAlign w:val="center"/>
          </w:tcPr>
          <w:p>
            <w:pPr>
              <w:keepNext/>
              <w:spacing w:after="0"/>
            </w:pPr>
            <w:r>
              <w:rPr>
                <w:rFonts w:ascii="Calibri" w:hAnsi="Calibri"/>
                <w:b/>
                <w:i w:val="0"/>
                <w:color w:val="222222"/>
                <w:sz w:val="20"/>
              </w:rPr>
              <w:t>spike times</w:t>
            </w:r>
          </w:p>
        </w:tc>
        <w:tc>
          <w:tcPr>
            <w:tcW w:type="dxa" w:w="1439"/>
            <w:shd w:val="clear" w:color="auto" w:fill="FFFFFF"/>
            <w:vAlign w:val="center"/>
          </w:tcPr>
          <w:p>
            <w:pPr>
              <w:keepNext/>
              <w:spacing w:after="0"/>
              <w:jc w:val="center"/>
            </w:pPr>
            <w:r>
              <w:rPr>
                <w:rFonts w:ascii="Calibri" w:hAnsi="Calibri"/>
                <w:b w:val="0"/>
                <w:i w:val="0"/>
                <w:color w:val="222222"/>
                <w:sz w:val="20"/>
              </w:rPr>
              <w:t>1,512</w:t>
            </w:r>
          </w:p>
        </w:tc>
        <w:tc>
          <w:tcPr>
            <w:tcW w:type="dxa" w:w="4122"/>
            <w:shd w:val="clear" w:color="auto" w:fill="FFFFFF"/>
            <w:vAlign w:val="center"/>
          </w:tcPr>
          <w:p>
            <w:pPr>
              <w:keepNext/>
              <w:spacing w:after="0"/>
            </w:pPr>
            <w:r>
              <w:rPr>
                <w:rFonts w:ascii="Calibri" w:hAnsi="Calibri"/>
                <w:b w:val="0"/>
                <w:i w:val="0"/>
                <w:color w:val="222222"/>
                <w:sz w:val="20"/>
              </w:rPr>
              <w:t>recompute any feature from scratch with our common code</w:t>
            </w:r>
          </w:p>
        </w:tc>
      </w:tr>
      <w:tr>
        <w:trPr>
          <w:cantSplit/>
        </w:trPr>
        <w:tc>
          <w:tcPr>
            <w:tcW w:type="dxa" w:w="2935"/>
            <w:shd w:val="clear" w:color="auto" w:fill="F7F9FB"/>
            <w:vAlign w:val="center"/>
          </w:tcPr>
          <w:p>
            <w:pPr>
              <w:keepNext w:val="0"/>
              <w:spacing w:after="0"/>
            </w:pPr>
            <w:r>
              <w:rPr>
                <w:rFonts w:ascii="Calibri" w:hAnsi="Calibri"/>
                <w:b/>
                <w:i w:val="0"/>
                <w:color w:val="222222"/>
                <w:sz w:val="20"/>
              </w:rPr>
              <w:t>fitted dose-response curves</w:t>
            </w:r>
          </w:p>
        </w:tc>
        <w:tc>
          <w:tcPr>
            <w:tcW w:type="dxa" w:w="1439"/>
            <w:shd w:val="clear" w:color="auto" w:fill="F7F9FB"/>
            <w:vAlign w:val="center"/>
          </w:tcPr>
          <w:p>
            <w:pPr>
              <w:keepNext w:val="0"/>
              <w:spacing w:after="0"/>
              <w:jc w:val="center"/>
            </w:pPr>
            <w:r>
              <w:rPr>
                <w:rFonts w:ascii="Calibri" w:hAnsi="Calibri"/>
                <w:b w:val="0"/>
                <w:i w:val="0"/>
                <w:color w:val="222222"/>
                <w:sz w:val="20"/>
              </w:rPr>
              <w:t>20,375</w:t>
            </w:r>
          </w:p>
        </w:tc>
        <w:tc>
          <w:tcPr>
            <w:tcW w:type="dxa" w:w="4122"/>
            <w:shd w:val="clear" w:color="auto" w:fill="F7F9FB"/>
            <w:vAlign w:val="center"/>
          </w:tcPr>
          <w:p>
            <w:pPr>
              <w:keepNext w:val="0"/>
              <w:spacing w:after="0"/>
            </w:pPr>
            <w:r>
              <w:rPr>
                <w:rFonts w:ascii="Calibri" w:hAnsi="Calibri"/>
                <w:b w:val="0"/>
                <w:i w:val="0"/>
                <w:color w:val="222222"/>
                <w:sz w:val="20"/>
              </w:rPr>
              <w:t>read a potency estimate that another laboratory fitted</w:t>
            </w:r>
          </w:p>
        </w:tc>
      </w:tr>
    </w:tbl>
    <w:p>
      <w:pPr>
        <w:spacing w:after="80"/>
      </w:pPr>
    </w:p>
    <w:p>
      <w:pPr>
        <w:spacing w:after="120"/>
      </w:pPr>
      <w:r>
        <w:rPr>
          <w:rFonts w:ascii="Calibri" w:hAnsi="Calibri"/>
          <w:b w:val="0"/>
          <w:i w:val="0"/>
          <w:color w:val="222222"/>
          <w:sz w:val="21"/>
        </w:rPr>
        <w:t>We require every record in our dataset to explicitly declare its data type. While that might sound like routine bookkeeping, it directly protects our pipeline: virtually all of our predictive modeling and twin calibration rely solely on spike-time recordings, because only those can pass through our unified feature extractor. If we had simply lumped the two record types together into a single table, the dataset would look twenty times larger — but it would be twenty times less useful to us.</w:t>
      </w:r>
    </w:p>
    <w:p>
      <w:pPr>
        <w:spacing w:after="120"/>
      </w:pPr>
      <w:r>
        <w:rPr>
          <w:rFonts w:ascii="Calibri" w:hAnsi="Calibri"/>
          <w:b/>
          <w:i w:val="0"/>
          <w:color w:val="156082"/>
          <w:sz w:val="21"/>
        </w:rPr>
        <w:t>The species imbalance.</w:t>
      </w:r>
      <w:r>
        <w:rPr>
          <w:rFonts w:ascii="Calibri" w:hAnsi="Calibri"/>
          <w:b w:val="0"/>
          <w:i w:val="0"/>
          <w:color w:val="222222"/>
          <w:sz w:val="21"/>
        </w:rPr>
        <w:t xml:space="preserve"> By species, our asset holds 21,530 rat and 357 human records. This imbalance is the single biggest limitation of the project, and no amount of clever coding can fix it: it reflects what is publicly available under licenses that permit reuse. Rather than hide it, we treat it as an explicit boundary whenever we test species transfer.</w:t>
      </w:r>
    </w:p>
    <w:p>
      <w:pPr>
        <w:spacing w:after="120"/>
      </w:pPr>
      <w:r>
        <w:rPr>
          <w:rFonts w:ascii="Calibri" w:hAnsi="Calibri"/>
          <w:b/>
          <w:i w:val="0"/>
          <w:color w:val="156082"/>
          <w:sz w:val="21"/>
        </w:rPr>
        <w:t>The case that tested our rules.</w:t>
      </w:r>
      <w:r>
        <w:rPr>
          <w:rFonts w:ascii="Calibri" w:hAnsi="Calibri"/>
          <w:b w:val="0"/>
          <w:i w:val="0"/>
          <w:color w:val="222222"/>
          <w:sz w:val="21"/>
        </w:rPr>
        <w:t xml:space="preserve"> One dataset (Tukker 2020) was an ideal scientific fit, and we still excluded it. It is licensed CC BY-NC, and the competition rules give the organizing committee joint ownership of entries — a right that a non-commercial license does not allow us to grant. We record the exclusion and its reason in </w:t>
      </w:r>
      <w:r>
        <w:rPr>
          <w:rFonts w:ascii="Consolas" w:hAnsi="Consolas"/>
          <w:b w:val="0"/>
          <w:i w:val="0"/>
          <w:color w:val="222222"/>
          <w:sz w:val="19"/>
        </w:rPr>
        <w:t>data/raw/MANIFEST.json</w:t>
      </w:r>
      <w:r>
        <w:rPr>
          <w:rFonts w:ascii="Calibri" w:hAnsi="Calibri"/>
          <w:b w:val="0"/>
          <w:i w:val="0"/>
          <w:color w:val="222222"/>
          <w:sz w:val="21"/>
        </w:rPr>
        <w:t>, next to the sources we accepted, instead of letting the dataset quietly disappear. We mention it because you should be able to check that our license discipline is real rather than claimed: every source re-checks its license at fetch time, and the build stops if any checksum disagrees with the manifest.</w:t>
      </w:r>
    </w:p>
    <w:p>
      <w:pPr>
        <w:keepNext/>
        <w:spacing w:before="360" w:after="120"/>
      </w:pPr>
      <w:r>
        <w:rPr>
          <w:rFonts w:ascii="Calibri" w:hAnsi="Calibri"/>
          <w:b/>
          <w:i w:val="0"/>
          <w:color w:val="2F5597"/>
          <w:sz w:val="27"/>
        </w:rPr>
        <w:t>ACT II: Standardizing the mess and benchmarking real biology</w:t>
      </w:r>
    </w:p>
    <w:p>
      <w:pPr>
        <w:keepNext/>
        <w:spacing w:before="240" w:after="60"/>
      </w:pPr>
      <w:r>
        <w:rPr>
          <w:rFonts w:ascii="Calibri" w:hAnsi="Calibri"/>
          <w:b/>
          <w:i w:val="0"/>
          <w:color w:val="1F4E79"/>
          <w:sz w:val="23"/>
        </w:rPr>
        <w:t>3. Are two laboratories' numbers actually comparable?</w:t>
      </w:r>
    </w:p>
    <w:p>
      <w:pPr>
        <w:spacing w:after="120"/>
      </w:pPr>
      <w:r>
        <w:rPr>
          <w:rFonts w:ascii="Calibri" w:hAnsi="Calibri"/>
          <w:b w:val="0"/>
          <w:i w:val="0"/>
          <w:color w:val="222222"/>
          <w:sz w:val="21"/>
        </w:rPr>
        <w:t xml:space="preserve">The whole dataset rests on this question, so we tested it instead of assuming it. One module, </w:t>
      </w:r>
      <w:r>
        <w:rPr>
          <w:rFonts w:ascii="Consolas" w:hAnsi="Consolas"/>
          <w:b w:val="0"/>
          <w:i w:val="0"/>
          <w:color w:val="222222"/>
          <w:sz w:val="19"/>
        </w:rPr>
        <w:t>features/mea.py</w:t>
      </w:r>
      <w:r>
        <w:rPr>
          <w:rFonts w:ascii="Calibri" w:hAnsi="Calibri"/>
          <w:b w:val="0"/>
          <w:i w:val="0"/>
          <w:color w:val="222222"/>
          <w:sz w:val="21"/>
        </w:rPr>
        <w:t>, computes all nine features directly from spike times: mean firing rate, burst rate, burst duration, spikes per burst, percentage of spikes in bursts, network burst rate, synchrony index, the coefficient of variation of inter-spike intervals, and the number of active electrodes.</w:t>
      </w:r>
    </w:p>
    <w:p>
      <w:pPr>
        <w:spacing w:after="120"/>
      </w:pPr>
      <w:r>
        <w:rPr>
          <w:rFonts w:ascii="Calibri" w:hAnsi="Calibri"/>
          <w:b w:val="0"/>
          <w:i w:val="0"/>
          <w:color w:val="222222"/>
          <w:sz w:val="21"/>
        </w:rPr>
        <w:t>We detect bursts with a stated rule — spikes closer than 100 ms, at least five in a row — rather than a vendor default. For synchrony we use the spike-time tiling coefficient (STTC) with a 50 ms coincidence window. Unlike a plain correlation, STTC does not reward two electrodes just for both being busy.</w:t>
      </w:r>
    </w:p>
    <w:p>
      <w:pPr>
        <w:keepNext/>
        <w:spacing w:after="120"/>
      </w:pPr>
      <w:r>
        <w:rPr>
          <w:rFonts w:ascii="Calibri" w:hAnsi="Calibri"/>
          <w:b/>
          <w:i w:val="0"/>
          <w:color w:val="156082"/>
          <w:sz w:val="21"/>
        </w:rPr>
        <w:t>The benchmark.</w:t>
      </w:r>
      <w:r>
        <w:rPr>
          <w:rFonts w:ascii="Calibri" w:hAnsi="Calibri"/>
          <w:b w:val="0"/>
          <w:i w:val="0"/>
          <w:color w:val="222222"/>
          <w:sz w:val="21"/>
        </w:rPr>
        <w:t xml:space="preserve"> Kapucu and colleagues deposited their own feature tables alongside their spike files, computed with </w:t>
      </w:r>
      <w:r>
        <w:rPr>
          <w:rFonts w:ascii="Consolas" w:hAnsi="Consolas"/>
          <w:b w:val="0"/>
          <w:i w:val="0"/>
          <w:color w:val="222222"/>
          <w:sz w:val="19"/>
        </w:rPr>
        <w:t>meaRtools</w:t>
      </w:r>
      <w:r>
        <w:rPr>
          <w:rFonts w:ascii="Calibri" w:hAnsi="Calibri"/>
          <w:b w:val="0"/>
          <w:i w:val="0"/>
          <w:color w:val="222222"/>
          <w:sz w:val="21"/>
        </w:rPr>
        <w:t>. That gave us an independent implementation to test against: we ran our code over their spikes and compared the results across 336 recordings on 3 plates, 2,298 paired values in total. We consider this the most important methodological result in the report, so here it is, plainly.</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3193"/>
        <w:gridCol w:w="1472"/>
        <w:gridCol w:w="1458"/>
        <w:gridCol w:w="2373"/>
      </w:tblGrid>
      <w:tr>
        <w:trPr>
          <w:cantSplit/>
          <w:tblHeader/>
        </w:trPr>
        <w:tc>
          <w:tcPr>
            <w:tcW w:type="dxa" w:w="3193"/>
            <w:shd w:val="clear" w:color="auto" w:fill="1F4E79"/>
            <w:vAlign w:val="center"/>
          </w:tcPr>
          <w:p>
            <w:pPr>
              <w:keepNext/>
              <w:spacing w:after="0"/>
            </w:pPr>
            <w:r>
              <w:rPr>
                <w:rFonts w:ascii="Calibri" w:hAnsi="Calibri"/>
                <w:b/>
                <w:i w:val="0"/>
                <w:color w:val="FFFFFF"/>
                <w:sz w:val="20"/>
              </w:rPr>
              <w:t>feature</w:t>
            </w:r>
          </w:p>
        </w:tc>
        <w:tc>
          <w:tcPr>
            <w:tcW w:type="dxa" w:w="1472"/>
            <w:shd w:val="clear" w:color="auto" w:fill="1F4E79"/>
            <w:vAlign w:val="center"/>
          </w:tcPr>
          <w:p>
            <w:pPr>
              <w:keepNext/>
              <w:spacing w:after="0"/>
              <w:jc w:val="center"/>
            </w:pPr>
            <w:r>
              <w:rPr>
                <w:rFonts w:ascii="Calibri" w:hAnsi="Calibri"/>
                <w:b/>
                <w:i w:val="0"/>
                <w:color w:val="FFFFFF"/>
                <w:sz w:val="20"/>
              </w:rPr>
              <w:t>rank agreement (ρ)</w:t>
            </w:r>
          </w:p>
        </w:tc>
        <w:tc>
          <w:tcPr>
            <w:tcW w:type="dxa" w:w="1458"/>
            <w:shd w:val="clear" w:color="auto" w:fill="1F4E79"/>
            <w:vAlign w:val="center"/>
          </w:tcPr>
          <w:p>
            <w:pPr>
              <w:keepNext/>
              <w:spacing w:after="0"/>
              <w:jc w:val="center"/>
            </w:pPr>
            <w:r>
              <w:rPr>
                <w:rFonts w:ascii="Calibri" w:hAnsi="Calibri"/>
                <w:b/>
                <w:i w:val="0"/>
                <w:color w:val="FFFFFF"/>
                <w:sz w:val="20"/>
              </w:rPr>
              <w:t>value ratio (ours / theirs)</w:t>
            </w:r>
          </w:p>
        </w:tc>
        <w:tc>
          <w:tcPr>
            <w:tcW w:type="dxa" w:w="2373"/>
            <w:shd w:val="clear" w:color="auto" w:fill="1F4E79"/>
            <w:vAlign w:val="center"/>
          </w:tcPr>
          <w:p>
            <w:pPr>
              <w:keepNext/>
              <w:spacing w:after="0"/>
            </w:pPr>
            <w:r>
              <w:rPr>
                <w:rFonts w:ascii="Calibri" w:hAnsi="Calibri"/>
                <w:b/>
                <w:i w:val="0"/>
                <w:color w:val="FFFFFF"/>
                <w:sz w:val="20"/>
              </w:rPr>
              <w:t>practical consequence</w:t>
            </w:r>
          </w:p>
        </w:tc>
      </w:tr>
      <w:tr>
        <w:trPr>
          <w:cantSplit/>
        </w:trPr>
        <w:tc>
          <w:tcPr>
            <w:tcW w:type="dxa" w:w="3193"/>
            <w:shd w:val="clear" w:color="auto" w:fill="FFFFFF"/>
            <w:vAlign w:val="center"/>
          </w:tcPr>
          <w:p>
            <w:pPr>
              <w:keepNext/>
              <w:spacing w:after="0"/>
            </w:pPr>
            <w:r>
              <w:rPr>
                <w:rFonts w:ascii="Consolas" w:hAnsi="Consolas"/>
                <w:b/>
                <w:i w:val="0"/>
                <w:color w:val="222222"/>
                <w:sz w:val="18"/>
              </w:rPr>
              <w:t>synchrony_index</w:t>
            </w:r>
          </w:p>
        </w:tc>
        <w:tc>
          <w:tcPr>
            <w:tcW w:type="dxa" w:w="1472"/>
            <w:shd w:val="clear" w:color="auto" w:fill="FFFFFF"/>
            <w:vAlign w:val="center"/>
          </w:tcPr>
          <w:p>
            <w:pPr>
              <w:keepNext/>
              <w:spacing w:after="0"/>
              <w:jc w:val="center"/>
            </w:pPr>
            <w:r>
              <w:rPr>
                <w:rFonts w:ascii="Calibri" w:hAnsi="Calibri"/>
                <w:b w:val="0"/>
                <w:i w:val="0"/>
                <w:color w:val="222222"/>
                <w:sz w:val="20"/>
              </w:rPr>
              <w:t>0.9839</w:t>
            </w:r>
          </w:p>
        </w:tc>
        <w:tc>
          <w:tcPr>
            <w:tcW w:type="dxa" w:w="1458"/>
            <w:shd w:val="clear" w:color="auto" w:fill="FFFFFF"/>
            <w:vAlign w:val="center"/>
          </w:tcPr>
          <w:p>
            <w:pPr>
              <w:keepNext/>
              <w:spacing w:after="0"/>
              <w:jc w:val="center"/>
            </w:pPr>
            <w:r>
              <w:rPr>
                <w:rFonts w:ascii="Calibri" w:hAnsi="Calibri"/>
                <w:b w:val="0"/>
                <w:i w:val="0"/>
                <w:color w:val="222222"/>
                <w:sz w:val="20"/>
              </w:rPr>
              <w:t>0.736</w:t>
            </w:r>
          </w:p>
        </w:tc>
        <w:tc>
          <w:tcPr>
            <w:tcW w:type="dxa" w:w="2373"/>
            <w:shd w:val="clear" w:color="auto" w:fill="FFFFFF"/>
            <w:vAlign w:val="center"/>
          </w:tcPr>
          <w:p>
            <w:pPr>
              <w:keepNext/>
              <w:spacing w:after="0"/>
            </w:pPr>
            <w:r>
              <w:rPr>
                <w:rFonts w:ascii="Calibri" w:hAnsi="Calibri"/>
                <w:b w:val="0"/>
                <w:i w:val="0"/>
                <w:color w:val="222222"/>
                <w:sz w:val="20"/>
              </w:rPr>
              <w:t>ranks match; our STTC is about a quarter lower</w:t>
            </w:r>
          </w:p>
        </w:tc>
      </w:tr>
      <w:tr>
        <w:trPr>
          <w:cantSplit/>
        </w:trPr>
        <w:tc>
          <w:tcPr>
            <w:tcW w:type="dxa" w:w="3193"/>
            <w:shd w:val="clear" w:color="auto" w:fill="F7F9FB"/>
            <w:vAlign w:val="center"/>
          </w:tcPr>
          <w:p>
            <w:pPr>
              <w:keepNext/>
              <w:spacing w:after="0"/>
            </w:pPr>
            <w:r>
              <w:rPr>
                <w:rFonts w:ascii="Consolas" w:hAnsi="Consolas"/>
                <w:b/>
                <w:i w:val="0"/>
                <w:color w:val="222222"/>
                <w:sz w:val="18"/>
              </w:rPr>
              <w:t>mfr_hz</w:t>
            </w:r>
          </w:p>
        </w:tc>
        <w:tc>
          <w:tcPr>
            <w:tcW w:type="dxa" w:w="1472"/>
            <w:shd w:val="clear" w:color="auto" w:fill="F7F9FB"/>
            <w:vAlign w:val="center"/>
          </w:tcPr>
          <w:p>
            <w:pPr>
              <w:keepNext/>
              <w:spacing w:after="0"/>
              <w:jc w:val="center"/>
            </w:pPr>
            <w:r>
              <w:rPr>
                <w:rFonts w:ascii="Calibri" w:hAnsi="Calibri"/>
                <w:b w:val="0"/>
                <w:i w:val="0"/>
                <w:color w:val="222222"/>
                <w:sz w:val="20"/>
              </w:rPr>
              <w:t>0.9831</w:t>
            </w:r>
          </w:p>
        </w:tc>
        <w:tc>
          <w:tcPr>
            <w:tcW w:type="dxa" w:w="1458"/>
            <w:shd w:val="clear" w:color="auto" w:fill="F7F9FB"/>
            <w:vAlign w:val="center"/>
          </w:tcPr>
          <w:p>
            <w:pPr>
              <w:keepNext/>
              <w:spacing w:after="0"/>
              <w:jc w:val="center"/>
            </w:pPr>
            <w:r>
              <w:rPr>
                <w:rFonts w:ascii="Calibri" w:hAnsi="Calibri"/>
                <w:b w:val="0"/>
                <w:i w:val="0"/>
                <w:color w:val="222222"/>
                <w:sz w:val="20"/>
              </w:rPr>
              <w:t>0.7539</w:t>
            </w:r>
          </w:p>
        </w:tc>
        <w:tc>
          <w:tcPr>
            <w:tcW w:type="dxa" w:w="2373"/>
            <w:shd w:val="clear" w:color="auto" w:fill="F7F9FB"/>
            <w:vAlign w:val="center"/>
          </w:tcPr>
          <w:p>
            <w:pPr>
              <w:keepNext/>
              <w:spacing w:after="0"/>
            </w:pPr>
            <w:r>
              <w:rPr>
                <w:rFonts w:ascii="Calibri" w:hAnsi="Calibri"/>
                <w:b w:val="0"/>
                <w:i w:val="0"/>
                <w:color w:val="222222"/>
                <w:sz w:val="20"/>
              </w:rPr>
              <w:t>ranks match; baseline firing rate scaled differently</w:t>
            </w:r>
          </w:p>
        </w:tc>
      </w:tr>
      <w:tr>
        <w:trPr>
          <w:cantSplit/>
        </w:trPr>
        <w:tc>
          <w:tcPr>
            <w:tcW w:type="dxa" w:w="3193"/>
            <w:shd w:val="clear" w:color="auto" w:fill="FFFFFF"/>
            <w:vAlign w:val="center"/>
          </w:tcPr>
          <w:p>
            <w:pPr>
              <w:keepNext/>
              <w:spacing w:after="0"/>
            </w:pPr>
            <w:r>
              <w:rPr>
                <w:rFonts w:ascii="Consolas" w:hAnsi="Consolas"/>
                <w:b/>
                <w:i w:val="0"/>
                <w:color w:val="222222"/>
                <w:sz w:val="18"/>
              </w:rPr>
              <w:t>active_electrodes</w:t>
            </w:r>
          </w:p>
        </w:tc>
        <w:tc>
          <w:tcPr>
            <w:tcW w:type="dxa" w:w="1472"/>
            <w:shd w:val="clear" w:color="auto" w:fill="FFFFFF"/>
            <w:vAlign w:val="center"/>
          </w:tcPr>
          <w:p>
            <w:pPr>
              <w:keepNext/>
              <w:spacing w:after="0"/>
              <w:jc w:val="center"/>
            </w:pPr>
            <w:r>
              <w:rPr>
                <w:rFonts w:ascii="Calibri" w:hAnsi="Calibri"/>
                <w:b w:val="0"/>
                <w:i w:val="0"/>
                <w:color w:val="222222"/>
                <w:sz w:val="20"/>
              </w:rPr>
              <w:t>0.9763</w:t>
            </w:r>
          </w:p>
        </w:tc>
        <w:tc>
          <w:tcPr>
            <w:tcW w:type="dxa" w:w="1458"/>
            <w:shd w:val="clear" w:color="auto" w:fill="FFFFFF"/>
            <w:vAlign w:val="center"/>
          </w:tcPr>
          <w:p>
            <w:pPr>
              <w:keepNext/>
              <w:spacing w:after="0"/>
              <w:jc w:val="center"/>
            </w:pPr>
            <w:r>
              <w:rPr>
                <w:rFonts w:ascii="Calibri" w:hAnsi="Calibri"/>
                <w:b w:val="0"/>
                <w:i w:val="0"/>
                <w:color w:val="222222"/>
                <w:sz w:val="20"/>
              </w:rPr>
              <w:t>1.3624</w:t>
            </w:r>
          </w:p>
        </w:tc>
        <w:tc>
          <w:tcPr>
            <w:tcW w:type="dxa" w:w="2373"/>
            <w:shd w:val="clear" w:color="auto" w:fill="FFFFFF"/>
            <w:vAlign w:val="center"/>
          </w:tcPr>
          <w:p>
            <w:pPr>
              <w:keepNext/>
              <w:spacing w:after="0"/>
            </w:pPr>
            <w:r>
              <w:rPr>
                <w:rFonts w:ascii="Calibri" w:hAnsi="Calibri"/>
                <w:b w:val="0"/>
                <w:i w:val="0"/>
                <w:color w:val="222222"/>
                <w:sz w:val="20"/>
              </w:rPr>
              <w:t>ranks match; our activity cutoff is more inclusive</w:t>
            </w:r>
          </w:p>
        </w:tc>
      </w:tr>
      <w:tr>
        <w:trPr>
          <w:cantSplit/>
        </w:trPr>
        <w:tc>
          <w:tcPr>
            <w:tcW w:type="dxa" w:w="3193"/>
            <w:shd w:val="clear" w:color="auto" w:fill="F7F9FB"/>
            <w:vAlign w:val="center"/>
          </w:tcPr>
          <w:p>
            <w:pPr>
              <w:keepNext/>
              <w:spacing w:after="0"/>
            </w:pPr>
            <w:r>
              <w:rPr>
                <w:rFonts w:ascii="Consolas" w:hAnsi="Consolas"/>
                <w:b/>
                <w:i w:val="0"/>
                <w:color w:val="222222"/>
                <w:sz w:val="18"/>
              </w:rPr>
              <w:t>pct_spikes_in_bursts</w:t>
            </w:r>
          </w:p>
        </w:tc>
        <w:tc>
          <w:tcPr>
            <w:tcW w:type="dxa" w:w="1472"/>
            <w:shd w:val="clear" w:color="auto" w:fill="F7F9FB"/>
            <w:vAlign w:val="center"/>
          </w:tcPr>
          <w:p>
            <w:pPr>
              <w:keepNext/>
              <w:spacing w:after="0"/>
              <w:jc w:val="center"/>
            </w:pPr>
            <w:r>
              <w:rPr>
                <w:rFonts w:ascii="Calibri" w:hAnsi="Calibri"/>
                <w:b w:val="0"/>
                <w:i w:val="0"/>
                <w:color w:val="222222"/>
                <w:sz w:val="20"/>
              </w:rPr>
              <w:t>0.9703</w:t>
            </w:r>
          </w:p>
        </w:tc>
        <w:tc>
          <w:tcPr>
            <w:tcW w:type="dxa" w:w="1458"/>
            <w:shd w:val="clear" w:color="auto" w:fill="F7F9FB"/>
            <w:vAlign w:val="center"/>
          </w:tcPr>
          <w:p>
            <w:pPr>
              <w:keepNext/>
              <w:spacing w:after="0"/>
              <w:jc w:val="center"/>
            </w:pPr>
            <w:r>
              <w:rPr>
                <w:rFonts w:ascii="Calibri" w:hAnsi="Calibri"/>
                <w:b w:val="0"/>
                <w:i w:val="0"/>
                <w:color w:val="222222"/>
                <w:sz w:val="20"/>
              </w:rPr>
              <w:t>0.9864</w:t>
            </w:r>
          </w:p>
        </w:tc>
        <w:tc>
          <w:tcPr>
            <w:tcW w:type="dxa" w:w="2373"/>
            <w:shd w:val="clear" w:color="auto" w:fill="F7F9FB"/>
            <w:vAlign w:val="center"/>
          </w:tcPr>
          <w:p>
            <w:pPr>
              <w:keepNext/>
              <w:spacing w:after="0"/>
            </w:pPr>
            <w:r>
              <w:rPr>
                <w:rFonts w:ascii="Calibri" w:hAnsi="Calibri"/>
                <w:b w:val="0"/>
                <w:i w:val="0"/>
                <w:color w:val="222222"/>
                <w:sz w:val="20"/>
              </w:rPr>
              <w:t>reproduces on both axes</w:t>
            </w:r>
          </w:p>
        </w:tc>
      </w:tr>
      <w:tr>
        <w:trPr>
          <w:cantSplit/>
        </w:trPr>
        <w:tc>
          <w:tcPr>
            <w:tcW w:type="dxa" w:w="3193"/>
            <w:shd w:val="clear" w:color="auto" w:fill="FFFFFF"/>
            <w:vAlign w:val="center"/>
          </w:tcPr>
          <w:p>
            <w:pPr>
              <w:keepNext/>
              <w:spacing w:after="0"/>
            </w:pPr>
            <w:r>
              <w:rPr>
                <w:rFonts w:ascii="Consolas" w:hAnsi="Consolas"/>
                <w:b/>
                <w:i w:val="0"/>
                <w:color w:val="222222"/>
                <w:sz w:val="18"/>
              </w:rPr>
              <w:t>spikes_per_burst</w:t>
            </w:r>
          </w:p>
        </w:tc>
        <w:tc>
          <w:tcPr>
            <w:tcW w:type="dxa" w:w="1472"/>
            <w:shd w:val="clear" w:color="auto" w:fill="FFFFFF"/>
            <w:vAlign w:val="center"/>
          </w:tcPr>
          <w:p>
            <w:pPr>
              <w:keepNext/>
              <w:spacing w:after="0"/>
              <w:jc w:val="center"/>
            </w:pPr>
            <w:r>
              <w:rPr>
                <w:rFonts w:ascii="Calibri" w:hAnsi="Calibri"/>
                <w:b w:val="0"/>
                <w:i w:val="0"/>
                <w:color w:val="222222"/>
                <w:sz w:val="20"/>
              </w:rPr>
              <w:t>0.9167</w:t>
            </w:r>
          </w:p>
        </w:tc>
        <w:tc>
          <w:tcPr>
            <w:tcW w:type="dxa" w:w="1458"/>
            <w:shd w:val="clear" w:color="auto" w:fill="FFFFFF"/>
            <w:vAlign w:val="center"/>
          </w:tcPr>
          <w:p>
            <w:pPr>
              <w:keepNext/>
              <w:spacing w:after="0"/>
              <w:jc w:val="center"/>
            </w:pPr>
            <w:r>
              <w:rPr>
                <w:rFonts w:ascii="Calibri" w:hAnsi="Calibri"/>
                <w:b w:val="0"/>
                <w:i w:val="0"/>
                <w:color w:val="222222"/>
                <w:sz w:val="20"/>
              </w:rPr>
              <w:t>0.9418</w:t>
            </w:r>
          </w:p>
        </w:tc>
        <w:tc>
          <w:tcPr>
            <w:tcW w:type="dxa" w:w="2373"/>
            <w:shd w:val="clear" w:color="auto" w:fill="FFFFFF"/>
            <w:vAlign w:val="center"/>
          </w:tcPr>
          <w:p>
            <w:pPr>
              <w:keepNext/>
              <w:spacing w:after="0"/>
            </w:pPr>
            <w:r>
              <w:rPr>
                <w:rFonts w:ascii="Calibri" w:hAnsi="Calibri"/>
                <w:b w:val="0"/>
                <w:i w:val="0"/>
                <w:color w:val="222222"/>
                <w:sz w:val="20"/>
              </w:rPr>
              <w:t>close numerical agreement</w:t>
            </w:r>
          </w:p>
        </w:tc>
      </w:tr>
      <w:tr>
        <w:trPr>
          <w:cantSplit/>
        </w:trPr>
        <w:tc>
          <w:tcPr>
            <w:tcW w:type="dxa" w:w="3193"/>
            <w:shd w:val="clear" w:color="auto" w:fill="F7F9FB"/>
            <w:vAlign w:val="center"/>
          </w:tcPr>
          <w:p>
            <w:pPr>
              <w:keepNext/>
              <w:spacing w:after="0"/>
            </w:pPr>
            <w:r>
              <w:rPr>
                <w:rFonts w:ascii="Consolas" w:hAnsi="Consolas"/>
                <w:b/>
                <w:i w:val="0"/>
                <w:color w:val="222222"/>
                <w:sz w:val="18"/>
              </w:rPr>
              <w:t>burst_rate_per_min</w:t>
            </w:r>
          </w:p>
        </w:tc>
        <w:tc>
          <w:tcPr>
            <w:tcW w:type="dxa" w:w="1472"/>
            <w:shd w:val="clear" w:color="auto" w:fill="F7F9FB"/>
            <w:vAlign w:val="center"/>
          </w:tcPr>
          <w:p>
            <w:pPr>
              <w:keepNext/>
              <w:spacing w:after="0"/>
              <w:jc w:val="center"/>
            </w:pPr>
            <w:r>
              <w:rPr>
                <w:rFonts w:ascii="Calibri" w:hAnsi="Calibri"/>
                <w:b w:val="0"/>
                <w:i w:val="0"/>
                <w:color w:val="222222"/>
                <w:sz w:val="20"/>
              </w:rPr>
              <w:t>0.8907</w:t>
            </w:r>
          </w:p>
        </w:tc>
        <w:tc>
          <w:tcPr>
            <w:tcW w:type="dxa" w:w="1458"/>
            <w:shd w:val="clear" w:color="auto" w:fill="F7F9FB"/>
            <w:vAlign w:val="center"/>
          </w:tcPr>
          <w:p>
            <w:pPr>
              <w:keepNext/>
              <w:spacing w:after="0"/>
              <w:jc w:val="center"/>
            </w:pPr>
            <w:r>
              <w:rPr>
                <w:rFonts w:ascii="Calibri" w:hAnsi="Calibri"/>
                <w:b w:val="0"/>
                <w:i w:val="0"/>
                <w:color w:val="222222"/>
                <w:sz w:val="20"/>
              </w:rPr>
              <w:t>0.4423</w:t>
            </w:r>
          </w:p>
        </w:tc>
        <w:tc>
          <w:tcPr>
            <w:tcW w:type="dxa" w:w="2373"/>
            <w:shd w:val="clear" w:color="auto" w:fill="F7F9FB"/>
            <w:vAlign w:val="center"/>
          </w:tcPr>
          <w:p>
            <w:pPr>
              <w:keepNext/>
              <w:spacing w:after="0"/>
            </w:pPr>
            <w:r>
              <w:rPr>
                <w:rFonts w:ascii="Calibri" w:hAnsi="Calibri"/>
                <w:b w:val="0"/>
                <w:i w:val="0"/>
                <w:color w:val="222222"/>
                <w:sz w:val="20"/>
              </w:rPr>
              <w:t>disagrees twofold, purely from definition</w:t>
            </w:r>
          </w:p>
        </w:tc>
      </w:tr>
      <w:tr>
        <w:trPr>
          <w:cantSplit/>
        </w:trPr>
        <w:tc>
          <w:tcPr>
            <w:tcW w:type="dxa" w:w="3193"/>
            <w:shd w:val="clear" w:color="auto" w:fill="FFFFFF"/>
            <w:vAlign w:val="center"/>
          </w:tcPr>
          <w:p>
            <w:pPr>
              <w:keepNext w:val="0"/>
              <w:spacing w:after="0"/>
            </w:pPr>
            <w:r>
              <w:rPr>
                <w:rFonts w:ascii="Consolas" w:hAnsi="Consolas"/>
                <w:b/>
                <w:i w:val="0"/>
                <w:color w:val="222222"/>
                <w:sz w:val="18"/>
              </w:rPr>
              <w:t>burst_duration_s</w:t>
            </w:r>
          </w:p>
        </w:tc>
        <w:tc>
          <w:tcPr>
            <w:tcW w:type="dxa" w:w="1472"/>
            <w:shd w:val="clear" w:color="auto" w:fill="FFFFFF"/>
            <w:vAlign w:val="center"/>
          </w:tcPr>
          <w:p>
            <w:pPr>
              <w:keepNext w:val="0"/>
              <w:spacing w:after="0"/>
              <w:jc w:val="center"/>
            </w:pPr>
            <w:r>
              <w:rPr>
                <w:rFonts w:ascii="Calibri" w:hAnsi="Calibri"/>
                <w:b w:val="0"/>
                <w:i w:val="0"/>
                <w:color w:val="222222"/>
                <w:sz w:val="20"/>
              </w:rPr>
              <w:t>0.7926</w:t>
            </w:r>
          </w:p>
        </w:tc>
        <w:tc>
          <w:tcPr>
            <w:tcW w:type="dxa" w:w="1458"/>
            <w:shd w:val="clear" w:color="auto" w:fill="FFFFFF"/>
            <w:vAlign w:val="center"/>
          </w:tcPr>
          <w:p>
            <w:pPr>
              <w:keepNext w:val="0"/>
              <w:spacing w:after="0"/>
              <w:jc w:val="center"/>
            </w:pPr>
            <w:r>
              <w:rPr>
                <w:rFonts w:ascii="Calibri" w:hAnsi="Calibri"/>
                <w:b w:val="0"/>
                <w:i w:val="0"/>
                <w:color w:val="222222"/>
                <w:sz w:val="20"/>
              </w:rPr>
              <w:t>0.8189</w:t>
            </w:r>
          </w:p>
        </w:tc>
        <w:tc>
          <w:tcPr>
            <w:tcW w:type="dxa" w:w="2373"/>
            <w:shd w:val="clear" w:color="auto" w:fill="FFFFFF"/>
            <w:vAlign w:val="center"/>
          </w:tcPr>
          <w:p>
            <w:pPr>
              <w:keepNext w:val="0"/>
              <w:spacing w:after="0"/>
            </w:pPr>
            <w:r>
              <w:rPr>
                <w:rFonts w:ascii="Calibri" w:hAnsi="Calibri"/>
                <w:b w:val="0"/>
                <w:i w:val="0"/>
                <w:color w:val="222222"/>
                <w:sz w:val="20"/>
              </w:rPr>
              <w:t>the weakest rank agreement of the seven</w:t>
            </w:r>
          </w:p>
        </w:tc>
      </w:tr>
    </w:tbl>
    <w:p>
      <w:pPr>
        <w:spacing w:after="80"/>
      </w:pPr>
    </w:p>
    <w:p>
      <w:pPr>
        <w:keepNext/>
        <w:spacing w:before="120" w:after="40"/>
        <w:jc w:val="center"/>
      </w:pPr>
      <w:r>
        <w:drawing>
          <wp:inline xmlns:a="http://schemas.openxmlformats.org/drawingml/2006/main" xmlns:pic="http://schemas.openxmlformats.org/drawingml/2006/picture">
            <wp:extent cx="5394960" cy="3549316"/>
            <wp:docPr id="2" name="Picture 2"/>
            <wp:cNvGraphicFramePr>
              <a:graphicFrameLocks noChangeAspect="1"/>
            </wp:cNvGraphicFramePr>
            <a:graphic>
              <a:graphicData uri="http://schemas.openxmlformats.org/drawingml/2006/picture">
                <pic:pic>
                  <pic:nvPicPr>
                    <pic:cNvPr id="0" name="extractor_agreement_real.png"/>
                    <pic:cNvPicPr/>
                  </pic:nvPicPr>
                  <pic:blipFill>
                    <a:blip r:embed="rId14"/>
                    <a:stretch>
                      <a:fillRect/>
                    </a:stretch>
                  </pic:blipFill>
                  <pic:spPr>
                    <a:xfrm>
                      <a:off x="0" y="0"/>
                      <a:ext cx="5394960" cy="3549316"/>
                    </a:xfrm>
                    <a:prstGeom prst="rect"/>
                  </pic:spPr>
                </pic:pic>
              </a:graphicData>
            </a:graphic>
          </wp:inline>
        </w:drawing>
      </w:r>
    </w:p>
    <w:p>
      <w:pPr>
        <w:spacing w:after="200"/>
        <w:jc w:val="center"/>
      </w:pPr>
      <w:r>
        <w:rPr>
          <w:rFonts w:ascii="Calibri" w:hAnsi="Calibri"/>
          <w:b/>
          <w:i/>
          <w:color w:val="222222"/>
          <w:sz w:val="17"/>
        </w:rPr>
        <w:t xml:space="preserve">Figure 2. </w:t>
      </w:r>
      <w:r>
        <w:rPr>
          <w:rFonts w:ascii="Calibri" w:hAnsi="Calibri"/>
          <w:b w:val="0"/>
          <w:i/>
          <w:color w:val="222222"/>
          <w:sz w:val="17"/>
        </w:rPr>
        <w:t xml:space="preserve">Our extractor against the depositors' own meaRtools output, REAL recordings. Rank agreement on the horizontal axis, ratio of values on the vertical. Only </w:t>
      </w:r>
      <w:r>
        <w:rPr>
          <w:rFonts w:ascii="Consolas" w:hAnsi="Consolas"/>
          <w:b w:val="0"/>
          <w:i/>
          <w:color w:val="222222"/>
          <w:sz w:val="15"/>
        </w:rPr>
        <w:t>pct_spikes_in_bursts</w:t>
      </w:r>
      <w:r>
        <w:rPr>
          <w:rFonts w:ascii="Calibri" w:hAnsi="Calibri"/>
          <w:b w:val="0"/>
          <w:i/>
          <w:color w:val="222222"/>
          <w:sz w:val="17"/>
        </w:rPr>
        <w:t xml:space="preserve"> lands on equality; burst rate differs twofold from definitional choice alone.</w:t>
      </w:r>
    </w:p>
    <w:p>
      <w:pPr>
        <w:spacing w:after="120"/>
      </w:pPr>
      <w:r>
        <w:rPr>
          <w:rFonts w:ascii="Calibri" w:hAnsi="Calibri"/>
          <w:b w:val="0"/>
          <w:i w:val="0"/>
          <w:color w:val="222222"/>
          <w:sz w:val="21"/>
        </w:rPr>
        <w:t xml:space="preserve">Read the two columns separately. The left one asks "do we rank recordings the same way?", and the right one asks "do we get the same number?" Only one feature passes both tests. Three rank recordings almost identically but on a different scale. And the burst measures disagree about </w:t>
      </w:r>
      <w:r>
        <w:rPr>
          <w:rFonts w:ascii="Calibri" w:hAnsi="Calibri"/>
          <w:b w:val="0"/>
          <w:i/>
          <w:color w:val="222222"/>
          <w:sz w:val="21"/>
        </w:rPr>
        <w:t>which</w:t>
      </w:r>
      <w:r>
        <w:rPr>
          <w:rFonts w:ascii="Calibri" w:hAnsi="Calibri"/>
          <w:b w:val="0"/>
          <w:i w:val="0"/>
          <w:color w:val="222222"/>
          <w:sz w:val="21"/>
        </w:rPr>
        <w:t xml:space="preserve"> recordings burst more: </w:t>
      </w:r>
      <w:r>
        <w:rPr>
          <w:rFonts w:ascii="Consolas" w:hAnsi="Consolas"/>
          <w:b w:val="0"/>
          <w:i w:val="0"/>
          <w:color w:val="222222"/>
          <w:sz w:val="19"/>
        </w:rPr>
        <w:t>burst_rate_per_min</w:t>
      </w:r>
      <w:r>
        <w:rPr>
          <w:rFonts w:ascii="Calibri" w:hAnsi="Calibri"/>
          <w:b w:val="0"/>
          <w:i w:val="0"/>
          <w:color w:val="222222"/>
          <w:sz w:val="21"/>
        </w:rPr>
        <w:t xml:space="preserve"> differs by more than a factor of two.</w:t>
      </w:r>
    </w:p>
    <w:p>
      <w:pPr>
        <w:spacing w:after="120"/>
      </w:pPr>
      <w:r>
        <w:rPr>
          <w:rFonts w:ascii="Calibri" w:hAnsi="Calibri"/>
          <w:b/>
          <w:i w:val="0"/>
          <w:color w:val="156082"/>
          <w:sz w:val="21"/>
        </w:rPr>
        <w:t>What this means.</w:t>
      </w:r>
      <w:r>
        <w:rPr>
          <w:rFonts w:ascii="Calibri" w:hAnsi="Calibri"/>
          <w:b w:val="0"/>
          <w:i w:val="0"/>
          <w:color w:val="222222"/>
          <w:sz w:val="21"/>
        </w:rPr>
        <w:t xml:space="preserve"> Inside our dataset, comparisons are safe, because one code path produced every number. Across papers they are not: "bursts per minute" from two laboratories can differ twofold from the algorithm definitions alone, before any biology enters the picture. That is exactly why we recompute everything from raw spikes instead of pooling published summary tables.</w:t>
      </w:r>
    </w:p>
    <w:p>
      <w:pPr>
        <w:keepNext/>
        <w:spacing w:before="240" w:after="60"/>
      </w:pPr>
      <w:r>
        <w:rPr>
          <w:rFonts w:ascii="Calibri" w:hAnsi="Calibri"/>
          <w:b/>
          <w:i w:val="0"/>
          <w:color w:val="1F4E79"/>
          <w:sz w:val="23"/>
        </w:rPr>
        <w:t>4. The three questions we asked the data</w:t>
      </w:r>
    </w:p>
    <w:p>
      <w:pPr>
        <w:spacing w:after="120"/>
      </w:pPr>
      <w:r>
        <w:rPr>
          <w:rFonts w:ascii="Calibri" w:hAnsi="Calibri"/>
          <w:b w:val="0"/>
          <w:i w:val="0"/>
          <w:color w:val="222222"/>
          <w:sz w:val="21"/>
        </w:rPr>
        <w:t>Every model in this report works on changes, not on static states. We pair each treated well with its own pre-treatment baseline, and the model sees the log2 fold-change of each feature between the two. This is the most consequential design decision in our analysis, and we made it for the same reason an experimenter would: cultures differ enormously from one another. If one culture fires at 4 Hz and another at 8 Hz, that tells you about the cultures. If a culture drops from 8 Hz to 4 Hz after a compound goes in, that is a pharmacological response.</w:t>
      </w:r>
    </w:p>
    <w:p>
      <w:pPr>
        <w:spacing w:after="120"/>
      </w:pPr>
      <w:r>
        <w:rPr>
          <w:rFonts w:ascii="Calibri" w:hAnsi="Calibri"/>
          <w:b w:val="0"/>
          <w:i w:val="0"/>
          <w:color w:val="222222"/>
          <w:sz w:val="21"/>
        </w:rPr>
        <w:t>For each feature, measured in the same well before and during exposure, the model sees</w:t>
      </w:r>
    </w:p>
    <w:p>
      <w:pPr>
        <w:spacing w:after="120" w:before="40"/>
        <w:jc w:val="center"/>
      </w:pPr>
      <w:r>
        <w:rPr>
          <w:rFonts w:ascii="Calibri" w:hAnsi="Calibri"/>
          <w:b w:val="0"/>
          <w:i w:val="0"/>
          <w:color w:val="222222"/>
          <w:sz w:val="23"/>
        </w:rPr>
        <w:t>Δ = log</w:t>
      </w:r>
      <w:r>
        <w:rPr>
          <w:rFonts w:ascii="Calibri" w:hAnsi="Calibri"/>
          <w:b w:val="0"/>
          <w:i w:val="0"/>
          <w:color w:val="222222"/>
          <w:sz w:val="23"/>
          <w:vertAlign w:val="subscript"/>
        </w:rPr>
        <w:t>2</w:t>
      </w:r>
      <w:r>
        <w:rPr>
          <w:rFonts w:ascii="Calibri" w:hAnsi="Calibri"/>
          <w:b w:val="0"/>
          <w:i w:val="0"/>
          <w:color w:val="222222"/>
          <w:sz w:val="23"/>
        </w:rPr>
        <w:t>(</w:t>
      </w:r>
      <w:r>
        <w:rPr>
          <w:rFonts w:ascii="Calibri" w:hAnsi="Calibri"/>
          <w:b w:val="0"/>
          <w:i/>
          <w:color w:val="222222"/>
          <w:sz w:val="23"/>
        </w:rPr>
        <w:t>x</w:t>
      </w:r>
      <w:r>
        <w:rPr>
          <w:rFonts w:ascii="Calibri" w:hAnsi="Calibri"/>
          <w:b w:val="0"/>
          <w:i w:val="0"/>
          <w:color w:val="222222"/>
          <w:sz w:val="23"/>
          <w:vertAlign w:val="subscript"/>
        </w:rPr>
        <w:t>exposure</w:t>
      </w:r>
      <w:r>
        <w:rPr>
          <w:rFonts w:ascii="Calibri" w:hAnsi="Calibri"/>
          <w:b w:val="0"/>
          <w:i w:val="0"/>
          <w:color w:val="222222"/>
          <w:sz w:val="23"/>
        </w:rPr>
        <w:t xml:space="preserve"> / </w:t>
      </w:r>
      <w:r>
        <w:rPr>
          <w:rFonts w:ascii="Calibri" w:hAnsi="Calibri"/>
          <w:b w:val="0"/>
          <w:i/>
          <w:color w:val="222222"/>
          <w:sz w:val="23"/>
        </w:rPr>
        <w:t>x</w:t>
      </w:r>
      <w:r>
        <w:rPr>
          <w:rFonts w:ascii="Calibri" w:hAnsi="Calibri"/>
          <w:b w:val="0"/>
          <w:i w:val="0"/>
          <w:color w:val="222222"/>
          <w:sz w:val="23"/>
          <w:vertAlign w:val="subscript"/>
        </w:rPr>
        <w:t>baseline</w:t>
      </w:r>
      <w:r>
        <w:rPr>
          <w:rFonts w:ascii="Calibri" w:hAnsi="Calibri"/>
          <w:b w:val="0"/>
          <w:i w:val="0"/>
          <w:color w:val="222222"/>
          <w:sz w:val="23"/>
        </w:rPr>
        <w:t>)</w:t>
      </w:r>
    </w:p>
    <w:p>
      <w:pPr>
        <w:spacing w:after="120"/>
      </w:pPr>
      <w:r>
        <w:rPr>
          <w:rFonts w:ascii="Calibri" w:hAnsi="Calibri"/>
          <w:b w:val="0"/>
          <w:i w:val="0"/>
          <w:color w:val="222222"/>
          <w:sz w:val="21"/>
        </w:rPr>
        <w:t>so every halving or doubling moves Δ by one unit, whatever the culture's starting rate. A well that falls silent is floored at one twentieth of its baseline, so abolished activity stays a finite number, and a zero baseline leaves the ratio undefined rather than inventing a value for it.</w:t>
      </w:r>
    </w:p>
    <w:p>
      <w:pPr>
        <w:spacing w:after="120"/>
        <w:ind w:left="432" w:hanging="259"/>
      </w:pPr>
      <w:r>
        <w:rPr>
          <w:rFonts w:ascii="Calibri" w:hAnsi="Calibri"/>
          <w:b w:val="0"/>
          <w:i w:val="0"/>
          <w:color w:val="222222"/>
          <w:sz w:val="21"/>
        </w:rPr>
        <w:t>1.</w:t>
        <w:tab/>
      </w:r>
      <w:r>
        <w:rPr>
          <w:rFonts w:ascii="Calibri" w:hAnsi="Calibri"/>
          <w:b/>
          <w:i w:val="0"/>
          <w:color w:val="156082"/>
          <w:sz w:val="21"/>
        </w:rPr>
        <w:t>Mechanism.</w:t>
      </w:r>
      <w:r>
        <w:rPr>
          <w:rFonts w:ascii="Calibri" w:hAnsi="Calibri"/>
          <w:b w:val="0"/>
          <w:i w:val="0"/>
          <w:color w:val="222222"/>
          <w:sz w:val="21"/>
        </w:rPr>
        <w:t xml:space="preserve"> Given the change in the nine features, can we tell which class of compound caused it — GABA-A antagonist, sodium-channel blocker, glutamatergic antagonist, and so on?</w:t>
      </w:r>
    </w:p>
    <w:p>
      <w:pPr>
        <w:spacing w:after="120"/>
        <w:ind w:left="432" w:hanging="259"/>
      </w:pPr>
      <w:r>
        <w:rPr>
          <w:rFonts w:ascii="Calibri" w:hAnsi="Calibri"/>
          <w:b w:val="0"/>
          <w:i w:val="0"/>
          <w:color w:val="222222"/>
          <w:sz w:val="21"/>
        </w:rPr>
        <w:t>2.</w:t>
        <w:tab/>
      </w:r>
      <w:r>
        <w:rPr>
          <w:rFonts w:ascii="Calibri" w:hAnsi="Calibri"/>
          <w:b/>
          <w:i w:val="0"/>
          <w:color w:val="156082"/>
          <w:sz w:val="21"/>
        </w:rPr>
        <w:t>Detection.</w:t>
      </w:r>
      <w:r>
        <w:rPr>
          <w:rFonts w:ascii="Calibri" w:hAnsi="Calibri"/>
          <w:b w:val="0"/>
          <w:i w:val="0"/>
          <w:color w:val="222222"/>
          <w:sz w:val="21"/>
        </w:rPr>
        <w:t xml:space="preserve"> Can a model trained on one laboratory's data flag a known compound in a different laboratory's recordings?</w:t>
      </w:r>
    </w:p>
    <w:p>
      <w:pPr>
        <w:spacing w:after="120"/>
        <w:ind w:left="432" w:hanging="259"/>
      </w:pPr>
      <w:r>
        <w:rPr>
          <w:rFonts w:ascii="Calibri" w:hAnsi="Calibri"/>
          <w:b w:val="0"/>
          <w:i w:val="0"/>
          <w:color w:val="222222"/>
          <w:sz w:val="21"/>
        </w:rPr>
        <w:t>3.</w:t>
        <w:tab/>
      </w:r>
      <w:r>
        <w:rPr>
          <w:rFonts w:ascii="Calibri" w:hAnsi="Calibri"/>
          <w:b/>
          <w:i w:val="0"/>
          <w:color w:val="156082"/>
          <w:sz w:val="21"/>
        </w:rPr>
        <w:t>Platform contrast.</w:t>
      </w:r>
      <w:r>
        <w:rPr>
          <w:rFonts w:ascii="Calibri" w:hAnsi="Calibri"/>
          <w:b w:val="0"/>
          <w:i w:val="0"/>
          <w:color w:val="222222"/>
          <w:sz w:val="21"/>
        </w:rPr>
        <w:t xml:space="preserve"> Does the same mechanism look the same on two different platforms?</w:t>
      </w:r>
    </w:p>
    <w:p>
      <w:pPr>
        <w:keepNext/>
        <w:spacing w:after="120"/>
      </w:pPr>
      <w:r>
        <w:rPr>
          <w:rFonts w:ascii="Calibri" w:hAnsi="Calibri"/>
          <w:b/>
          <w:i w:val="0"/>
          <w:color w:val="156082"/>
          <w:sz w:val="21"/>
        </w:rPr>
        <w:t>Two rules we never break</w:t>
      </w:r>
      <w:r>
        <w:rPr>
          <w:rFonts w:ascii="Calibri" w:hAnsi="Calibri"/>
          <w:b w:val="0"/>
          <w:i w:val="0"/>
          <w:color w:val="222222"/>
          <w:sz w:val="21"/>
        </w:rPr>
        <w:t xml:space="preserve">, and they are why our scores look lower than many published ones. First, </w:t>
      </w:r>
      <w:r>
        <w:rPr>
          <w:rFonts w:ascii="Calibri" w:hAnsi="Calibri"/>
          <w:b w:val="0"/>
          <w:i/>
          <w:color w:val="222222"/>
          <w:sz w:val="21"/>
        </w:rPr>
        <w:t>we split strictly by culture</w:t>
      </w:r>
      <w:r>
        <w:rPr>
          <w:rFonts w:ascii="Calibri" w:hAnsi="Calibri"/>
          <w:b w:val="0"/>
          <w:i w:val="0"/>
          <w:color w:val="222222"/>
          <w:sz w:val="21"/>
        </w:rPr>
        <w:t xml:space="preserve">: wells from the same culture never end up on both sides of a training/testing split. Wells within a culture are near-copies of each other, so splitting them would let a model score well just by recognizing the culture — like seeing the exam questions in advance. Second, </w:t>
      </w:r>
      <w:r>
        <w:rPr>
          <w:rFonts w:ascii="Calibri" w:hAnsi="Calibri"/>
          <w:b w:val="0"/>
          <w:i/>
          <w:color w:val="222222"/>
          <w:sz w:val="21"/>
        </w:rPr>
        <w:t>we resample uncertainty over cultures, not rows</w:t>
      </w:r>
      <w:r>
        <w:rPr>
          <w:rFonts w:ascii="Calibri" w:hAnsi="Calibri"/>
          <w:b w:val="0"/>
          <w:i w:val="0"/>
          <w:color w:val="222222"/>
          <w:sz w:val="21"/>
        </w:rPr>
        <w:t>: every interval is a cluster bootstrap over whole cultures. With 73 pairs from 50 cultures, treating each row as independent would produce intervals about half as wide — and wrong.</w:t>
      </w:r>
    </w:p>
    <w:p>
      <w:pPr>
        <w:keepNext/>
        <w:spacing w:before="120" w:after="40"/>
        <w:jc w:val="center"/>
      </w:pPr>
      <w:r>
        <w:drawing>
          <wp:inline xmlns:a="http://schemas.openxmlformats.org/drawingml/2006/main" xmlns:pic="http://schemas.openxmlformats.org/drawingml/2006/picture">
            <wp:extent cx="5394960" cy="2315969"/>
            <wp:docPr id="3" name="Picture 3"/>
            <wp:cNvGraphicFramePr>
              <a:graphicFrameLocks noChangeAspect="1"/>
            </wp:cNvGraphicFramePr>
            <a:graphic>
              <a:graphicData uri="http://schemas.openxmlformats.org/drawingml/2006/picture">
                <pic:pic>
                  <pic:nvPicPr>
                    <pic:cNvPr id="0" name="mechanism_classifier_real.png"/>
                    <pic:cNvPicPr/>
                  </pic:nvPicPr>
                  <pic:blipFill>
                    <a:blip r:embed="rId15"/>
                    <a:stretch>
                      <a:fillRect/>
                    </a:stretch>
                  </pic:blipFill>
                  <pic:spPr>
                    <a:xfrm>
                      <a:off x="0" y="0"/>
                      <a:ext cx="5394960" cy="2315969"/>
                    </a:xfrm>
                    <a:prstGeom prst="rect"/>
                  </pic:spPr>
                </pic:pic>
              </a:graphicData>
            </a:graphic>
          </wp:inline>
        </w:drawing>
      </w:r>
    </w:p>
    <w:p>
      <w:pPr>
        <w:spacing w:after="200"/>
        <w:jc w:val="center"/>
      </w:pPr>
      <w:r>
        <w:rPr>
          <w:rFonts w:ascii="Calibri" w:hAnsi="Calibri"/>
          <w:b/>
          <w:i/>
          <w:color w:val="222222"/>
          <w:sz w:val="17"/>
        </w:rPr>
        <w:t xml:space="preserve">Figure 3. </w:t>
      </w:r>
      <w:r>
        <w:rPr>
          <w:rFonts w:ascii="Calibri" w:hAnsi="Calibri"/>
          <w:b w:val="0"/>
          <w:i/>
          <w:color w:val="222222"/>
          <w:sz w:val="17"/>
        </w:rPr>
        <w:t>How a mechanism call is made, on REAL recordings: each culture's paired wells become a nine-feature log-ratio vector, one regularized logistic regression maps it to a mechanism class, and cross-validation keeps every culture inside a single fold.</w:t>
      </w:r>
    </w:p>
    <w:p>
      <w:pPr>
        <w:keepNext/>
        <w:spacing w:before="240" w:after="60"/>
      </w:pPr>
      <w:r>
        <w:rPr>
          <w:rFonts w:ascii="Calibri" w:hAnsi="Calibri"/>
          <w:b/>
          <w:i w:val="0"/>
          <w:color w:val="1F4E79"/>
          <w:sz w:val="23"/>
        </w:rPr>
        <w:t>5. Can you read a mechanism from the features?</w:t>
      </w:r>
    </w:p>
    <w:p>
      <w:pPr>
        <w:keepNext/>
        <w:spacing w:after="120"/>
      </w:pPr>
      <w:r>
        <w:rPr>
          <w:rFonts w:ascii="Calibri" w:hAnsi="Calibri"/>
          <w:b w:val="0"/>
          <w:i w:val="0"/>
          <w:color w:val="222222"/>
          <w:sz w:val="21"/>
        </w:rPr>
        <w:t>Within one platform, we worked with 73 treated/baseline pairs from 50 cultures across six mechanism classes (Kapucu 2022):</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280"/>
        <w:gridCol w:w="1656"/>
        <w:gridCol w:w="1718"/>
        <w:gridCol w:w="2842"/>
      </w:tblGrid>
      <w:tr>
        <w:trPr>
          <w:cantSplit/>
          <w:tblHeader/>
        </w:trPr>
        <w:tc>
          <w:tcPr>
            <w:tcW w:type="dxa" w:w="2280"/>
            <w:shd w:val="clear" w:color="auto" w:fill="1F4E79"/>
            <w:vAlign w:val="center"/>
          </w:tcPr>
          <w:p>
            <w:pPr>
              <w:keepNext/>
              <w:spacing w:after="0"/>
            </w:pPr>
            <w:r>
              <w:rPr>
                <w:rFonts w:ascii="Calibri" w:hAnsi="Calibri"/>
                <w:b/>
                <w:i w:val="0"/>
                <w:color w:val="FFFFFF"/>
                <w:sz w:val="20"/>
              </w:rPr>
              <w:t>model</w:t>
            </w:r>
          </w:p>
        </w:tc>
        <w:tc>
          <w:tcPr>
            <w:tcW w:type="dxa" w:w="1656"/>
            <w:shd w:val="clear" w:color="auto" w:fill="1F4E79"/>
            <w:vAlign w:val="center"/>
          </w:tcPr>
          <w:p>
            <w:pPr>
              <w:keepNext/>
              <w:spacing w:after="0"/>
              <w:jc w:val="center"/>
            </w:pPr>
            <w:r>
              <w:rPr>
                <w:rFonts w:ascii="Calibri" w:hAnsi="Calibri"/>
                <w:b/>
                <w:i w:val="0"/>
                <w:color w:val="FFFFFF"/>
                <w:sz w:val="20"/>
              </w:rPr>
              <w:t>balanced accuracy</w:t>
            </w:r>
          </w:p>
        </w:tc>
        <w:tc>
          <w:tcPr>
            <w:tcW w:type="dxa" w:w="1718"/>
            <w:shd w:val="clear" w:color="auto" w:fill="1F4E79"/>
            <w:vAlign w:val="center"/>
          </w:tcPr>
          <w:p>
            <w:pPr>
              <w:keepNext/>
              <w:spacing w:after="0"/>
            </w:pPr>
            <w:r>
              <w:rPr>
                <w:rFonts w:ascii="Calibri" w:hAnsi="Calibri"/>
                <w:b/>
                <w:i w:val="0"/>
                <w:color w:val="FFFFFF"/>
                <w:sz w:val="20"/>
              </w:rPr>
              <w:t>95% bootstrap CI</w:t>
            </w:r>
          </w:p>
        </w:tc>
        <w:tc>
          <w:tcPr>
            <w:tcW w:type="dxa" w:w="2842"/>
            <w:shd w:val="clear" w:color="auto" w:fill="1F4E79"/>
            <w:vAlign w:val="center"/>
          </w:tcPr>
          <w:p>
            <w:pPr>
              <w:keepNext/>
              <w:spacing w:after="0"/>
            </w:pPr>
            <w:r>
              <w:rPr>
                <w:rFonts w:ascii="Calibri" w:hAnsi="Calibri"/>
                <w:b/>
                <w:i w:val="0"/>
                <w:color w:val="FFFFFF"/>
                <w:sz w:val="20"/>
              </w:rPr>
              <w:t>operational note</w:t>
            </w:r>
          </w:p>
        </w:tc>
      </w:tr>
      <w:tr>
        <w:trPr>
          <w:cantSplit/>
        </w:trPr>
        <w:tc>
          <w:tcPr>
            <w:tcW w:type="dxa" w:w="2280"/>
            <w:shd w:val="clear" w:color="auto" w:fill="FFFFFF"/>
            <w:vAlign w:val="center"/>
          </w:tcPr>
          <w:p>
            <w:pPr>
              <w:keepNext/>
              <w:spacing w:after="0"/>
            </w:pPr>
            <w:r>
              <w:rPr>
                <w:rFonts w:ascii="Calibri" w:hAnsi="Calibri"/>
                <w:b/>
                <w:i w:val="0"/>
                <w:color w:val="222222"/>
                <w:sz w:val="20"/>
              </w:rPr>
              <w:t>always guess commonest class</w:t>
            </w:r>
          </w:p>
        </w:tc>
        <w:tc>
          <w:tcPr>
            <w:tcW w:type="dxa" w:w="1656"/>
            <w:shd w:val="clear" w:color="auto" w:fill="FFFFFF"/>
            <w:vAlign w:val="center"/>
          </w:tcPr>
          <w:p>
            <w:pPr>
              <w:keepNext/>
              <w:spacing w:after="0"/>
              <w:jc w:val="center"/>
            </w:pPr>
            <w:r>
              <w:rPr>
                <w:rFonts w:ascii="Calibri" w:hAnsi="Calibri"/>
                <w:b w:val="0"/>
                <w:i w:val="0"/>
                <w:color w:val="222222"/>
                <w:sz w:val="20"/>
              </w:rPr>
              <w:t>0.167</w:t>
            </w:r>
          </w:p>
        </w:tc>
        <w:tc>
          <w:tcPr>
            <w:tcW w:type="dxa" w:w="1718"/>
            <w:shd w:val="clear" w:color="auto" w:fill="FFFFFF"/>
            <w:vAlign w:val="center"/>
          </w:tcPr>
          <w:p>
            <w:pPr>
              <w:keepNext/>
              <w:spacing w:after="0"/>
              <w:jc w:val="center"/>
            </w:pPr>
            <w:r>
              <w:rPr>
                <w:rFonts w:ascii="Calibri" w:hAnsi="Calibri"/>
                <w:b w:val="0"/>
                <w:i w:val="0"/>
                <w:color w:val="222222"/>
                <w:sz w:val="20"/>
              </w:rPr>
              <w:t>—</w:t>
            </w:r>
          </w:p>
        </w:tc>
        <w:tc>
          <w:tcPr>
            <w:tcW w:type="dxa" w:w="2842"/>
            <w:shd w:val="clear" w:color="auto" w:fill="FFFFFF"/>
            <w:vAlign w:val="center"/>
          </w:tcPr>
          <w:p>
            <w:pPr>
              <w:keepNext/>
              <w:spacing w:after="0"/>
            </w:pPr>
            <w:r>
              <w:rPr>
                <w:rFonts w:ascii="Calibri" w:hAnsi="Calibri"/>
                <w:b w:val="0"/>
                <w:i w:val="0"/>
                <w:color w:val="222222"/>
                <w:sz w:val="20"/>
              </w:rPr>
              <w:t>theoretical chance across 6 classes</w:t>
            </w:r>
          </w:p>
        </w:tc>
      </w:tr>
      <w:tr>
        <w:trPr>
          <w:cantSplit/>
        </w:trPr>
        <w:tc>
          <w:tcPr>
            <w:tcW w:type="dxa" w:w="2280"/>
            <w:shd w:val="clear" w:color="auto" w:fill="F7F9FB"/>
            <w:vAlign w:val="center"/>
          </w:tcPr>
          <w:p>
            <w:pPr>
              <w:keepNext/>
              <w:spacing w:after="0"/>
            </w:pPr>
            <w:r>
              <w:rPr>
                <w:rFonts w:ascii="Calibri" w:hAnsi="Calibri"/>
                <w:b/>
                <w:i w:val="0"/>
                <w:color w:val="222222"/>
                <w:sz w:val="20"/>
              </w:rPr>
              <w:t>gradient boosting</w:t>
            </w:r>
          </w:p>
        </w:tc>
        <w:tc>
          <w:tcPr>
            <w:tcW w:type="dxa" w:w="1656"/>
            <w:shd w:val="clear" w:color="auto" w:fill="F7F9FB"/>
            <w:vAlign w:val="center"/>
          </w:tcPr>
          <w:p>
            <w:pPr>
              <w:keepNext/>
              <w:spacing w:after="0"/>
              <w:jc w:val="center"/>
            </w:pPr>
            <w:r>
              <w:rPr>
                <w:rFonts w:ascii="Calibri" w:hAnsi="Calibri"/>
                <w:b w:val="0"/>
                <w:i w:val="0"/>
                <w:color w:val="222222"/>
                <w:sz w:val="20"/>
              </w:rPr>
              <w:t>0.398</w:t>
            </w:r>
          </w:p>
        </w:tc>
        <w:tc>
          <w:tcPr>
            <w:tcW w:type="dxa" w:w="1718"/>
            <w:shd w:val="clear" w:color="auto" w:fill="F7F9FB"/>
            <w:vAlign w:val="center"/>
          </w:tcPr>
          <w:p>
            <w:pPr>
              <w:keepNext/>
              <w:spacing w:after="0"/>
            </w:pPr>
            <w:r>
              <w:rPr>
                <w:rFonts w:ascii="Calibri" w:hAnsi="Calibri"/>
                <w:b w:val="0"/>
                <w:i w:val="0"/>
                <w:color w:val="222222"/>
                <w:sz w:val="20"/>
              </w:rPr>
              <w:t>0.2762 to 0.5178</w:t>
            </w:r>
          </w:p>
        </w:tc>
        <w:tc>
          <w:tcPr>
            <w:tcW w:type="dxa" w:w="2842"/>
            <w:shd w:val="clear" w:color="auto" w:fill="F7F9FB"/>
            <w:vAlign w:val="center"/>
          </w:tcPr>
          <w:p>
            <w:pPr>
              <w:keepNext/>
              <w:spacing w:after="0"/>
            </w:pPr>
            <w:r>
              <w:rPr>
                <w:rFonts w:ascii="Calibri" w:hAnsi="Calibri"/>
                <w:b w:val="0"/>
                <w:i w:val="0"/>
                <w:color w:val="222222"/>
                <w:sz w:val="20"/>
              </w:rPr>
              <w:t>expressive model over-fits 73 examples</w:t>
            </w:r>
          </w:p>
        </w:tc>
      </w:tr>
      <w:tr>
        <w:trPr>
          <w:cantSplit/>
        </w:trPr>
        <w:tc>
          <w:tcPr>
            <w:tcW w:type="dxa" w:w="2280"/>
            <w:shd w:val="clear" w:color="auto" w:fill="FFFFFF"/>
            <w:vAlign w:val="center"/>
          </w:tcPr>
          <w:p>
            <w:pPr>
              <w:keepNext w:val="0"/>
              <w:spacing w:after="0"/>
            </w:pPr>
            <w:r>
              <w:rPr>
                <w:rFonts w:ascii="Calibri" w:hAnsi="Calibri"/>
                <w:b/>
                <w:i w:val="0"/>
                <w:color w:val="222222"/>
                <w:sz w:val="20"/>
              </w:rPr>
              <w:t>logistic regression (L2)</w:t>
            </w:r>
          </w:p>
        </w:tc>
        <w:tc>
          <w:tcPr>
            <w:tcW w:type="dxa" w:w="1656"/>
            <w:shd w:val="clear" w:color="auto" w:fill="FFFFFF"/>
            <w:vAlign w:val="center"/>
          </w:tcPr>
          <w:p>
            <w:pPr>
              <w:keepNext w:val="0"/>
              <w:spacing w:after="0"/>
              <w:jc w:val="center"/>
            </w:pPr>
            <w:r>
              <w:rPr>
                <w:rFonts w:ascii="Calibri" w:hAnsi="Calibri"/>
                <w:b/>
                <w:i w:val="0"/>
                <w:color w:val="222222"/>
                <w:sz w:val="20"/>
              </w:rPr>
              <w:t>0.537</w:t>
            </w:r>
          </w:p>
        </w:tc>
        <w:tc>
          <w:tcPr>
            <w:tcW w:type="dxa" w:w="1718"/>
            <w:shd w:val="clear" w:color="auto" w:fill="FFFFFF"/>
            <w:vAlign w:val="center"/>
          </w:tcPr>
          <w:p>
            <w:pPr>
              <w:keepNext w:val="0"/>
              <w:spacing w:after="0"/>
            </w:pPr>
            <w:r>
              <w:rPr>
                <w:rFonts w:ascii="Calibri" w:hAnsi="Calibri"/>
                <w:b w:val="0"/>
                <w:i w:val="0"/>
                <w:color w:val="222222"/>
                <w:sz w:val="20"/>
              </w:rPr>
              <w:t>0.4216 to 0.6845</w:t>
            </w:r>
          </w:p>
        </w:tc>
        <w:tc>
          <w:tcPr>
            <w:tcW w:type="dxa" w:w="2842"/>
            <w:shd w:val="clear" w:color="auto" w:fill="FFFFFF"/>
            <w:vAlign w:val="center"/>
          </w:tcPr>
          <w:p>
            <w:pPr>
              <w:keepNext w:val="0"/>
              <w:spacing w:after="0"/>
            </w:pPr>
            <w:r>
              <w:rPr>
                <w:rFonts w:ascii="Calibri" w:hAnsi="Calibri"/>
                <w:b w:val="0"/>
                <w:i w:val="0"/>
                <w:color w:val="222222"/>
                <w:sz w:val="20"/>
              </w:rPr>
              <w:t>simpler linear boundary generalizes best</w:t>
            </w:r>
          </w:p>
        </w:tc>
      </w:tr>
    </w:tbl>
    <w:p>
      <w:pPr>
        <w:spacing w:after="80"/>
      </w:pPr>
    </w:p>
    <w:p>
      <w:pPr>
        <w:spacing w:after="120"/>
      </w:pPr>
      <w:r>
        <w:rPr>
          <w:rFonts w:ascii="Calibri" w:hAnsi="Calibri"/>
          <w:b w:val="0"/>
          <w:i w:val="0"/>
          <w:color w:val="222222"/>
          <w:sz w:val="21"/>
        </w:rPr>
        <w:t>Balanced accuracy averages the recall of each class, so a model cannot win just by getting the most common class right. Three things stand out. First, there is real signal: the model calls roughly half the mechanisms correctly where chance is 0.167, and the interval clears chance. Second, the interval is wide, because 73 pairs from 50 cultures is a small study, and we show that openly. Third, the simpler model wins decisively. When a flexible model loses to a linear one by fourteen points, the honest reading is that our dataset is small, not that boosting is bad.</w:t>
      </w:r>
    </w:p>
    <w:p>
      <w:pPr>
        <w:keepNext/>
        <w:spacing w:after="120"/>
      </w:pPr>
      <w:r>
        <w:rPr>
          <w:rFonts w:ascii="Calibri" w:hAnsi="Calibri"/>
          <w:b w:val="0"/>
          <w:i w:val="0"/>
          <w:color w:val="222222"/>
          <w:sz w:val="21"/>
        </w:rPr>
        <w:t>The errors are not random either. They cluster between the two GABA-A classes, antagonists and positive modulators, which makes chemical sense given how both act on the excitatory/inhibitory balance.</w:t>
      </w:r>
    </w:p>
    <w:p>
      <w:pPr>
        <w:keepNext/>
        <w:spacing w:before="120" w:after="40"/>
        <w:jc w:val="center"/>
      </w:pPr>
      <w:r>
        <w:drawing>
          <wp:inline xmlns:a="http://schemas.openxmlformats.org/drawingml/2006/main" xmlns:pic="http://schemas.openxmlformats.org/drawingml/2006/picture">
            <wp:extent cx="3884371" cy="3159226"/>
            <wp:docPr id="4" name="Picture 4"/>
            <wp:cNvGraphicFramePr>
              <a:graphicFrameLocks noChangeAspect="1"/>
            </wp:cNvGraphicFramePr>
            <a:graphic>
              <a:graphicData uri="http://schemas.openxmlformats.org/drawingml/2006/picture">
                <pic:pic>
                  <pic:nvPicPr>
                    <pic:cNvPr id="0" name="mechanism_confusion.png"/>
                    <pic:cNvPicPr/>
                  </pic:nvPicPr>
                  <pic:blipFill>
                    <a:blip r:embed="rId16"/>
                    <a:stretch>
                      <a:fillRect/>
                    </a:stretch>
                  </pic:blipFill>
                  <pic:spPr>
                    <a:xfrm>
                      <a:off x="0" y="0"/>
                      <a:ext cx="3884371" cy="3159226"/>
                    </a:xfrm>
                    <a:prstGeom prst="rect"/>
                  </pic:spPr>
                </pic:pic>
              </a:graphicData>
            </a:graphic>
          </wp:inline>
        </w:drawing>
      </w:r>
    </w:p>
    <w:p>
      <w:pPr>
        <w:spacing w:after="200"/>
        <w:jc w:val="center"/>
      </w:pPr>
      <w:r>
        <w:rPr>
          <w:rFonts w:ascii="Calibri" w:hAnsi="Calibri"/>
          <w:b/>
          <w:i/>
          <w:color w:val="222222"/>
          <w:sz w:val="17"/>
        </w:rPr>
        <w:t xml:space="preserve">Figure 4. </w:t>
      </w:r>
      <w:r>
        <w:rPr>
          <w:rFonts w:ascii="Calibri" w:hAnsi="Calibri"/>
          <w:b w:val="0"/>
          <w:i/>
          <w:color w:val="222222"/>
          <w:sz w:val="17"/>
        </w:rPr>
        <w:t>Task 1 confusion matrix, REAL data: out-of-fold predictions over 73 treated/baseline pairs from grouped cross-validation. Errors concentrate between the two GABA-A classes.</w:t>
      </w:r>
    </w:p>
    <w:p>
      <w:pPr>
        <w:spacing w:after="120"/>
      </w:pPr>
      <w:r>
        <w:rPr>
          <w:rFonts w:ascii="Calibri" w:hAnsi="Calibri"/>
          <w:b/>
          <w:i w:val="0"/>
          <w:color w:val="156082"/>
          <w:sz w:val="21"/>
        </w:rPr>
        <w:t>The same task, refit in a second laboratory.</w:t>
      </w:r>
      <w:r>
        <w:rPr>
          <w:rFonts w:ascii="Calibri" w:hAnsi="Calibri"/>
          <w:b w:val="0"/>
          <w:i w:val="0"/>
          <w:color w:val="222222"/>
          <w:sz w:val="21"/>
        </w:rPr>
        <w:t xml:space="preserve"> </w:t>
      </w:r>
      <w:r>
        <w:rPr>
          <w:rFonts w:ascii="Consolas" w:hAnsi="Consolas"/>
          <w:b w:val="0"/>
          <w:i w:val="0"/>
          <w:color w:val="222222"/>
          <w:sz w:val="19"/>
        </w:rPr>
        <w:t>vassallo2017</w:t>
      </w:r>
      <w:r>
        <w:rPr>
          <w:rFonts w:ascii="Calibri" w:hAnsi="Calibri"/>
          <w:b w:val="0"/>
          <w:i w:val="0"/>
          <w:color w:val="222222"/>
          <w:sz w:val="21"/>
        </w:rPr>
        <w:t xml:space="preserve"> comes from a different laboratory and a different vendor, with six compounds Kapucu never used, and each baseline sits on the same chip as its doses: 171 pairs over 26 chips in four classes. We refit the same pipeline there from scratch, training and testing inside that source with the same grouped cross-validation. Logistic regression reaches 0.333 against a chance of 0.25, on an interval of 0.2317 to 0.4204 that includes chance.</w:t>
      </w:r>
    </w:p>
    <w:p>
      <w:pPr>
        <w:spacing w:after="120"/>
      </w:pPr>
      <w:r>
        <w:rPr>
          <w:rFonts w:ascii="Calibri" w:hAnsi="Calibri"/>
          <w:b w:val="0"/>
          <w:i w:val="0"/>
          <w:color w:val="222222"/>
          <w:sz w:val="21"/>
        </w:rPr>
        <w:t>These two results are not a before and after. They are different problems — six classes against four, different compounds, and therefore different chance levels — so the only fair comparison is each against its own baseline. Kapucu clears its chance of 0.167 more than threefold; Vassallo clears its own by about a third, and its interval does not exclude chance. So mechanism signal is not a quirk of the one dataset we built the method around, but it is much weaker in the second laboratory. Note that nothing is transferred here: both models are trained and tested inside their own laboratory. We test transfer itself — a model trained in one laboratory and applied to another — in §6 and at the end of this section.</w:t>
      </w:r>
    </w:p>
    <w:p>
      <w:pPr>
        <w:spacing w:after="120"/>
      </w:pPr>
      <w:r>
        <w:rPr>
          <w:rFonts w:ascii="Calibri" w:hAnsi="Calibri"/>
          <w:b/>
          <w:i w:val="0"/>
          <w:color w:val="156082"/>
          <w:sz w:val="21"/>
        </w:rPr>
        <w:t>Why we never pooled the platforms.</w:t>
      </w:r>
      <w:r>
        <w:rPr>
          <w:rFonts w:ascii="Calibri" w:hAnsi="Calibri"/>
          <w:b w:val="0"/>
          <w:i w:val="0"/>
          <w:color w:val="222222"/>
          <w:sz w:val="21"/>
        </w:rPr>
        <w:t xml:space="preserve"> Pooling is tempting, and it would have produced a better-looking number. It would also have been meaningless. Across the full pool, the label alone determines the source for 97.35% of pairs, and 6 of the 9 mechanism classes appear in only one source. A pooled classifier would score well simply by learning which laboratory a recording came from.</w:t>
      </w:r>
    </w:p>
    <w:p>
      <w:pPr>
        <w:spacing w:after="120"/>
      </w:pPr>
      <w:r>
        <w:rPr>
          <w:rFonts w:ascii="Calibri" w:hAnsi="Calibri"/>
          <w:b/>
          <w:i w:val="0"/>
          <w:color w:val="156082"/>
          <w:sz w:val="21"/>
        </w:rPr>
        <w:t>The structural reason, and a test built around it.</w:t>
      </w:r>
      <w:r>
        <w:rPr>
          <w:rFonts w:ascii="Calibri" w:hAnsi="Calibri"/>
          <w:b w:val="0"/>
          <w:i w:val="0"/>
          <w:color w:val="222222"/>
          <w:sz w:val="21"/>
        </w:rPr>
        <w:t xml:space="preserve"> The obstacle is even sharper than that percentage suggests: the largest number of classes that any two laboratories share is 1, and a classifier needs at least two classes to tell apart. That means we cannot run leave-one-laboratory-out cross-validation here at all.</w:t>
      </w:r>
    </w:p>
    <w:p>
      <w:pPr>
        <w:spacing w:after="120"/>
      </w:pPr>
      <w:r>
        <w:rPr>
          <w:rFonts w:ascii="Calibri" w:hAnsi="Calibri"/>
          <w:b w:val="0"/>
          <w:i w:val="0"/>
          <w:color w:val="222222"/>
          <w:sz w:val="21"/>
        </w:rPr>
        <w:t xml:space="preserve">What we can build is a deliberately confounded test. Three classes appear in more than one source, and all three appear in Kapucu. We train there on 20 pairs and test on the other laboratories' versions of the same three classes, 535 pairs. In that test set, each class comes from exactly one laboratory — a correspondence of 1.0 — so in this test, class and laboratory cannot be told apart. A high score would have been ambiguous: it could mean the model read the pharmacology, or only that each laboratory's recordings look different. A score at chance has one reading: neither the mechanism signal learned in Kapucu nor any laboratory difference carried the classes across. That is why we built the test so that only a </w:t>
      </w:r>
      <w:r>
        <w:rPr>
          <w:rFonts w:ascii="Calibri" w:hAnsi="Calibri"/>
          <w:b/>
          <w:i w:val="0"/>
          <w:color w:val="222222"/>
          <w:sz w:val="21"/>
        </w:rPr>
        <w:t>low</w:t>
      </w:r>
      <w:r>
        <w:rPr>
          <w:rFonts w:ascii="Calibri" w:hAnsi="Calibri"/>
          <w:b w:val="0"/>
          <w:i w:val="0"/>
          <w:color w:val="222222"/>
          <w:sz w:val="21"/>
        </w:rPr>
        <w:t xml:space="preserve"> score is interpretable.</w:t>
      </w:r>
    </w:p>
    <w:p>
      <w:pPr>
        <w:spacing w:after="120"/>
      </w:pPr>
      <w:r>
        <w:rPr>
          <w:rFonts w:ascii="Calibri" w:hAnsi="Calibri"/>
          <w:b w:val="0"/>
          <w:i w:val="0"/>
          <w:color w:val="222222"/>
          <w:sz w:val="21"/>
        </w:rPr>
        <w:t>The model scores 0.3482, 95% CI [0.278, 0.4082], against a chance of 0.3333. That is indistinguishable from guessing: what the model learned in one laboratory did not carry to the others.</w:t>
      </w:r>
    </w:p>
    <w:p>
      <w:pPr>
        <w:spacing w:after="120"/>
      </w:pPr>
      <w:r>
        <w:rPr>
          <w:rFonts w:ascii="Calibri" w:hAnsi="Calibri"/>
          <w:b/>
          <w:i w:val="0"/>
          <w:color w:val="156082"/>
          <w:sz w:val="21"/>
        </w:rPr>
        <w:t>The control that makes it mean something.</w:t>
      </w:r>
      <w:r>
        <w:rPr>
          <w:rFonts w:ascii="Calibri" w:hAnsi="Calibri"/>
          <w:b w:val="0"/>
          <w:i w:val="0"/>
          <w:color w:val="222222"/>
          <w:sz w:val="21"/>
        </w:rPr>
        <w:t xml:space="preserve"> Twenty training pairs is not many, so the failure could come from sample size rather than from the change of laboratory. To check, we scored the same classes and the same 20 pairs </w:t>
      </w:r>
      <w:r>
        <w:rPr>
          <w:rFonts w:ascii="Calibri" w:hAnsi="Calibri"/>
          <w:b w:val="0"/>
          <w:i/>
          <w:color w:val="222222"/>
          <w:sz w:val="21"/>
        </w:rPr>
        <w:t>inside</w:t>
      </w:r>
      <w:r>
        <w:rPr>
          <w:rFonts w:ascii="Calibri" w:hAnsi="Calibri"/>
          <w:b w:val="0"/>
          <w:i w:val="0"/>
          <w:color w:val="222222"/>
          <w:sz w:val="21"/>
        </w:rPr>
        <w:t xml:space="preserve"> Kapucu with grouped cross-validation, which gives 0.5833. Same data, same size: the model learns something when it stays in one laboratory and nothing when it crosses into another.</w:t>
      </w:r>
    </w:p>
    <w:p>
      <w:pPr>
        <w:keepNext/>
        <w:spacing w:before="240" w:after="60"/>
      </w:pPr>
      <w:r>
        <w:rPr>
          <w:rFonts w:ascii="Calibri" w:hAnsi="Calibri"/>
          <w:b/>
          <w:i w:val="0"/>
          <w:color w:val="1F4E79"/>
          <w:sz w:val="23"/>
        </w:rPr>
        <w:t>6. External detection, and the negative control that matters more</w:t>
      </w:r>
    </w:p>
    <w:p>
      <w:pPr>
        <w:spacing w:after="120"/>
      </w:pPr>
      <w:r>
        <w:rPr>
          <w:rFonts w:ascii="Calibri" w:hAnsi="Calibri"/>
          <w:b w:val="0"/>
          <w:i w:val="0"/>
          <w:color w:val="222222"/>
          <w:sz w:val="21"/>
        </w:rPr>
        <w:t>Can a model trained on Kapucu's plate flag bicuculline in ScreenNeuroPharm's chambers — a different laboratory, and a different compound from the same mechanism class? Across 497 recordings, it calls "GABA-A antagonist" 36.6% of the time. There are two ways to read that, and only one is right. It is far above the rate at which that class would appear by chance, so something does transfer. But it is not an autonomous detector, because two-thirds of the time it says something else.</w:t>
      </w:r>
    </w:p>
    <w:p>
      <w:pPr>
        <w:spacing w:after="120"/>
      </w:pPr>
      <w:r>
        <w:rPr>
          <w:rFonts w:ascii="Calibri" w:hAnsi="Calibri"/>
          <w:b/>
          <w:i w:val="0"/>
          <w:color w:val="156082"/>
          <w:sz w:val="21"/>
        </w:rPr>
        <w:t>The negative control.</w:t>
      </w:r>
      <w:r>
        <w:rPr>
          <w:rFonts w:ascii="Calibri" w:hAnsi="Calibri"/>
          <w:b w:val="0"/>
          <w:i w:val="0"/>
          <w:color w:val="222222"/>
          <w:sz w:val="21"/>
        </w:rPr>
        <w:t xml:space="preserve"> What makes that first number trustworthy is the control. On Sharf's diazepam recordings — a GABA-A positive modulator, the opposite pharmacology — the same model calls "antagonist" only 7.7% of the time. A model that simply shouted "GABA-A antagonist" at anything unusual would have fired on both. Ours does not.</w:t>
      </w:r>
    </w:p>
    <w:p>
      <w:pPr>
        <w:spacing w:after="120"/>
      </w:pPr>
      <w:r>
        <w:rPr>
          <w:rFonts w:ascii="Calibri" w:hAnsi="Calibri"/>
          <w:b/>
          <w:i w:val="0"/>
          <w:color w:val="156082"/>
          <w:sz w:val="21"/>
        </w:rPr>
        <w:t>Detection does not track dose.</w:t>
      </w:r>
      <w:r>
        <w:rPr>
          <w:rFonts w:ascii="Calibri" w:hAnsi="Calibri"/>
          <w:b w:val="0"/>
          <w:i w:val="0"/>
          <w:color w:val="222222"/>
          <w:sz w:val="21"/>
        </w:rPr>
        <w:t xml:space="preserve"> Within the bicuculline series, detection probability shows no relationship with dose: Spearman ρ = −0.059, p = 0.189. Mechanism and dose are different questions, and this model only answers the first. The recordings do carry a dose signal, as §18 shows; a classifier built to tell mechanisms apart does not read it.</w:t>
      </w:r>
    </w:p>
    <w:p>
      <w:pPr>
        <w:keepNext/>
        <w:spacing w:before="240" w:after="60"/>
      </w:pPr>
      <w:r>
        <w:rPr>
          <w:rFonts w:ascii="Calibri" w:hAnsi="Calibri"/>
          <w:b/>
          <w:i w:val="0"/>
          <w:color w:val="1F4E79"/>
          <w:sz w:val="23"/>
        </w:rPr>
        <w:t>7. Rat to human</w:t>
      </w:r>
    </w:p>
    <w:p>
      <w:pPr>
        <w:keepNext/>
        <w:spacing w:after="120"/>
      </w:pPr>
      <w:r>
        <w:rPr>
          <w:rFonts w:ascii="Calibri" w:hAnsi="Calibri"/>
          <w:b w:val="0"/>
          <w:i w:val="0"/>
          <w:color w:val="222222"/>
          <w:sz w:val="21"/>
        </w:rPr>
        <w:t>The whole promise of organ-on-a-chip work is that a human preparation tells you something a rodent one cannot. So we trained on rat and tested on human, using only the five mechanism classes present in both.</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417"/>
        <w:gridCol w:w="1666"/>
        <w:gridCol w:w="1036"/>
        <w:gridCol w:w="3377"/>
      </w:tblGrid>
      <w:tr>
        <w:trPr>
          <w:cantSplit/>
          <w:tblHeader/>
        </w:trPr>
        <w:tc>
          <w:tcPr>
            <w:tcW w:type="dxa" w:w="2417"/>
            <w:shd w:val="clear" w:color="auto" w:fill="1F4E79"/>
            <w:vAlign w:val="center"/>
          </w:tcPr>
          <w:p>
            <w:pPr>
              <w:keepNext/>
              <w:spacing w:after="0"/>
            </w:pPr>
            <w:r>
              <w:rPr>
                <w:rFonts w:ascii="Calibri" w:hAnsi="Calibri"/>
                <w:b/>
                <w:i w:val="0"/>
                <w:color w:val="FFFFFF"/>
                <w:sz w:val="20"/>
              </w:rPr>
              <w:t>transfer setting</w:t>
            </w:r>
          </w:p>
        </w:tc>
        <w:tc>
          <w:tcPr>
            <w:tcW w:type="dxa" w:w="1666"/>
            <w:shd w:val="clear" w:color="auto" w:fill="1F4E79"/>
            <w:vAlign w:val="center"/>
          </w:tcPr>
          <w:p>
            <w:pPr>
              <w:keepNext/>
              <w:spacing w:after="0"/>
              <w:jc w:val="center"/>
            </w:pPr>
            <w:r>
              <w:rPr>
                <w:rFonts w:ascii="Calibri" w:hAnsi="Calibri"/>
                <w:b/>
                <w:i w:val="0"/>
                <w:color w:val="FFFFFF"/>
                <w:sz w:val="20"/>
              </w:rPr>
              <w:t>balanced accuracy</w:t>
            </w:r>
          </w:p>
        </w:tc>
        <w:tc>
          <w:tcPr>
            <w:tcW w:type="dxa" w:w="1036"/>
            <w:shd w:val="clear" w:color="auto" w:fill="1F4E79"/>
            <w:vAlign w:val="center"/>
          </w:tcPr>
          <w:p>
            <w:pPr>
              <w:keepNext/>
              <w:spacing w:after="0"/>
              <w:jc w:val="center"/>
            </w:pPr>
            <w:r>
              <w:rPr>
                <w:rFonts w:ascii="Calibri" w:hAnsi="Calibri"/>
                <w:b/>
                <w:i w:val="0"/>
                <w:color w:val="FFFFFF"/>
                <w:sz w:val="20"/>
              </w:rPr>
              <w:t>chance</w:t>
            </w:r>
          </w:p>
        </w:tc>
        <w:tc>
          <w:tcPr>
            <w:tcW w:type="dxa" w:w="3377"/>
            <w:shd w:val="clear" w:color="auto" w:fill="1F4E79"/>
            <w:vAlign w:val="center"/>
          </w:tcPr>
          <w:p>
            <w:pPr>
              <w:keepNext/>
              <w:spacing w:after="0"/>
            </w:pPr>
            <w:r>
              <w:rPr>
                <w:rFonts w:ascii="Calibri" w:hAnsi="Calibri"/>
                <w:b/>
                <w:i w:val="0"/>
                <w:color w:val="FFFFFF"/>
                <w:sz w:val="20"/>
              </w:rPr>
              <w:t>empirical finding</w:t>
            </w:r>
          </w:p>
        </w:tc>
      </w:tr>
      <w:tr>
        <w:trPr>
          <w:cantSplit/>
        </w:trPr>
        <w:tc>
          <w:tcPr>
            <w:tcW w:type="dxa" w:w="2417"/>
            <w:shd w:val="clear" w:color="auto" w:fill="FFFFFF"/>
            <w:vAlign w:val="center"/>
          </w:tcPr>
          <w:p>
            <w:pPr>
              <w:keepNext/>
              <w:spacing w:after="0"/>
            </w:pPr>
            <w:r>
              <w:rPr>
                <w:rFonts w:ascii="Calibri" w:hAnsi="Calibri"/>
                <w:b/>
                <w:i w:val="0"/>
                <w:color w:val="222222"/>
                <w:sz w:val="20"/>
              </w:rPr>
              <w:t>rat, tested within rat</w:t>
            </w:r>
          </w:p>
        </w:tc>
        <w:tc>
          <w:tcPr>
            <w:tcW w:type="dxa" w:w="1666"/>
            <w:shd w:val="clear" w:color="auto" w:fill="FFFFFF"/>
            <w:vAlign w:val="center"/>
          </w:tcPr>
          <w:p>
            <w:pPr>
              <w:keepNext/>
              <w:spacing w:after="0"/>
              <w:jc w:val="center"/>
            </w:pPr>
            <w:r>
              <w:rPr>
                <w:rFonts w:ascii="Calibri" w:hAnsi="Calibri"/>
                <w:b w:val="0"/>
                <w:i w:val="0"/>
                <w:color w:val="222222"/>
                <w:sz w:val="20"/>
              </w:rPr>
              <w:t>0.543</w:t>
            </w:r>
          </w:p>
        </w:tc>
        <w:tc>
          <w:tcPr>
            <w:tcW w:type="dxa" w:w="1036"/>
            <w:shd w:val="clear" w:color="auto" w:fill="FFFFFF"/>
            <w:vAlign w:val="center"/>
          </w:tcPr>
          <w:p>
            <w:pPr>
              <w:keepNext/>
              <w:spacing w:after="0"/>
              <w:jc w:val="center"/>
            </w:pPr>
            <w:r>
              <w:rPr>
                <w:rFonts w:ascii="Calibri" w:hAnsi="Calibri"/>
                <w:b w:val="0"/>
                <w:i w:val="0"/>
                <w:color w:val="222222"/>
                <w:sz w:val="20"/>
              </w:rPr>
              <w:t>0.2</w:t>
            </w:r>
          </w:p>
        </w:tc>
        <w:tc>
          <w:tcPr>
            <w:tcW w:type="dxa" w:w="3377"/>
            <w:shd w:val="clear" w:color="auto" w:fill="FFFFFF"/>
            <w:vAlign w:val="center"/>
          </w:tcPr>
          <w:p>
            <w:pPr>
              <w:keepNext/>
              <w:spacing w:after="0"/>
            </w:pPr>
            <w:r>
              <w:rPr>
                <w:rFonts w:ascii="Calibri" w:hAnsi="Calibri"/>
                <w:b w:val="0"/>
                <w:i w:val="0"/>
                <w:color w:val="222222"/>
                <w:sz w:val="20"/>
              </w:rPr>
              <w:t>rodent primary culture baseline</w:t>
            </w:r>
          </w:p>
        </w:tc>
      </w:tr>
      <w:tr>
        <w:trPr>
          <w:cantSplit/>
        </w:trPr>
        <w:tc>
          <w:tcPr>
            <w:tcW w:type="dxa" w:w="2417"/>
            <w:shd w:val="clear" w:color="auto" w:fill="F7F9FB"/>
            <w:vAlign w:val="center"/>
          </w:tcPr>
          <w:p>
            <w:pPr>
              <w:keepNext/>
              <w:spacing w:after="0"/>
            </w:pPr>
            <w:r>
              <w:rPr>
                <w:rFonts w:ascii="Calibri" w:hAnsi="Calibri"/>
                <w:b/>
                <w:i w:val="0"/>
                <w:color w:val="222222"/>
                <w:sz w:val="20"/>
              </w:rPr>
              <w:t>human, tested within human</w:t>
            </w:r>
          </w:p>
        </w:tc>
        <w:tc>
          <w:tcPr>
            <w:tcW w:type="dxa" w:w="1666"/>
            <w:shd w:val="clear" w:color="auto" w:fill="F7F9FB"/>
            <w:vAlign w:val="center"/>
          </w:tcPr>
          <w:p>
            <w:pPr>
              <w:keepNext/>
              <w:spacing w:after="0"/>
              <w:jc w:val="center"/>
            </w:pPr>
            <w:r>
              <w:rPr>
                <w:rFonts w:ascii="Calibri" w:hAnsi="Calibri"/>
                <w:b w:val="0"/>
                <w:i w:val="0"/>
                <w:color w:val="222222"/>
                <w:sz w:val="20"/>
              </w:rPr>
              <w:t>0.646</w:t>
            </w:r>
          </w:p>
        </w:tc>
        <w:tc>
          <w:tcPr>
            <w:tcW w:type="dxa" w:w="1036"/>
            <w:shd w:val="clear" w:color="auto" w:fill="F7F9FB"/>
            <w:vAlign w:val="center"/>
          </w:tcPr>
          <w:p>
            <w:pPr>
              <w:keepNext/>
              <w:spacing w:after="0"/>
              <w:jc w:val="center"/>
            </w:pPr>
            <w:r>
              <w:rPr>
                <w:rFonts w:ascii="Calibri" w:hAnsi="Calibri"/>
                <w:b w:val="0"/>
                <w:i w:val="0"/>
                <w:color w:val="222222"/>
                <w:sz w:val="20"/>
              </w:rPr>
              <w:t>0.2</w:t>
            </w:r>
          </w:p>
        </w:tc>
        <w:tc>
          <w:tcPr>
            <w:tcW w:type="dxa" w:w="3377"/>
            <w:shd w:val="clear" w:color="auto" w:fill="F7F9FB"/>
            <w:vAlign w:val="center"/>
          </w:tcPr>
          <w:p>
            <w:pPr>
              <w:keepNext/>
              <w:spacing w:after="0"/>
            </w:pPr>
            <w:r>
              <w:rPr>
                <w:rFonts w:ascii="Calibri" w:hAnsi="Calibri"/>
                <w:b w:val="0"/>
                <w:i w:val="0"/>
                <w:color w:val="222222"/>
                <w:sz w:val="20"/>
              </w:rPr>
              <w:t>human iPSC model evaluation</w:t>
            </w:r>
          </w:p>
        </w:tc>
      </w:tr>
      <w:tr>
        <w:trPr>
          <w:cantSplit/>
        </w:trPr>
        <w:tc>
          <w:tcPr>
            <w:tcW w:type="dxa" w:w="2417"/>
            <w:shd w:val="clear" w:color="auto" w:fill="FFFFFF"/>
            <w:vAlign w:val="center"/>
          </w:tcPr>
          <w:p>
            <w:pPr>
              <w:keepNext/>
              <w:spacing w:after="0"/>
            </w:pPr>
            <w:r>
              <w:rPr>
                <w:rFonts w:ascii="Calibri" w:hAnsi="Calibri"/>
                <w:b/>
                <w:i w:val="0"/>
                <w:color w:val="222222"/>
                <w:sz w:val="20"/>
              </w:rPr>
              <w:t>rat → human, no adaptation</w:t>
            </w:r>
          </w:p>
        </w:tc>
        <w:tc>
          <w:tcPr>
            <w:tcW w:type="dxa" w:w="1666"/>
            <w:shd w:val="clear" w:color="auto" w:fill="FFFFFF"/>
            <w:vAlign w:val="center"/>
          </w:tcPr>
          <w:p>
            <w:pPr>
              <w:keepNext/>
              <w:spacing w:after="0"/>
              <w:jc w:val="center"/>
            </w:pPr>
            <w:r>
              <w:rPr>
                <w:rFonts w:ascii="Calibri" w:hAnsi="Calibri"/>
                <w:b/>
                <w:i w:val="0"/>
                <w:color w:val="222222"/>
                <w:sz w:val="20"/>
              </w:rPr>
              <w:t>0.55</w:t>
            </w:r>
          </w:p>
        </w:tc>
        <w:tc>
          <w:tcPr>
            <w:tcW w:type="dxa" w:w="1036"/>
            <w:shd w:val="clear" w:color="auto" w:fill="FFFFFF"/>
            <w:vAlign w:val="center"/>
          </w:tcPr>
          <w:p>
            <w:pPr>
              <w:keepNext/>
              <w:spacing w:after="0"/>
              <w:jc w:val="center"/>
            </w:pPr>
            <w:r>
              <w:rPr>
                <w:rFonts w:ascii="Calibri" w:hAnsi="Calibri"/>
                <w:b w:val="0"/>
                <w:i w:val="0"/>
                <w:color w:val="222222"/>
                <w:sz w:val="20"/>
              </w:rPr>
              <w:t>0.2</w:t>
            </w:r>
          </w:p>
        </w:tc>
        <w:tc>
          <w:tcPr>
            <w:tcW w:type="dxa" w:w="3377"/>
            <w:shd w:val="clear" w:color="auto" w:fill="FFFFFF"/>
            <w:vAlign w:val="center"/>
          </w:tcPr>
          <w:p>
            <w:pPr>
              <w:keepNext/>
              <w:spacing w:after="0"/>
            </w:pPr>
            <w:r>
              <w:rPr>
                <w:rFonts w:ascii="Calibri" w:hAnsi="Calibri"/>
                <w:b w:val="0"/>
                <w:i w:val="0"/>
                <w:color w:val="222222"/>
                <w:sz w:val="20"/>
              </w:rPr>
              <w:t>transfers without loss; permutation p = 0.0002</w:t>
            </w:r>
          </w:p>
        </w:tc>
      </w:tr>
      <w:tr>
        <w:trPr>
          <w:cantSplit/>
        </w:trPr>
        <w:tc>
          <w:tcPr>
            <w:tcW w:type="dxa" w:w="2417"/>
            <w:shd w:val="clear" w:color="auto" w:fill="F7F9FB"/>
            <w:vAlign w:val="center"/>
          </w:tcPr>
          <w:p>
            <w:pPr>
              <w:keepNext/>
              <w:spacing w:after="0"/>
            </w:pPr>
            <w:r>
              <w:rPr>
                <w:rFonts w:ascii="Calibri" w:hAnsi="Calibri"/>
                <w:b/>
                <w:i w:val="0"/>
                <w:color w:val="222222"/>
                <w:sz w:val="20"/>
              </w:rPr>
              <w:t>rat → human, CORAL</w:t>
            </w:r>
          </w:p>
        </w:tc>
        <w:tc>
          <w:tcPr>
            <w:tcW w:type="dxa" w:w="1666"/>
            <w:shd w:val="clear" w:color="auto" w:fill="F7F9FB"/>
            <w:vAlign w:val="center"/>
          </w:tcPr>
          <w:p>
            <w:pPr>
              <w:keepNext/>
              <w:spacing w:after="0"/>
              <w:jc w:val="center"/>
            </w:pPr>
            <w:r>
              <w:rPr>
                <w:rFonts w:ascii="Calibri" w:hAnsi="Calibri"/>
                <w:b w:val="0"/>
                <w:i w:val="0"/>
                <w:color w:val="222222"/>
                <w:sz w:val="20"/>
              </w:rPr>
              <w:t>0.442</w:t>
            </w:r>
          </w:p>
        </w:tc>
        <w:tc>
          <w:tcPr>
            <w:tcW w:type="dxa" w:w="1036"/>
            <w:shd w:val="clear" w:color="auto" w:fill="F7F9FB"/>
            <w:vAlign w:val="center"/>
          </w:tcPr>
          <w:p>
            <w:pPr>
              <w:keepNext/>
              <w:spacing w:after="0"/>
              <w:jc w:val="center"/>
            </w:pPr>
            <w:r>
              <w:rPr>
                <w:rFonts w:ascii="Calibri" w:hAnsi="Calibri"/>
                <w:b w:val="0"/>
                <w:i w:val="0"/>
                <w:color w:val="222222"/>
                <w:sz w:val="20"/>
              </w:rPr>
              <w:t>0.2</w:t>
            </w:r>
          </w:p>
        </w:tc>
        <w:tc>
          <w:tcPr>
            <w:tcW w:type="dxa" w:w="3377"/>
            <w:shd w:val="clear" w:color="auto" w:fill="F7F9FB"/>
            <w:vAlign w:val="center"/>
          </w:tcPr>
          <w:p>
            <w:pPr>
              <w:keepNext/>
              <w:spacing w:after="0"/>
            </w:pPr>
            <w:r>
              <w:rPr>
                <w:rFonts w:ascii="Calibri" w:hAnsi="Calibri"/>
                <w:b w:val="0"/>
                <w:i w:val="0"/>
                <w:color w:val="222222"/>
                <w:sz w:val="20"/>
              </w:rPr>
              <w:t>covariance alignment erodes biological signal</w:t>
            </w:r>
          </w:p>
        </w:tc>
      </w:tr>
      <w:tr>
        <w:trPr>
          <w:cantSplit/>
        </w:trPr>
        <w:tc>
          <w:tcPr>
            <w:tcW w:type="dxa" w:w="2417"/>
            <w:shd w:val="clear" w:color="auto" w:fill="FFFFFF"/>
            <w:vAlign w:val="center"/>
          </w:tcPr>
          <w:p>
            <w:pPr>
              <w:keepNext w:val="0"/>
              <w:spacing w:after="0"/>
            </w:pPr>
            <w:r>
              <w:rPr>
                <w:rFonts w:ascii="Calibri" w:hAnsi="Calibri"/>
                <w:b/>
                <w:i w:val="0"/>
                <w:color w:val="222222"/>
                <w:sz w:val="20"/>
              </w:rPr>
              <w:t>rat → human, standardized</w:t>
            </w:r>
          </w:p>
        </w:tc>
        <w:tc>
          <w:tcPr>
            <w:tcW w:type="dxa" w:w="1666"/>
            <w:shd w:val="clear" w:color="auto" w:fill="FFFFFF"/>
            <w:vAlign w:val="center"/>
          </w:tcPr>
          <w:p>
            <w:pPr>
              <w:keepNext w:val="0"/>
              <w:spacing w:after="0"/>
              <w:jc w:val="center"/>
            </w:pPr>
            <w:r>
              <w:rPr>
                <w:rFonts w:ascii="Calibri" w:hAnsi="Calibri"/>
                <w:b w:val="0"/>
                <w:i w:val="0"/>
                <w:color w:val="222222"/>
                <w:sz w:val="20"/>
              </w:rPr>
              <w:t>0.408</w:t>
            </w:r>
          </w:p>
        </w:tc>
        <w:tc>
          <w:tcPr>
            <w:tcW w:type="dxa" w:w="1036"/>
            <w:shd w:val="clear" w:color="auto" w:fill="FFFFFF"/>
            <w:vAlign w:val="center"/>
          </w:tcPr>
          <w:p>
            <w:pPr>
              <w:keepNext w:val="0"/>
              <w:spacing w:after="0"/>
              <w:jc w:val="center"/>
            </w:pPr>
            <w:r>
              <w:rPr>
                <w:rFonts w:ascii="Calibri" w:hAnsi="Calibri"/>
                <w:b w:val="0"/>
                <w:i w:val="0"/>
                <w:color w:val="222222"/>
                <w:sz w:val="20"/>
              </w:rPr>
              <w:t>0.2</w:t>
            </w:r>
          </w:p>
        </w:tc>
        <w:tc>
          <w:tcPr>
            <w:tcW w:type="dxa" w:w="3377"/>
            <w:shd w:val="clear" w:color="auto" w:fill="FFFFFF"/>
            <w:vAlign w:val="center"/>
          </w:tcPr>
          <w:p>
            <w:pPr>
              <w:keepNext w:val="0"/>
              <w:spacing w:after="0"/>
            </w:pPr>
            <w:r>
              <w:rPr>
                <w:rFonts w:ascii="Calibri" w:hAnsi="Calibri"/>
                <w:b w:val="0"/>
                <w:i w:val="0"/>
                <w:color w:val="222222"/>
                <w:sz w:val="20"/>
              </w:rPr>
              <w:t>per-species normalization degrades toward chance</w:t>
            </w:r>
          </w:p>
        </w:tc>
      </w:tr>
    </w:tbl>
    <w:p>
      <w:pPr>
        <w:spacing w:after="80"/>
      </w:pPr>
    </w:p>
    <w:p>
      <w:pPr>
        <w:spacing w:after="120"/>
      </w:pPr>
      <w:r>
        <w:rPr>
          <w:rFonts w:ascii="Calibri" w:hAnsi="Calibri"/>
          <w:b w:val="0"/>
          <w:i w:val="0"/>
          <w:color w:val="222222"/>
          <w:sz w:val="21"/>
        </w:rPr>
        <w:t xml:space="preserve">The transfer is real, not luck, and two things stand out. First, rat → human (0.55) is </w:t>
      </w:r>
      <w:r>
        <w:rPr>
          <w:rFonts w:ascii="Calibri" w:hAnsi="Calibri"/>
          <w:b w:val="0"/>
          <w:i/>
          <w:color w:val="222222"/>
          <w:sz w:val="21"/>
        </w:rPr>
        <w:t>not</w:t>
      </w:r>
      <w:r>
        <w:rPr>
          <w:rFonts w:ascii="Calibri" w:hAnsi="Calibri"/>
          <w:b w:val="0"/>
          <w:i w:val="0"/>
          <w:color w:val="222222"/>
          <w:sz w:val="21"/>
        </w:rPr>
        <w:t xml:space="preserve"> worse than rat tested within rat (0.543): mechanism information crosses the species boundary about as well as it crosses between cultures within rat. Second, </w:t>
      </w:r>
      <w:r>
        <w:rPr>
          <w:rFonts w:ascii="Calibri" w:hAnsi="Calibri"/>
          <w:b/>
          <w:i w:val="0"/>
          <w:color w:val="222222"/>
          <w:sz w:val="21"/>
        </w:rPr>
        <w:t>both domain-adaptation methods made it worse.</w:t>
      </w:r>
      <w:r>
        <w:rPr>
          <w:rFonts w:ascii="Calibri" w:hAnsi="Calibri"/>
          <w:b w:val="0"/>
          <w:i w:val="0"/>
          <w:color w:val="222222"/>
          <w:sz w:val="21"/>
        </w:rPr>
        <w:t xml:space="preserve"> These are the standard tools for this problem, but here they removed real signal rather than distribution shift — which is what happens when a method designed for thousands of samples meets 37 rat training pairs and 32 human testing pairs. We report the unadapted number as our result, with the adapted ones beside it, rather than picking whichever was highest.</w:t>
      </w:r>
    </w:p>
    <w:p>
      <w:pPr>
        <w:keepNext/>
        <w:spacing w:before="240" w:after="60"/>
      </w:pPr>
      <w:r>
        <w:rPr>
          <w:rFonts w:ascii="Calibri" w:hAnsi="Calibri"/>
          <w:b/>
          <w:i w:val="0"/>
          <w:color w:val="1F4E79"/>
          <w:sz w:val="23"/>
        </w:rPr>
        <w:t>8. Which features are actually doing the work?</w:t>
      </w:r>
    </w:p>
    <w:p>
      <w:pPr>
        <w:keepNext/>
        <w:spacing w:after="120"/>
      </w:pPr>
      <w:r>
        <w:rPr>
          <w:rFonts w:ascii="Calibri" w:hAnsi="Calibri"/>
          <w:b w:val="0"/>
          <w:i w:val="0"/>
          <w:color w:val="222222"/>
          <w:sz w:val="21"/>
        </w:rPr>
        <w:t>If the nine-feature vector were doing nine distinct jobs, dropping most of it should hurt. It does not.</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407"/>
        <w:gridCol w:w="1332"/>
        <w:gridCol w:w="4757"/>
      </w:tblGrid>
      <w:tr>
        <w:trPr>
          <w:cantSplit/>
          <w:tblHeader/>
        </w:trPr>
        <w:tc>
          <w:tcPr>
            <w:tcW w:type="dxa" w:w="2407"/>
            <w:shd w:val="clear" w:color="auto" w:fill="1F4E79"/>
            <w:vAlign w:val="center"/>
          </w:tcPr>
          <w:p>
            <w:pPr>
              <w:keepNext/>
              <w:spacing w:after="0"/>
            </w:pPr>
            <w:r>
              <w:rPr>
                <w:rFonts w:ascii="Calibri" w:hAnsi="Calibri"/>
                <w:b/>
                <w:i w:val="0"/>
                <w:color w:val="FFFFFF"/>
                <w:sz w:val="20"/>
              </w:rPr>
              <w:t>evaluated feature subset</w:t>
            </w:r>
          </w:p>
        </w:tc>
        <w:tc>
          <w:tcPr>
            <w:tcW w:type="dxa" w:w="1332"/>
            <w:shd w:val="clear" w:color="auto" w:fill="1F4E79"/>
            <w:vAlign w:val="center"/>
          </w:tcPr>
          <w:p>
            <w:pPr>
              <w:keepNext/>
              <w:spacing w:after="0"/>
              <w:jc w:val="center"/>
            </w:pPr>
            <w:r>
              <w:rPr>
                <w:rFonts w:ascii="Calibri" w:hAnsi="Calibri"/>
                <w:b/>
                <w:i w:val="0"/>
                <w:color w:val="FFFFFF"/>
                <w:sz w:val="20"/>
              </w:rPr>
              <w:t>balanced accuracy</w:t>
            </w:r>
          </w:p>
        </w:tc>
        <w:tc>
          <w:tcPr>
            <w:tcW w:type="dxa" w:w="4757"/>
            <w:shd w:val="clear" w:color="auto" w:fill="1F4E79"/>
            <w:vAlign w:val="center"/>
          </w:tcPr>
          <w:p>
            <w:pPr>
              <w:keepNext/>
              <w:spacing w:after="0"/>
            </w:pPr>
            <w:r>
              <w:rPr>
                <w:rFonts w:ascii="Calibri" w:hAnsi="Calibri"/>
                <w:b/>
                <w:i w:val="0"/>
                <w:color w:val="FFFFFF"/>
                <w:sz w:val="20"/>
              </w:rPr>
              <w:t>included features</w:t>
            </w:r>
          </w:p>
        </w:tc>
      </w:tr>
      <w:tr>
        <w:trPr>
          <w:cantSplit/>
        </w:trPr>
        <w:tc>
          <w:tcPr>
            <w:tcW w:type="dxa" w:w="2407"/>
            <w:shd w:val="clear" w:color="auto" w:fill="FFFFFF"/>
            <w:vAlign w:val="center"/>
          </w:tcPr>
          <w:p>
            <w:pPr>
              <w:keepNext/>
              <w:spacing w:after="0"/>
            </w:pPr>
            <w:r>
              <w:rPr>
                <w:rFonts w:ascii="Calibri" w:hAnsi="Calibri"/>
                <w:b/>
                <w:i w:val="0"/>
                <w:color w:val="222222"/>
                <w:sz w:val="20"/>
              </w:rPr>
              <w:t>the two rate features only</w:t>
            </w:r>
          </w:p>
        </w:tc>
        <w:tc>
          <w:tcPr>
            <w:tcW w:type="dxa" w:w="1332"/>
            <w:shd w:val="clear" w:color="auto" w:fill="FFFFFF"/>
            <w:vAlign w:val="center"/>
          </w:tcPr>
          <w:p>
            <w:pPr>
              <w:keepNext/>
              <w:spacing w:after="0"/>
              <w:jc w:val="center"/>
            </w:pPr>
            <w:r>
              <w:rPr>
                <w:rFonts w:ascii="Calibri" w:hAnsi="Calibri"/>
                <w:b/>
                <w:i w:val="0"/>
                <w:color w:val="222222"/>
                <w:sz w:val="20"/>
              </w:rPr>
              <w:t>0.53</w:t>
            </w:r>
          </w:p>
        </w:tc>
        <w:tc>
          <w:tcPr>
            <w:tcW w:type="dxa" w:w="4757"/>
            <w:shd w:val="clear" w:color="auto" w:fill="FFFFFF"/>
            <w:vAlign w:val="center"/>
          </w:tcPr>
          <w:p>
            <w:pPr>
              <w:keepNext/>
              <w:spacing w:after="0"/>
            </w:pPr>
            <w:r>
              <w:rPr>
                <w:rFonts w:ascii="Consolas" w:hAnsi="Consolas"/>
                <w:b w:val="0"/>
                <w:i w:val="0"/>
                <w:color w:val="222222"/>
                <w:sz w:val="18"/>
              </w:rPr>
              <w:t>mfr_hz</w:t>
            </w:r>
            <w:r>
              <w:rPr>
                <w:rFonts w:ascii="Calibri" w:hAnsi="Calibri"/>
                <w:b w:val="0"/>
                <w:i w:val="0"/>
                <w:color w:val="222222"/>
                <w:sz w:val="20"/>
              </w:rPr>
              <w:t xml:space="preserve">, </w:t>
            </w:r>
            <w:r>
              <w:rPr>
                <w:rFonts w:ascii="Consolas" w:hAnsi="Consolas"/>
                <w:b w:val="0"/>
                <w:i w:val="0"/>
                <w:color w:val="222222"/>
                <w:sz w:val="18"/>
              </w:rPr>
              <w:t>burst_rate_per_min</w:t>
            </w:r>
          </w:p>
        </w:tc>
      </w:tr>
      <w:tr>
        <w:trPr>
          <w:cantSplit/>
        </w:trPr>
        <w:tc>
          <w:tcPr>
            <w:tcW w:type="dxa" w:w="2407"/>
            <w:shd w:val="clear" w:color="auto" w:fill="F7F9FB"/>
            <w:vAlign w:val="center"/>
          </w:tcPr>
          <w:p>
            <w:pPr>
              <w:keepNext/>
              <w:spacing w:after="0"/>
            </w:pPr>
            <w:r>
              <w:rPr>
                <w:rFonts w:ascii="Calibri" w:hAnsi="Calibri"/>
                <w:b/>
                <w:i w:val="0"/>
                <w:color w:val="222222"/>
                <w:sz w:val="20"/>
              </w:rPr>
              <w:t>species-invariant subset</w:t>
            </w:r>
          </w:p>
        </w:tc>
        <w:tc>
          <w:tcPr>
            <w:tcW w:type="dxa" w:w="1332"/>
            <w:shd w:val="clear" w:color="auto" w:fill="F7F9FB"/>
            <w:vAlign w:val="center"/>
          </w:tcPr>
          <w:p>
            <w:pPr>
              <w:keepNext/>
              <w:spacing w:after="0"/>
              <w:jc w:val="center"/>
            </w:pPr>
            <w:r>
              <w:rPr>
                <w:rFonts w:ascii="Calibri" w:hAnsi="Calibri"/>
                <w:b w:val="0"/>
                <w:i w:val="0"/>
                <w:color w:val="222222"/>
                <w:sz w:val="20"/>
              </w:rPr>
              <w:t>0.516</w:t>
            </w:r>
          </w:p>
        </w:tc>
        <w:tc>
          <w:tcPr>
            <w:tcW w:type="dxa" w:w="4757"/>
            <w:shd w:val="clear" w:color="auto" w:fill="F7F9FB"/>
            <w:vAlign w:val="center"/>
          </w:tcPr>
          <w:p>
            <w:pPr>
              <w:keepNext/>
              <w:spacing w:after="0"/>
            </w:pPr>
            <w:r>
              <w:rPr>
                <w:rFonts w:ascii="Calibri" w:hAnsi="Calibri"/>
                <w:b w:val="0"/>
                <w:i w:val="0"/>
                <w:color w:val="222222"/>
                <w:sz w:val="20"/>
              </w:rPr>
              <w:t>features stable across untreated species baselines</w:t>
            </w:r>
          </w:p>
        </w:tc>
      </w:tr>
      <w:tr>
        <w:trPr>
          <w:cantSplit/>
        </w:trPr>
        <w:tc>
          <w:tcPr>
            <w:tcW w:type="dxa" w:w="2407"/>
            <w:shd w:val="clear" w:color="auto" w:fill="FFFFFF"/>
            <w:vAlign w:val="center"/>
          </w:tcPr>
          <w:p>
            <w:pPr>
              <w:keepNext/>
              <w:spacing w:after="0"/>
            </w:pPr>
            <w:r>
              <w:rPr>
                <w:rFonts w:ascii="Calibri" w:hAnsi="Calibri"/>
                <w:b/>
                <w:i w:val="0"/>
                <w:color w:val="222222"/>
                <w:sz w:val="20"/>
              </w:rPr>
              <w:t>all nine features</w:t>
            </w:r>
          </w:p>
        </w:tc>
        <w:tc>
          <w:tcPr>
            <w:tcW w:type="dxa" w:w="1332"/>
            <w:shd w:val="clear" w:color="auto" w:fill="FFFFFF"/>
            <w:vAlign w:val="center"/>
          </w:tcPr>
          <w:p>
            <w:pPr>
              <w:keepNext/>
              <w:spacing w:after="0"/>
              <w:jc w:val="center"/>
            </w:pPr>
            <w:r>
              <w:rPr>
                <w:rFonts w:ascii="Calibri" w:hAnsi="Calibri"/>
                <w:b w:val="0"/>
                <w:i w:val="0"/>
                <w:color w:val="222222"/>
                <w:sz w:val="20"/>
              </w:rPr>
              <w:t>0.514</w:t>
            </w:r>
          </w:p>
        </w:tc>
        <w:tc>
          <w:tcPr>
            <w:tcW w:type="dxa" w:w="4757"/>
            <w:shd w:val="clear" w:color="auto" w:fill="FFFFFF"/>
            <w:vAlign w:val="center"/>
          </w:tcPr>
          <w:p>
            <w:pPr>
              <w:keepNext/>
              <w:spacing w:after="0"/>
            </w:pPr>
            <w:r>
              <w:rPr>
                <w:rFonts w:ascii="Calibri" w:hAnsi="Calibri"/>
                <w:b w:val="0"/>
                <w:i w:val="0"/>
                <w:color w:val="222222"/>
                <w:sz w:val="20"/>
              </w:rPr>
              <w:t>the full biophysical complement</w:t>
            </w:r>
          </w:p>
        </w:tc>
      </w:tr>
      <w:tr>
        <w:trPr>
          <w:cantSplit/>
        </w:trPr>
        <w:tc>
          <w:tcPr>
            <w:tcW w:type="dxa" w:w="2407"/>
            <w:shd w:val="clear" w:color="auto" w:fill="F7F9FB"/>
            <w:vAlign w:val="center"/>
          </w:tcPr>
          <w:p>
            <w:pPr>
              <w:keepNext/>
              <w:spacing w:after="0"/>
            </w:pPr>
            <w:r>
              <w:rPr>
                <w:rFonts w:ascii="Calibri" w:hAnsi="Calibri"/>
                <w:b/>
                <w:i w:val="0"/>
                <w:color w:val="222222"/>
                <w:sz w:val="20"/>
              </w:rPr>
              <w:t>synchrony only</w:t>
            </w:r>
          </w:p>
        </w:tc>
        <w:tc>
          <w:tcPr>
            <w:tcW w:type="dxa" w:w="1332"/>
            <w:shd w:val="clear" w:color="auto" w:fill="F7F9FB"/>
            <w:vAlign w:val="center"/>
          </w:tcPr>
          <w:p>
            <w:pPr>
              <w:keepNext/>
              <w:spacing w:after="0"/>
              <w:jc w:val="center"/>
            </w:pPr>
            <w:r>
              <w:rPr>
                <w:rFonts w:ascii="Calibri" w:hAnsi="Calibri"/>
                <w:b w:val="0"/>
                <w:i w:val="0"/>
                <w:color w:val="222222"/>
                <w:sz w:val="20"/>
              </w:rPr>
              <w:t>0.455</w:t>
            </w:r>
          </w:p>
        </w:tc>
        <w:tc>
          <w:tcPr>
            <w:tcW w:type="dxa" w:w="4757"/>
            <w:shd w:val="clear" w:color="auto" w:fill="F7F9FB"/>
            <w:vAlign w:val="center"/>
          </w:tcPr>
          <w:p>
            <w:pPr>
              <w:keepNext/>
              <w:spacing w:after="0"/>
            </w:pPr>
            <w:r>
              <w:rPr>
                <w:rFonts w:ascii="Consolas" w:hAnsi="Consolas"/>
                <w:b w:val="0"/>
                <w:i w:val="0"/>
                <w:color w:val="222222"/>
                <w:sz w:val="18"/>
              </w:rPr>
              <w:t>synchrony_index</w:t>
            </w:r>
            <w:r>
              <w:rPr>
                <w:rFonts w:ascii="Calibri" w:hAnsi="Calibri"/>
                <w:b w:val="0"/>
                <w:i w:val="0"/>
                <w:color w:val="222222"/>
                <w:sz w:val="20"/>
              </w:rPr>
              <w:t xml:space="preserve"> (STTC)</w:t>
            </w:r>
          </w:p>
        </w:tc>
      </w:tr>
      <w:tr>
        <w:trPr>
          <w:cantSplit/>
        </w:trPr>
        <w:tc>
          <w:tcPr>
            <w:tcW w:type="dxa" w:w="2407"/>
            <w:shd w:val="clear" w:color="auto" w:fill="FFFFFF"/>
            <w:vAlign w:val="center"/>
          </w:tcPr>
          <w:p>
            <w:pPr>
              <w:keepNext/>
              <w:spacing w:after="0"/>
            </w:pPr>
            <w:r>
              <w:rPr>
                <w:rFonts w:ascii="Calibri" w:hAnsi="Calibri"/>
                <w:b/>
                <w:i w:val="0"/>
                <w:color w:val="222222"/>
                <w:sz w:val="20"/>
              </w:rPr>
              <w:t>firing rate only</w:t>
            </w:r>
          </w:p>
        </w:tc>
        <w:tc>
          <w:tcPr>
            <w:tcW w:type="dxa" w:w="1332"/>
            <w:shd w:val="clear" w:color="auto" w:fill="FFFFFF"/>
            <w:vAlign w:val="center"/>
          </w:tcPr>
          <w:p>
            <w:pPr>
              <w:keepNext/>
              <w:spacing w:after="0"/>
              <w:jc w:val="center"/>
            </w:pPr>
            <w:r>
              <w:rPr>
                <w:rFonts w:ascii="Calibri" w:hAnsi="Calibri"/>
                <w:b w:val="0"/>
                <w:i w:val="0"/>
                <w:color w:val="222222"/>
                <w:sz w:val="20"/>
              </w:rPr>
              <w:t>0.442</w:t>
            </w:r>
          </w:p>
        </w:tc>
        <w:tc>
          <w:tcPr>
            <w:tcW w:type="dxa" w:w="4757"/>
            <w:shd w:val="clear" w:color="auto" w:fill="FFFFFF"/>
            <w:vAlign w:val="center"/>
          </w:tcPr>
          <w:p>
            <w:pPr>
              <w:keepNext/>
              <w:spacing w:after="0"/>
            </w:pPr>
            <w:r>
              <w:rPr>
                <w:rFonts w:ascii="Consolas" w:hAnsi="Consolas"/>
                <w:b w:val="0"/>
                <w:i w:val="0"/>
                <w:color w:val="222222"/>
                <w:sz w:val="18"/>
              </w:rPr>
              <w:t>mfr_hz</w:t>
            </w:r>
          </w:p>
        </w:tc>
      </w:tr>
      <w:tr>
        <w:trPr>
          <w:cantSplit/>
        </w:trPr>
        <w:tc>
          <w:tcPr>
            <w:tcW w:type="dxa" w:w="2407"/>
            <w:shd w:val="clear" w:color="auto" w:fill="F7F9FB"/>
            <w:vAlign w:val="center"/>
          </w:tcPr>
          <w:p>
            <w:pPr>
              <w:keepNext/>
              <w:spacing w:after="0"/>
            </w:pPr>
            <w:r>
              <w:rPr>
                <w:rFonts w:ascii="Calibri" w:hAnsi="Calibri"/>
                <w:b/>
                <w:i w:val="0"/>
                <w:color w:val="222222"/>
                <w:sz w:val="20"/>
              </w:rPr>
              <w:t>network features only</w:t>
            </w:r>
          </w:p>
        </w:tc>
        <w:tc>
          <w:tcPr>
            <w:tcW w:type="dxa" w:w="1332"/>
            <w:shd w:val="clear" w:color="auto" w:fill="F7F9FB"/>
            <w:vAlign w:val="center"/>
          </w:tcPr>
          <w:p>
            <w:pPr>
              <w:keepNext/>
              <w:spacing w:after="0"/>
              <w:jc w:val="center"/>
            </w:pPr>
            <w:r>
              <w:rPr>
                <w:rFonts w:ascii="Calibri" w:hAnsi="Calibri"/>
                <w:b w:val="0"/>
                <w:i w:val="0"/>
                <w:color w:val="222222"/>
                <w:sz w:val="20"/>
              </w:rPr>
              <w:t>0.417</w:t>
            </w:r>
          </w:p>
        </w:tc>
        <w:tc>
          <w:tcPr>
            <w:tcW w:type="dxa" w:w="4757"/>
            <w:shd w:val="clear" w:color="auto" w:fill="F7F9FB"/>
            <w:vAlign w:val="center"/>
          </w:tcPr>
          <w:p>
            <w:pPr>
              <w:keepNext/>
              <w:spacing w:after="0"/>
            </w:pPr>
            <w:r>
              <w:rPr>
                <w:rFonts w:ascii="Consolas" w:hAnsi="Consolas"/>
                <w:b w:val="0"/>
                <w:i w:val="0"/>
                <w:color w:val="222222"/>
                <w:sz w:val="18"/>
              </w:rPr>
              <w:t>network_burst_rate_per_min</w:t>
            </w:r>
            <w:r>
              <w:rPr>
                <w:rFonts w:ascii="Calibri" w:hAnsi="Calibri"/>
                <w:b w:val="0"/>
                <w:i w:val="0"/>
                <w:color w:val="222222"/>
                <w:sz w:val="20"/>
              </w:rPr>
              <w:t xml:space="preserve">, </w:t>
            </w:r>
            <w:r>
              <w:rPr>
                <w:rFonts w:ascii="Consolas" w:hAnsi="Consolas"/>
                <w:b w:val="0"/>
                <w:i w:val="0"/>
                <w:color w:val="222222"/>
                <w:sz w:val="18"/>
              </w:rPr>
              <w:t>synchrony_index</w:t>
            </w:r>
          </w:p>
        </w:tc>
      </w:tr>
      <w:tr>
        <w:trPr>
          <w:cantSplit/>
        </w:trPr>
        <w:tc>
          <w:tcPr>
            <w:tcW w:type="dxa" w:w="2407"/>
            <w:shd w:val="clear" w:color="auto" w:fill="FFFFFF"/>
            <w:vAlign w:val="center"/>
          </w:tcPr>
          <w:p>
            <w:pPr>
              <w:keepNext w:val="0"/>
              <w:spacing w:after="0"/>
            </w:pPr>
            <w:r>
              <w:rPr>
                <w:rFonts w:ascii="Calibri" w:hAnsi="Calibri"/>
                <w:b/>
                <w:i w:val="0"/>
                <w:color w:val="222222"/>
                <w:sz w:val="20"/>
              </w:rPr>
              <w:t>burst features only</w:t>
            </w:r>
          </w:p>
        </w:tc>
        <w:tc>
          <w:tcPr>
            <w:tcW w:type="dxa" w:w="1332"/>
            <w:shd w:val="clear" w:color="auto" w:fill="FFFFFF"/>
            <w:vAlign w:val="center"/>
          </w:tcPr>
          <w:p>
            <w:pPr>
              <w:keepNext w:val="0"/>
              <w:spacing w:after="0"/>
              <w:jc w:val="center"/>
            </w:pPr>
            <w:r>
              <w:rPr>
                <w:rFonts w:ascii="Calibri" w:hAnsi="Calibri"/>
                <w:b w:val="0"/>
                <w:i w:val="0"/>
                <w:color w:val="222222"/>
                <w:sz w:val="20"/>
              </w:rPr>
              <w:t>0.411</w:t>
            </w:r>
          </w:p>
        </w:tc>
        <w:tc>
          <w:tcPr>
            <w:tcW w:type="dxa" w:w="4757"/>
            <w:shd w:val="clear" w:color="auto" w:fill="FFFFFF"/>
            <w:vAlign w:val="center"/>
          </w:tcPr>
          <w:p>
            <w:pPr>
              <w:keepNext w:val="0"/>
              <w:spacing w:after="0"/>
            </w:pPr>
            <w:r>
              <w:rPr>
                <w:rFonts w:ascii="Consolas" w:hAnsi="Consolas"/>
                <w:b w:val="0"/>
                <w:i w:val="0"/>
                <w:color w:val="222222"/>
                <w:sz w:val="18"/>
              </w:rPr>
              <w:t>burst_duration_s</w:t>
            </w:r>
            <w:r>
              <w:rPr>
                <w:rFonts w:ascii="Calibri" w:hAnsi="Calibri"/>
                <w:b w:val="0"/>
                <w:i w:val="0"/>
                <w:color w:val="222222"/>
                <w:sz w:val="20"/>
              </w:rPr>
              <w:t xml:space="preserve">, </w:t>
            </w:r>
            <w:r>
              <w:rPr>
                <w:rFonts w:ascii="Consolas" w:hAnsi="Consolas"/>
                <w:b w:val="0"/>
                <w:i w:val="0"/>
                <w:color w:val="222222"/>
                <w:sz w:val="18"/>
              </w:rPr>
              <w:t>spikes_per_burst</w:t>
            </w:r>
            <w:r>
              <w:rPr>
                <w:rFonts w:ascii="Calibri" w:hAnsi="Calibri"/>
                <w:b w:val="0"/>
                <w:i w:val="0"/>
                <w:color w:val="222222"/>
                <w:sz w:val="20"/>
              </w:rPr>
              <w:t xml:space="preserve">, </w:t>
            </w:r>
            <w:r>
              <w:rPr>
                <w:rFonts w:ascii="Consolas" w:hAnsi="Consolas"/>
                <w:b w:val="0"/>
                <w:i w:val="0"/>
                <w:color w:val="222222"/>
                <w:sz w:val="18"/>
              </w:rPr>
              <w:t>pct_spikes_in_bursts</w:t>
            </w:r>
          </w:p>
        </w:tc>
      </w:tr>
    </w:tbl>
    <w:p>
      <w:pPr>
        <w:spacing w:after="80"/>
      </w:pPr>
    </w:p>
    <w:p>
      <w:pPr>
        <w:spacing w:after="120"/>
      </w:pPr>
      <w:r>
        <w:rPr>
          <w:rFonts w:ascii="Calibri" w:hAnsi="Calibri"/>
          <w:b w:val="0"/>
          <w:i w:val="0"/>
          <w:color w:val="222222"/>
          <w:sz w:val="21"/>
        </w:rPr>
        <w:t>The two rate features alone do at least as well as all nine. The intervals overlap heavily, so we do not claim that rate-only is better; what we can say is that the other seven features add nothing we can detect at this sample size. That matters in practice, because the burst and synchrony measures — the very features that differ most between laboratories (§3) — are also the ones carrying the least mechanism information here.</w:t>
      </w:r>
    </w:p>
    <w:p>
      <w:pPr>
        <w:spacing w:after="120"/>
      </w:pPr>
      <w:r>
        <w:rPr>
          <w:rFonts w:ascii="Calibri" w:hAnsi="Calibri"/>
          <w:b/>
          <w:i w:val="0"/>
          <w:color w:val="156082"/>
          <w:sz w:val="21"/>
        </w:rPr>
        <w:t>Validation on sensory neurons.</w:t>
      </w:r>
      <w:r>
        <w:rPr>
          <w:rFonts w:ascii="Calibri" w:hAnsi="Calibri"/>
          <w:b w:val="0"/>
          <w:i w:val="0"/>
          <w:color w:val="222222"/>
          <w:sz w:val="21"/>
        </w:rPr>
        <w:t xml:space="preserve"> Because rate alone looked sufficient, we could bring in a source that reports only firing rates: </w:t>
      </w:r>
      <w:r>
        <w:rPr>
          <w:rFonts w:ascii="Consolas" w:hAnsi="Consolas"/>
          <w:b w:val="0"/>
          <w:i w:val="0"/>
          <w:color w:val="222222"/>
          <w:sz w:val="19"/>
        </w:rPr>
        <w:t>fofie2025</w:t>
      </w:r>
      <w:r>
        <w:rPr>
          <w:rFonts w:ascii="Calibri" w:hAnsi="Calibri"/>
          <w:b w:val="0"/>
          <w:i w:val="0"/>
          <w:color w:val="222222"/>
          <w:sz w:val="21"/>
        </w:rPr>
        <w:t>, human iPSC-derived sensory neurons, 291 pairs from 48 wells. Training on Kapucu's cortical rate changes and testing on these sensory neurons gives 0.5012 against a chance of 0.3333, using a single feature and a preparation with a completely different neuronal identity. What the two sources share is the compound's mechanism, not the preparation or the network.</w:t>
      </w:r>
    </w:p>
    <w:p>
      <w:pPr>
        <w:keepNext/>
        <w:spacing w:before="240" w:after="60"/>
      </w:pPr>
      <w:r>
        <w:rPr>
          <w:rFonts w:ascii="Calibri" w:hAnsi="Calibri"/>
          <w:b/>
          <w:i w:val="0"/>
          <w:color w:val="1F4E79"/>
          <w:sz w:val="23"/>
        </w:rPr>
        <w:t>9. How confident is the model, really?</w:t>
      </w:r>
    </w:p>
    <w:p>
      <w:pPr>
        <w:spacing w:after="120"/>
      </w:pPr>
      <w:r>
        <w:rPr>
          <w:rFonts w:ascii="Calibri" w:hAnsi="Calibri"/>
          <w:b/>
          <w:i w:val="0"/>
          <w:color w:val="156082"/>
          <w:sz w:val="21"/>
        </w:rPr>
        <w:t>Calibration.</w:t>
      </w:r>
      <w:r>
        <w:rPr>
          <w:rFonts w:ascii="Calibri" w:hAnsi="Calibri"/>
          <w:b w:val="0"/>
          <w:i w:val="0"/>
          <w:color w:val="222222"/>
          <w:sz w:val="21"/>
        </w:rPr>
        <w:t xml:space="preserve"> When the model says 70%, is it right 70% of the time? Our expected calibration error is 0.1114 on 73 points, with a bootstrap interval reaching 0.2557. That upper end is large. We would treat the predicted probabilities as a ranking, not as a risk — and not even as a reliable ranking above 0.8 confidence, where observed accuracy actually falls.</w:t>
      </w:r>
    </w:p>
    <w:p>
      <w:pPr>
        <w:spacing w:after="120"/>
      </w:pPr>
      <w:r>
        <w:rPr>
          <w:rFonts w:ascii="Calibri" w:hAnsi="Calibri"/>
          <w:b/>
          <w:i w:val="0"/>
          <w:color w:val="156082"/>
          <w:sz w:val="21"/>
        </w:rPr>
        <w:t>Conformal sets.</w:t>
      </w:r>
      <w:r>
        <w:rPr>
          <w:rFonts w:ascii="Calibri" w:hAnsi="Calibri"/>
          <w:b w:val="0"/>
          <w:i w:val="0"/>
          <w:color w:val="222222"/>
          <w:sz w:val="21"/>
        </w:rPr>
        <w:t xml:space="preserve"> Instead of a single answer, a conformal predictor returns a set of classes that is guaranteed to contain the truth a stated fraction of the time. When we ask for 95%, empirical coverage is 0.918 and the average set holds 4.562 of the six classes. A set of four or five classes out of six is honest and nearly useless — which is the right answer for 73 calibration points. A method that promised 95% coverage with narrow sets on this much data would be doing something wrong.</w:t>
      </w:r>
    </w:p>
    <w:p>
      <w:pPr>
        <w:keepNext/>
        <w:spacing w:before="240" w:after="60"/>
      </w:pPr>
      <w:r>
        <w:rPr>
          <w:rFonts w:ascii="Calibri" w:hAnsi="Calibri"/>
          <w:b/>
          <w:i w:val="0"/>
          <w:color w:val="1F4E79"/>
          <w:sz w:val="23"/>
        </w:rPr>
        <w:t>10. Untreated baselines: what differs before a drug is added</w:t>
      </w:r>
    </w:p>
    <w:p>
      <w:pPr>
        <w:spacing w:after="120"/>
      </w:pPr>
      <w:r>
        <w:rPr>
          <w:rFonts w:ascii="Calibri" w:hAnsi="Calibri"/>
          <w:b w:val="0"/>
          <w:i w:val="0"/>
          <w:color w:val="222222"/>
          <w:sz w:val="21"/>
        </w:rPr>
        <w:t>Let's set pharmacology aside for a moment. If we take untreated recordings and ask what separates rat from human, and dissociated cultures from organoids, the features consistently fall into two groups across three separate analyses. Rate-like features stay fairly stable across species, while synchrony and burst-structure features move the most. Those same features differ most between baselines, carry the least mechanism information (§8), and are the least reproducible across software (§3).</w:t>
      </w:r>
    </w:p>
    <w:p>
      <w:pPr>
        <w:spacing w:after="120"/>
      </w:pPr>
      <w:r>
        <w:rPr>
          <w:rFonts w:ascii="Calibri" w:hAnsi="Calibri"/>
          <w:b w:val="0"/>
          <w:i w:val="0"/>
          <w:color w:val="222222"/>
          <w:sz w:val="21"/>
        </w:rPr>
        <w:t>That three-way agreement is the most actionable result here for experimental design: the burst and synchrony family is where you will have the most trouble, from three independent directions at once.</w:t>
      </w:r>
    </w:p>
    <w:p>
      <w:pPr>
        <w:keepNext/>
        <w:spacing w:after="120"/>
      </w:pPr>
      <w:r>
        <w:rPr>
          <w:rFonts w:ascii="Calibri" w:hAnsi="Calibri"/>
          <w:b w:val="0"/>
          <w:i w:val="0"/>
          <w:color w:val="222222"/>
          <w:sz w:val="21"/>
        </w:rPr>
        <w:t xml:space="preserve">One analysis disagrees, and we kept it. The platform contrast (§11) finds that for the </w:t>
      </w:r>
      <w:r>
        <w:rPr>
          <w:rFonts w:ascii="Calibri" w:hAnsi="Calibri"/>
          <w:b w:val="0"/>
          <w:i/>
          <w:color w:val="222222"/>
          <w:sz w:val="21"/>
        </w:rPr>
        <w:t>same</w:t>
      </w:r>
      <w:r>
        <w:rPr>
          <w:rFonts w:ascii="Calibri" w:hAnsi="Calibri"/>
          <w:b w:val="0"/>
          <w:i w:val="0"/>
          <w:color w:val="222222"/>
          <w:sz w:val="21"/>
        </w:rPr>
        <w:t xml:space="preserve"> mechanism on two platforms, mean firing rate reverses sign while synchrony agrees. So three analyses say synchrony is the unreliable family, and one says it is the reliable one. We do not resolve that tension; we report it.</w:t>
      </w:r>
    </w:p>
    <w:p>
      <w:pPr>
        <w:keepNext/>
        <w:spacing w:before="120" w:after="40"/>
        <w:jc w:val="center"/>
      </w:pPr>
      <w:r>
        <w:drawing>
          <wp:inline xmlns:a="http://schemas.openxmlformats.org/drawingml/2006/main" xmlns:pic="http://schemas.openxmlformats.org/drawingml/2006/picture">
            <wp:extent cx="3290925" cy="2728165"/>
            <wp:docPr id="5" name="Picture 5"/>
            <wp:cNvGraphicFramePr>
              <a:graphicFrameLocks noChangeAspect="1"/>
            </wp:cNvGraphicFramePr>
            <a:graphic>
              <a:graphicData uri="http://schemas.openxmlformats.org/drawingml/2006/picture">
                <pic:pic>
                  <pic:nvPicPr>
                    <pic:cNvPr id="0" name="species_shift.png"/>
                    <pic:cNvPicPr/>
                  </pic:nvPicPr>
                  <pic:blipFill>
                    <a:blip r:embed="rId17"/>
                    <a:stretch>
                      <a:fillRect/>
                    </a:stretch>
                  </pic:blipFill>
                  <pic:spPr>
                    <a:xfrm>
                      <a:off x="0" y="0"/>
                      <a:ext cx="3290925" cy="2728165"/>
                    </a:xfrm>
                    <a:prstGeom prst="rect"/>
                  </pic:spPr>
                </pic:pic>
              </a:graphicData>
            </a:graphic>
          </wp:inline>
        </w:drawing>
      </w:r>
    </w:p>
    <w:p>
      <w:pPr>
        <w:spacing w:after="200"/>
        <w:jc w:val="center"/>
      </w:pPr>
      <w:r>
        <w:rPr>
          <w:rFonts w:ascii="Calibri" w:hAnsi="Calibri"/>
          <w:b/>
          <w:i/>
          <w:color w:val="222222"/>
          <w:sz w:val="17"/>
        </w:rPr>
        <w:t xml:space="preserve">Figure 5. </w:t>
      </w:r>
      <w:r>
        <w:rPr>
          <w:rFonts w:ascii="Calibri" w:hAnsi="Calibri"/>
          <w:b w:val="0"/>
          <w:i/>
          <w:color w:val="222222"/>
          <w:sz w:val="17"/>
        </w:rPr>
        <w:t>Per-feature species shift, REAL data: rat against human baseline distributions with cluster-bootstrap intervals. Rate and burst-fraction features move least; synchrony moves most.</w:t>
      </w:r>
    </w:p>
    <w:p>
      <w:pPr>
        <w:keepNext/>
        <w:spacing w:before="120" w:after="40"/>
        <w:jc w:val="center"/>
      </w:pPr>
      <w:r>
        <w:drawing>
          <wp:inline xmlns:a="http://schemas.openxmlformats.org/drawingml/2006/main" xmlns:pic="http://schemas.openxmlformats.org/drawingml/2006/picture">
            <wp:extent cx="4046220" cy="3181789"/>
            <wp:docPr id="6" name="Picture 6"/>
            <wp:cNvGraphicFramePr>
              <a:graphicFrameLocks noChangeAspect="1"/>
            </wp:cNvGraphicFramePr>
            <a:graphic>
              <a:graphicData uri="http://schemas.openxmlformats.org/drawingml/2006/picture">
                <pic:pic>
                  <pic:nvPicPr>
                    <pic:cNvPr id="0" name="baseline_species_comparison.png"/>
                    <pic:cNvPicPr/>
                  </pic:nvPicPr>
                  <pic:blipFill>
                    <a:blip r:embed="rId18"/>
                    <a:stretch>
                      <a:fillRect/>
                    </a:stretch>
                  </pic:blipFill>
                  <pic:spPr>
                    <a:xfrm>
                      <a:off x="0" y="0"/>
                      <a:ext cx="4046220" cy="3181789"/>
                    </a:xfrm>
                    <a:prstGeom prst="rect"/>
                  </pic:spPr>
                </pic:pic>
              </a:graphicData>
            </a:graphic>
          </wp:inline>
        </w:drawing>
      </w:r>
    </w:p>
    <w:p>
      <w:pPr>
        <w:spacing w:after="200"/>
        <w:jc w:val="center"/>
      </w:pPr>
      <w:r>
        <w:rPr>
          <w:rFonts w:ascii="Calibri" w:hAnsi="Calibri"/>
          <w:b/>
          <w:i/>
          <w:color w:val="222222"/>
          <w:sz w:val="17"/>
        </w:rPr>
        <w:t xml:space="preserve">Figure 6. </w:t>
      </w:r>
      <w:r>
        <w:rPr>
          <w:rFonts w:ascii="Calibri" w:hAnsi="Calibri"/>
          <w:b w:val="0"/>
          <w:i/>
          <w:color w:val="222222"/>
          <w:sz w:val="17"/>
        </w:rPr>
        <w:t>Untreated baseline activity, REAL recordings, by species and preparation. Burst rate is the one feature flat across all three groups.</w:t>
      </w:r>
    </w:p>
    <w:p>
      <w:pPr>
        <w:keepNext/>
        <w:spacing w:before="240" w:after="60"/>
      </w:pPr>
      <w:r>
        <w:rPr>
          <w:rFonts w:ascii="Calibri" w:hAnsi="Calibri"/>
          <w:b/>
          <w:i w:val="0"/>
          <w:color w:val="1F4E79"/>
          <w:sz w:val="23"/>
        </w:rPr>
        <w:t>11. The cross-platform reversal paradox</w:t>
      </w:r>
    </w:p>
    <w:p>
      <w:pPr>
        <w:spacing w:after="120"/>
      </w:pPr>
      <w:r>
        <w:rPr>
          <w:rFonts w:ascii="Calibri" w:hAnsi="Calibri"/>
          <w:b w:val="0"/>
          <w:i w:val="0"/>
          <w:color w:val="222222"/>
          <w:sz w:val="21"/>
        </w:rPr>
        <w:t xml:space="preserve">We compared GABA-A antagonists at 30 µM and above on two platforms: Kapucu's gabazine and ScreenNeuroPharm's bicuculline. Mean firing rate goes </w:t>
      </w:r>
      <w:r>
        <w:rPr>
          <w:rFonts w:ascii="Calibri" w:hAnsi="Calibri"/>
          <w:b/>
          <w:i w:val="0"/>
          <w:color w:val="222222"/>
          <w:sz w:val="21"/>
        </w:rPr>
        <w:t>up</w:t>
      </w:r>
      <w:r>
        <w:rPr>
          <w:rFonts w:ascii="Calibri" w:hAnsi="Calibri"/>
          <w:b w:val="0"/>
          <w:i w:val="0"/>
          <w:color w:val="222222"/>
          <w:sz w:val="21"/>
        </w:rPr>
        <w:t xml:space="preserve"> on one platform and </w:t>
      </w:r>
      <w:r>
        <w:rPr>
          <w:rFonts w:ascii="Calibri" w:hAnsi="Calibri"/>
          <w:b/>
          <w:i w:val="0"/>
          <w:color w:val="222222"/>
          <w:sz w:val="21"/>
        </w:rPr>
        <w:t>down</w:t>
      </w:r>
      <w:r>
        <w:rPr>
          <w:rFonts w:ascii="Calibri" w:hAnsi="Calibri"/>
          <w:b w:val="0"/>
          <w:i w:val="0"/>
          <w:color w:val="222222"/>
          <w:sz w:val="21"/>
        </w:rPr>
        <w:t xml:space="preserve"> on the other, while synchrony moves the same way on both.</w:t>
      </w:r>
    </w:p>
    <w:p>
      <w:pPr>
        <w:keepNext/>
        <w:spacing w:after="120"/>
      </w:pPr>
      <w:r>
        <w:rPr>
          <w:rFonts w:ascii="Calibri" w:hAnsi="Calibri"/>
          <w:b w:val="0"/>
          <w:i w:val="0"/>
          <w:color w:val="222222"/>
          <w:sz w:val="21"/>
        </w:rPr>
        <w:t>If you take away one thing from this report about cross-laboratory comparison, make it this: the mechanism is identical, yet the direction of the most commonly reported endpoint is not. Anyone pooling MEA pharmacology on the assumption that "GABA-A antagonists raise firing rate" would get it backwards half the time.</w:t>
      </w:r>
    </w:p>
    <w:p>
      <w:pPr>
        <w:keepNext/>
        <w:spacing w:before="120" w:after="40"/>
        <w:jc w:val="center"/>
      </w:pPr>
      <w:r>
        <w:drawing>
          <wp:inline xmlns:a="http://schemas.openxmlformats.org/drawingml/2006/main" xmlns:pic="http://schemas.openxmlformats.org/drawingml/2006/picture">
            <wp:extent cx="3129076" cy="1891826"/>
            <wp:docPr id="7" name="Picture 7"/>
            <wp:cNvGraphicFramePr>
              <a:graphicFrameLocks noChangeAspect="1"/>
            </wp:cNvGraphicFramePr>
            <a:graphic>
              <a:graphicData uri="http://schemas.openxmlformats.org/drawingml/2006/picture">
                <pic:pic>
                  <pic:nvPicPr>
                    <pic:cNvPr id="0" name="platform_contrast_gabaa_antagonist.png"/>
                    <pic:cNvPicPr/>
                  </pic:nvPicPr>
                  <pic:blipFill>
                    <a:blip r:embed="rId19"/>
                    <a:stretch>
                      <a:fillRect/>
                    </a:stretch>
                  </pic:blipFill>
                  <pic:spPr>
                    <a:xfrm>
                      <a:off x="0" y="0"/>
                      <a:ext cx="3129076" cy="1891826"/>
                    </a:xfrm>
                    <a:prstGeom prst="rect"/>
                  </pic:spPr>
                </pic:pic>
              </a:graphicData>
            </a:graphic>
          </wp:inline>
        </w:drawing>
      </w:r>
    </w:p>
    <w:p>
      <w:pPr>
        <w:spacing w:after="200"/>
        <w:jc w:val="center"/>
      </w:pPr>
      <w:r>
        <w:rPr>
          <w:rFonts w:ascii="Calibri" w:hAnsi="Calibri"/>
          <w:b/>
          <w:i/>
          <w:color w:val="222222"/>
          <w:sz w:val="17"/>
        </w:rPr>
        <w:t xml:space="preserve">Figure 7. </w:t>
      </w:r>
      <w:r>
        <w:rPr>
          <w:rFonts w:ascii="Calibri" w:hAnsi="Calibri"/>
          <w:b w:val="0"/>
          <w:i/>
          <w:color w:val="222222"/>
          <w:sz w:val="17"/>
        </w:rPr>
        <w:t>The same mechanism on two platforms, REAL data: per-feature log2 change for GABA-A antagonists. Mean firing rate reverses sign across platforms; synchrony agrees.</w:t>
      </w:r>
    </w:p>
    <w:p>
      <w:pPr>
        <w:keepNext/>
        <w:spacing w:before="360" w:after="120"/>
      </w:pPr>
      <w:r>
        <w:rPr>
          <w:rFonts w:ascii="Calibri" w:hAnsi="Calibri"/>
          <w:b/>
          <w:i w:val="0"/>
          <w:color w:val="2F5597"/>
          <w:sz w:val="27"/>
        </w:rPr>
        <w:t>ACT III: Calibrating a biophysical digital twin</w:t>
      </w:r>
    </w:p>
    <w:p>
      <w:pPr>
        <w:keepNext/>
        <w:spacing w:before="240" w:after="60"/>
      </w:pPr>
      <w:r>
        <w:rPr>
          <w:rFonts w:ascii="Calibri" w:hAnsi="Calibri"/>
          <w:b/>
          <w:i w:val="0"/>
          <w:color w:val="1F4E79"/>
          <w:sz w:val="23"/>
        </w:rPr>
        <w:t>12. The digital twin: what it is, and what it is for</w:t>
      </w:r>
    </w:p>
    <w:p>
      <w:pPr>
        <w:keepNext/>
        <w:spacing w:after="120"/>
      </w:pPr>
      <w:r>
        <w:rPr>
          <w:rFonts w:ascii="Calibri" w:hAnsi="Calibri"/>
          <w:b w:val="0"/>
          <w:i w:val="0"/>
          <w:color w:val="222222"/>
          <w:sz w:val="21"/>
        </w:rPr>
        <w:t xml:space="preserve">Our digital twin is a simulated culture, not a statistical surrogate. It has two compartments of model neurons — 80% excitatory, 20% inhibitory, each a leaky integrate-and-fire neuron with spike-frequency adaptation — wired densely within each compartment and sparsely between them through a directional pathway. Virtual electrodes sit over the sheet and "hear" neurons within a set radius, and their spike trains go through the same </w:t>
      </w:r>
      <w:r>
        <w:rPr>
          <w:rFonts w:ascii="Consolas" w:hAnsi="Consolas"/>
          <w:b w:val="0"/>
          <w:i w:val="0"/>
          <w:color w:val="222222"/>
          <w:sz w:val="19"/>
        </w:rPr>
        <w:t>features/mea.py</w:t>
      </w:r>
      <w:r>
        <w:rPr>
          <w:rFonts w:ascii="Calibri" w:hAnsi="Calibri"/>
          <w:b w:val="0"/>
          <w:i w:val="0"/>
          <w:color w:val="222222"/>
          <w:sz w:val="21"/>
        </w:rPr>
        <w:t xml:space="preserve"> that the real recordings use. That last point is a deliberate constraint: the twin cannot look good by being measured differently.</w:t>
      </w:r>
    </w:p>
    <w:p>
      <w:pPr>
        <w:keepNext/>
        <w:spacing w:before="120" w:after="40"/>
        <w:jc w:val="center"/>
      </w:pPr>
      <w:r>
        <w:drawing>
          <wp:inline xmlns:a="http://schemas.openxmlformats.org/drawingml/2006/main" xmlns:pic="http://schemas.openxmlformats.org/drawingml/2006/picture">
            <wp:extent cx="5394960" cy="2642429"/>
            <wp:docPr id="8" name="Picture 8"/>
            <wp:cNvGraphicFramePr>
              <a:graphicFrameLocks noChangeAspect="1"/>
            </wp:cNvGraphicFramePr>
            <a:graphic>
              <a:graphicData uri="http://schemas.openxmlformats.org/drawingml/2006/picture">
                <pic:pic>
                  <pic:nvPicPr>
                    <pic:cNvPr id="0" name="twin_architecture_simulated.png"/>
                    <pic:cNvPicPr/>
                  </pic:nvPicPr>
                  <pic:blipFill>
                    <a:blip r:embed="rId20"/>
                    <a:stretch>
                      <a:fillRect/>
                    </a:stretch>
                  </pic:blipFill>
                  <pic:spPr>
                    <a:xfrm>
                      <a:off x="0" y="0"/>
                      <a:ext cx="5394960" cy="2642429"/>
                    </a:xfrm>
                    <a:prstGeom prst="rect"/>
                  </pic:spPr>
                </pic:pic>
              </a:graphicData>
            </a:graphic>
          </wp:inline>
        </w:drawing>
      </w:r>
    </w:p>
    <w:p>
      <w:pPr>
        <w:spacing w:after="200"/>
        <w:jc w:val="center"/>
      </w:pPr>
      <w:r>
        <w:rPr>
          <w:rFonts w:ascii="Calibri" w:hAnsi="Calibri"/>
          <w:b/>
          <w:i/>
          <w:color w:val="222222"/>
          <w:sz w:val="17"/>
        </w:rPr>
        <w:t xml:space="preserve">Figure 8. </w:t>
      </w:r>
      <w:r>
        <w:rPr>
          <w:rFonts w:ascii="Calibri" w:hAnsi="Calibri"/>
          <w:b w:val="0"/>
          <w:i/>
          <w:color w:val="222222"/>
          <w:sz w:val="17"/>
        </w:rPr>
        <w:t>The SIMULATED two-compartment twin: two chambers of model neurons, a one-way axon diode between them, and virtual electrodes whose listening radius is capped so that no two can hear the same neuron.</w:t>
      </w:r>
    </w:p>
    <w:p>
      <w:pPr>
        <w:spacing w:after="120"/>
      </w:pPr>
      <w:r>
        <w:rPr>
          <w:rFonts w:ascii="Calibri" w:hAnsi="Calibri"/>
          <w:b/>
          <w:i w:val="0"/>
          <w:color w:val="156082"/>
          <w:sz w:val="21"/>
        </w:rPr>
        <w:t>What the twin is for.</w:t>
      </w:r>
      <w:r>
        <w:rPr>
          <w:rFonts w:ascii="Calibri" w:hAnsi="Calibri"/>
          <w:b w:val="0"/>
          <w:i w:val="0"/>
          <w:color w:val="222222"/>
          <w:sz w:val="21"/>
        </w:rPr>
        <w:t xml:space="preserve"> It lets us test scenarios that are expensive or impractical to try at the bench. How many electrodes, and how much recording time, do you need to detect an effect? What happens to the readout if axonal projections become twice as directional? And, most fundamentally, is the metric you are tracking even capable of answering your question?</w:t>
      </w:r>
    </w:p>
    <w:p>
      <w:pPr>
        <w:spacing w:after="120"/>
      </w:pPr>
      <w:r>
        <w:rPr>
          <w:rFonts w:ascii="Calibri" w:hAnsi="Calibri"/>
          <w:b/>
          <w:i w:val="0"/>
          <w:color w:val="156082"/>
          <w:sz w:val="21"/>
        </w:rPr>
        <w:t>What calibration means here.</w:t>
      </w:r>
      <w:r>
        <w:rPr>
          <w:rFonts w:ascii="Calibri" w:hAnsi="Calibri"/>
          <w:b w:val="0"/>
          <w:i w:val="0"/>
          <w:color w:val="222222"/>
          <w:sz w:val="21"/>
        </w:rPr>
        <w:t xml:space="preserve"> We are not fitting the twin to reproduce one culture — that would simply be overfitting to that culture. Instead, we ask it to land inside the interquartile band of 48 real chamber baselines from rat two-chamber devices. In other words, we want it to be an unremarkable member of the population, not a copy of one member.</w:t>
      </w:r>
    </w:p>
    <w:p>
      <w:pPr>
        <w:keepNext/>
        <w:spacing w:before="240" w:after="60"/>
      </w:pPr>
      <w:r>
        <w:rPr>
          <w:rFonts w:ascii="Calibri" w:hAnsi="Calibri"/>
          <w:b/>
          <w:i w:val="0"/>
          <w:color w:val="1F4E79"/>
          <w:sz w:val="23"/>
        </w:rPr>
        <w:t>13. Calibration</w:t>
      </w:r>
    </w:p>
    <w:p>
      <w:pPr>
        <w:keepNext/>
        <w:spacing w:after="120"/>
      </w:pPr>
      <w:r>
        <w:rPr>
          <w:rFonts w:ascii="Calibri" w:hAnsi="Calibri"/>
          <w:b w:val="0"/>
          <w:i w:val="0"/>
          <w:color w:val="222222"/>
          <w:sz w:val="21"/>
        </w:rPr>
        <w:t>We ran a random search over 9 parameters, scoring each candidate on 2 network seeds across 160 draws. None of the chosen values sits on the edge of the range it was drawn from, so the optimum is genuinely inside the search space rather than clipped at a boundary.</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4123"/>
        <w:gridCol w:w="1534"/>
        <w:gridCol w:w="1148"/>
        <w:gridCol w:w="1691"/>
      </w:tblGrid>
      <w:tr>
        <w:trPr>
          <w:cantSplit/>
          <w:tblHeader/>
        </w:trPr>
        <w:tc>
          <w:tcPr>
            <w:tcW w:type="dxa" w:w="4123"/>
            <w:shd w:val="clear" w:color="auto" w:fill="1F4E79"/>
            <w:vAlign w:val="center"/>
          </w:tcPr>
          <w:p>
            <w:pPr>
              <w:keepNext/>
              <w:spacing w:after="0"/>
            </w:pPr>
            <w:r>
              <w:rPr>
                <w:rFonts w:ascii="Calibri" w:hAnsi="Calibri"/>
                <w:b/>
                <w:i w:val="0"/>
                <w:color w:val="FFFFFF"/>
                <w:sz w:val="20"/>
              </w:rPr>
              <w:t>feature</w:t>
            </w:r>
          </w:p>
        </w:tc>
        <w:tc>
          <w:tcPr>
            <w:tcW w:type="dxa" w:w="1534"/>
            <w:shd w:val="clear" w:color="auto" w:fill="1F4E79"/>
            <w:vAlign w:val="center"/>
          </w:tcPr>
          <w:p>
            <w:pPr>
              <w:keepNext/>
              <w:spacing w:after="0"/>
              <w:jc w:val="center"/>
            </w:pPr>
            <w:r>
              <w:rPr>
                <w:rFonts w:ascii="Calibri" w:hAnsi="Calibri"/>
                <w:b/>
                <w:i w:val="0"/>
                <w:color w:val="FFFFFF"/>
                <w:sz w:val="20"/>
              </w:rPr>
              <w:t>simulated twin value</w:t>
            </w:r>
          </w:p>
        </w:tc>
        <w:tc>
          <w:tcPr>
            <w:tcW w:type="dxa" w:w="1148"/>
            <w:shd w:val="clear" w:color="auto" w:fill="1F4E79"/>
            <w:vAlign w:val="center"/>
          </w:tcPr>
          <w:p>
            <w:pPr>
              <w:keepNext/>
              <w:spacing w:after="0"/>
            </w:pPr>
            <w:r>
              <w:rPr>
                <w:rFonts w:ascii="Calibri" w:hAnsi="Calibri"/>
                <w:b/>
                <w:i w:val="0"/>
                <w:color w:val="FFFFFF"/>
                <w:sz w:val="20"/>
              </w:rPr>
              <w:t>real band (IQR)</w:t>
            </w:r>
          </w:p>
        </w:tc>
        <w:tc>
          <w:tcPr>
            <w:tcW w:type="dxa" w:w="1691"/>
            <w:shd w:val="clear" w:color="auto" w:fill="1F4E79"/>
            <w:vAlign w:val="center"/>
          </w:tcPr>
          <w:p>
            <w:pPr>
              <w:keepNext/>
              <w:spacing w:after="0"/>
            </w:pPr>
            <w:r>
              <w:rPr>
                <w:rFonts w:ascii="Calibri" w:hAnsi="Calibri"/>
                <w:b/>
                <w:i w:val="0"/>
                <w:color w:val="FFFFFF"/>
                <w:sz w:val="20"/>
              </w:rPr>
              <w:t>calibration result</w:t>
            </w:r>
          </w:p>
        </w:tc>
      </w:tr>
      <w:tr>
        <w:trPr>
          <w:cantSplit/>
        </w:trPr>
        <w:tc>
          <w:tcPr>
            <w:tcW w:type="dxa" w:w="4123"/>
            <w:shd w:val="clear" w:color="auto" w:fill="FFFFFF"/>
            <w:vAlign w:val="center"/>
          </w:tcPr>
          <w:p>
            <w:pPr>
              <w:keepNext/>
              <w:spacing w:after="0"/>
            </w:pPr>
            <w:r>
              <w:rPr>
                <w:rFonts w:ascii="Consolas" w:hAnsi="Consolas"/>
                <w:b/>
                <w:i w:val="0"/>
                <w:color w:val="222222"/>
                <w:sz w:val="18"/>
              </w:rPr>
              <w:t>synchrony_index</w:t>
            </w:r>
            <w:r>
              <w:rPr>
                <w:rFonts w:ascii="Calibri" w:hAnsi="Calibri"/>
                <w:b/>
                <w:i w:val="0"/>
                <w:color w:val="222222"/>
                <w:sz w:val="20"/>
              </w:rPr>
              <w:t xml:space="preserve"> (STTC)</w:t>
            </w:r>
          </w:p>
        </w:tc>
        <w:tc>
          <w:tcPr>
            <w:tcW w:type="dxa" w:w="1534"/>
            <w:shd w:val="clear" w:color="auto" w:fill="FFFFFF"/>
            <w:vAlign w:val="center"/>
          </w:tcPr>
          <w:p>
            <w:pPr>
              <w:keepNext/>
              <w:spacing w:after="0"/>
              <w:jc w:val="center"/>
            </w:pPr>
            <w:r>
              <w:rPr>
                <w:rFonts w:ascii="Calibri" w:hAnsi="Calibri"/>
                <w:b w:val="0"/>
                <w:i w:val="0"/>
                <w:color w:val="222222"/>
                <w:sz w:val="20"/>
              </w:rPr>
              <w:t>0.8387</w:t>
            </w:r>
          </w:p>
        </w:tc>
        <w:tc>
          <w:tcPr>
            <w:tcW w:type="dxa" w:w="1148"/>
            <w:shd w:val="clear" w:color="auto" w:fill="FFFFFF"/>
            <w:vAlign w:val="center"/>
          </w:tcPr>
          <w:p>
            <w:pPr>
              <w:keepNext/>
              <w:spacing w:after="0"/>
            </w:pPr>
            <w:r>
              <w:rPr>
                <w:rFonts w:ascii="Calibri" w:hAnsi="Calibri"/>
                <w:b w:val="0"/>
                <w:i w:val="0"/>
                <w:color w:val="222222"/>
                <w:sz w:val="20"/>
              </w:rPr>
              <w:t>0.678 to 0.843</w:t>
            </w:r>
          </w:p>
        </w:tc>
        <w:tc>
          <w:tcPr>
            <w:tcW w:type="dxa" w:w="1691"/>
            <w:shd w:val="clear" w:color="auto" w:fill="FFFFFF"/>
            <w:vAlign w:val="center"/>
          </w:tcPr>
          <w:p>
            <w:pPr>
              <w:keepNext/>
              <w:spacing w:after="0"/>
            </w:pPr>
            <w:r>
              <w:rPr>
                <w:rFonts w:ascii="Calibri" w:hAnsi="Calibri"/>
                <w:b w:val="0"/>
                <w:i w:val="0"/>
                <w:color w:val="222222"/>
                <w:sz w:val="20"/>
              </w:rPr>
              <w:t>inside target band</w:t>
            </w:r>
          </w:p>
        </w:tc>
      </w:tr>
      <w:tr>
        <w:trPr>
          <w:cantSplit/>
        </w:trPr>
        <w:tc>
          <w:tcPr>
            <w:tcW w:type="dxa" w:w="4123"/>
            <w:shd w:val="clear" w:color="auto" w:fill="F7F9FB"/>
            <w:vAlign w:val="center"/>
          </w:tcPr>
          <w:p>
            <w:pPr>
              <w:keepNext/>
              <w:spacing w:after="0"/>
            </w:pPr>
            <w:r>
              <w:rPr>
                <w:rFonts w:ascii="Consolas" w:hAnsi="Consolas"/>
                <w:b/>
                <w:i w:val="0"/>
                <w:color w:val="222222"/>
                <w:sz w:val="18"/>
              </w:rPr>
              <w:t>burst_rate_per_min</w:t>
            </w:r>
          </w:p>
        </w:tc>
        <w:tc>
          <w:tcPr>
            <w:tcW w:type="dxa" w:w="1534"/>
            <w:shd w:val="clear" w:color="auto" w:fill="F7F9FB"/>
            <w:vAlign w:val="center"/>
          </w:tcPr>
          <w:p>
            <w:pPr>
              <w:keepNext/>
              <w:spacing w:after="0"/>
              <w:jc w:val="center"/>
            </w:pPr>
            <w:r>
              <w:rPr>
                <w:rFonts w:ascii="Calibri" w:hAnsi="Calibri"/>
                <w:b w:val="0"/>
                <w:i w:val="0"/>
                <w:color w:val="222222"/>
                <w:sz w:val="20"/>
              </w:rPr>
              <w:t>22.9219</w:t>
            </w:r>
          </w:p>
        </w:tc>
        <w:tc>
          <w:tcPr>
            <w:tcW w:type="dxa" w:w="1148"/>
            <w:shd w:val="clear" w:color="auto" w:fill="F7F9FB"/>
            <w:vAlign w:val="center"/>
          </w:tcPr>
          <w:p>
            <w:pPr>
              <w:keepNext/>
              <w:spacing w:after="0"/>
            </w:pPr>
            <w:r>
              <w:rPr>
                <w:rFonts w:ascii="Calibri" w:hAnsi="Calibri"/>
                <w:b w:val="0"/>
                <w:i w:val="0"/>
                <w:color w:val="222222"/>
                <w:sz w:val="20"/>
              </w:rPr>
              <w:t>12.627 to 29.726</w:t>
            </w:r>
          </w:p>
        </w:tc>
        <w:tc>
          <w:tcPr>
            <w:tcW w:type="dxa" w:w="1691"/>
            <w:shd w:val="clear" w:color="auto" w:fill="F7F9FB"/>
            <w:vAlign w:val="center"/>
          </w:tcPr>
          <w:p>
            <w:pPr>
              <w:keepNext/>
              <w:spacing w:after="0"/>
            </w:pPr>
            <w:r>
              <w:rPr>
                <w:rFonts w:ascii="Calibri" w:hAnsi="Calibri"/>
                <w:b w:val="0"/>
                <w:i w:val="0"/>
                <w:color w:val="222222"/>
                <w:sz w:val="20"/>
              </w:rPr>
              <w:t>inside target band</w:t>
            </w:r>
          </w:p>
        </w:tc>
      </w:tr>
      <w:tr>
        <w:trPr>
          <w:cantSplit/>
        </w:trPr>
        <w:tc>
          <w:tcPr>
            <w:tcW w:type="dxa" w:w="4123"/>
            <w:shd w:val="clear" w:color="auto" w:fill="FFFFFF"/>
            <w:vAlign w:val="center"/>
          </w:tcPr>
          <w:p>
            <w:pPr>
              <w:keepNext/>
              <w:spacing w:after="0"/>
            </w:pPr>
            <w:r>
              <w:rPr>
                <w:rFonts w:ascii="Consolas" w:hAnsi="Consolas"/>
                <w:b/>
                <w:i w:val="0"/>
                <w:color w:val="222222"/>
                <w:sz w:val="18"/>
              </w:rPr>
              <w:t>network_burst_rate_per_min</w:t>
            </w:r>
          </w:p>
        </w:tc>
        <w:tc>
          <w:tcPr>
            <w:tcW w:type="dxa" w:w="1534"/>
            <w:shd w:val="clear" w:color="auto" w:fill="FFFFFF"/>
            <w:vAlign w:val="center"/>
          </w:tcPr>
          <w:p>
            <w:pPr>
              <w:keepNext/>
              <w:spacing w:after="0"/>
              <w:jc w:val="center"/>
            </w:pPr>
            <w:r>
              <w:rPr>
                <w:rFonts w:ascii="Calibri" w:hAnsi="Calibri"/>
                <w:b w:val="0"/>
                <w:i w:val="0"/>
                <w:color w:val="222222"/>
                <w:sz w:val="20"/>
              </w:rPr>
              <w:t>24.0</w:t>
            </w:r>
          </w:p>
        </w:tc>
        <w:tc>
          <w:tcPr>
            <w:tcW w:type="dxa" w:w="1148"/>
            <w:shd w:val="clear" w:color="auto" w:fill="FFFFFF"/>
            <w:vAlign w:val="center"/>
          </w:tcPr>
          <w:p>
            <w:pPr>
              <w:keepNext/>
              <w:spacing w:after="0"/>
            </w:pPr>
            <w:r>
              <w:rPr>
                <w:rFonts w:ascii="Calibri" w:hAnsi="Calibri"/>
                <w:b w:val="0"/>
                <w:i w:val="0"/>
                <w:color w:val="222222"/>
                <w:sz w:val="20"/>
              </w:rPr>
              <w:t>11.692 to 22.697</w:t>
            </w:r>
          </w:p>
        </w:tc>
        <w:tc>
          <w:tcPr>
            <w:tcW w:type="dxa" w:w="1691"/>
            <w:shd w:val="clear" w:color="auto" w:fill="FFFFFF"/>
            <w:vAlign w:val="center"/>
          </w:tcPr>
          <w:p>
            <w:pPr>
              <w:keepNext/>
              <w:spacing w:after="0"/>
            </w:pPr>
            <w:r>
              <w:rPr>
                <w:rFonts w:ascii="Calibri" w:hAnsi="Calibri"/>
                <w:b w:val="0"/>
                <w:i w:val="0"/>
                <w:color w:val="222222"/>
                <w:sz w:val="20"/>
              </w:rPr>
              <w:t>minor overshoot</w:t>
            </w:r>
          </w:p>
        </w:tc>
      </w:tr>
      <w:tr>
        <w:trPr>
          <w:cantSplit/>
        </w:trPr>
        <w:tc>
          <w:tcPr>
            <w:tcW w:type="dxa" w:w="4123"/>
            <w:shd w:val="clear" w:color="auto" w:fill="F7F9FB"/>
            <w:vAlign w:val="center"/>
          </w:tcPr>
          <w:p>
            <w:pPr>
              <w:keepNext/>
              <w:spacing w:after="0"/>
            </w:pPr>
            <w:r>
              <w:rPr>
                <w:rFonts w:ascii="Consolas" w:hAnsi="Consolas"/>
                <w:b/>
                <w:i w:val="0"/>
                <w:color w:val="222222"/>
                <w:sz w:val="18"/>
              </w:rPr>
              <w:t>mfr_hz</w:t>
            </w:r>
          </w:p>
        </w:tc>
        <w:tc>
          <w:tcPr>
            <w:tcW w:type="dxa" w:w="1534"/>
            <w:shd w:val="clear" w:color="auto" w:fill="F7F9FB"/>
            <w:vAlign w:val="center"/>
          </w:tcPr>
          <w:p>
            <w:pPr>
              <w:keepNext/>
              <w:spacing w:after="0"/>
              <w:jc w:val="center"/>
            </w:pPr>
            <w:r>
              <w:rPr>
                <w:rFonts w:ascii="Calibri" w:hAnsi="Calibri"/>
                <w:b w:val="0"/>
                <w:i w:val="0"/>
                <w:color w:val="222222"/>
                <w:sz w:val="20"/>
              </w:rPr>
              <w:t>5.9862</w:t>
            </w:r>
          </w:p>
        </w:tc>
        <w:tc>
          <w:tcPr>
            <w:tcW w:type="dxa" w:w="1148"/>
            <w:shd w:val="clear" w:color="auto" w:fill="F7F9FB"/>
            <w:vAlign w:val="center"/>
          </w:tcPr>
          <w:p>
            <w:pPr>
              <w:keepNext/>
              <w:spacing w:after="0"/>
            </w:pPr>
            <w:r>
              <w:rPr>
                <w:rFonts w:ascii="Calibri" w:hAnsi="Calibri"/>
                <w:b w:val="0"/>
                <w:i w:val="0"/>
                <w:color w:val="222222"/>
                <w:sz w:val="20"/>
              </w:rPr>
              <w:t>6.793 to 21.007</w:t>
            </w:r>
          </w:p>
        </w:tc>
        <w:tc>
          <w:tcPr>
            <w:tcW w:type="dxa" w:w="1691"/>
            <w:shd w:val="clear" w:color="auto" w:fill="F7F9FB"/>
            <w:vAlign w:val="center"/>
          </w:tcPr>
          <w:p>
            <w:pPr>
              <w:keepNext/>
              <w:spacing w:after="0"/>
            </w:pPr>
            <w:r>
              <w:rPr>
                <w:rFonts w:ascii="Calibri" w:hAnsi="Calibri"/>
                <w:b w:val="0"/>
                <w:i w:val="0"/>
                <w:color w:val="222222"/>
                <w:sz w:val="20"/>
              </w:rPr>
              <w:t>minor undershoot</w:t>
            </w:r>
          </w:p>
        </w:tc>
      </w:tr>
      <w:tr>
        <w:trPr>
          <w:cantSplit/>
        </w:trPr>
        <w:tc>
          <w:tcPr>
            <w:tcW w:type="dxa" w:w="4123"/>
            <w:shd w:val="clear" w:color="auto" w:fill="FFFFFF"/>
            <w:vAlign w:val="center"/>
          </w:tcPr>
          <w:p>
            <w:pPr>
              <w:keepNext w:val="0"/>
              <w:spacing w:after="0"/>
            </w:pPr>
            <w:r>
              <w:rPr>
                <w:rFonts w:ascii="Consolas" w:hAnsi="Consolas"/>
                <w:b/>
                <w:i w:val="0"/>
                <w:color w:val="222222"/>
                <w:sz w:val="18"/>
              </w:rPr>
              <w:t>pct_spikes_in_bursts</w:t>
            </w:r>
          </w:p>
        </w:tc>
        <w:tc>
          <w:tcPr>
            <w:tcW w:type="dxa" w:w="1534"/>
            <w:shd w:val="clear" w:color="auto" w:fill="FFFFFF"/>
            <w:vAlign w:val="center"/>
          </w:tcPr>
          <w:p>
            <w:pPr>
              <w:keepNext w:val="0"/>
              <w:spacing w:after="0"/>
              <w:jc w:val="center"/>
            </w:pPr>
            <w:r>
              <w:rPr>
                <w:rFonts w:ascii="Calibri" w:hAnsi="Calibri"/>
                <w:b w:val="0"/>
                <w:i w:val="0"/>
                <w:color w:val="222222"/>
                <w:sz w:val="20"/>
              </w:rPr>
              <w:t>83.8409</w:t>
            </w:r>
          </w:p>
        </w:tc>
        <w:tc>
          <w:tcPr>
            <w:tcW w:type="dxa" w:w="1148"/>
            <w:shd w:val="clear" w:color="auto" w:fill="FFFFFF"/>
            <w:vAlign w:val="center"/>
          </w:tcPr>
          <w:p>
            <w:pPr>
              <w:keepNext w:val="0"/>
              <w:spacing w:after="0"/>
            </w:pPr>
            <w:r>
              <w:rPr>
                <w:rFonts w:ascii="Calibri" w:hAnsi="Calibri"/>
                <w:b w:val="0"/>
                <w:i w:val="0"/>
                <w:color w:val="222222"/>
                <w:sz w:val="20"/>
              </w:rPr>
              <w:t>84.657 to 93.685</w:t>
            </w:r>
          </w:p>
        </w:tc>
        <w:tc>
          <w:tcPr>
            <w:tcW w:type="dxa" w:w="1691"/>
            <w:shd w:val="clear" w:color="auto" w:fill="FFFFFF"/>
            <w:vAlign w:val="center"/>
          </w:tcPr>
          <w:p>
            <w:pPr>
              <w:keepNext w:val="0"/>
              <w:spacing w:after="0"/>
            </w:pPr>
            <w:r>
              <w:rPr>
                <w:rFonts w:ascii="Calibri" w:hAnsi="Calibri"/>
                <w:b w:val="0"/>
                <w:i w:val="0"/>
                <w:color w:val="222222"/>
                <w:sz w:val="20"/>
              </w:rPr>
              <w:t>near lower bound</w:t>
            </w:r>
          </w:p>
        </w:tc>
      </w:tr>
    </w:tbl>
    <w:p>
      <w:pPr>
        <w:spacing w:after="80"/>
      </w:pPr>
    </w:p>
    <w:p>
      <w:pPr>
        <w:keepNext/>
        <w:spacing w:before="120" w:after="40"/>
        <w:jc w:val="center"/>
      </w:pPr>
      <w:r>
        <w:drawing>
          <wp:inline xmlns:a="http://schemas.openxmlformats.org/drawingml/2006/main" xmlns:pic="http://schemas.openxmlformats.org/drawingml/2006/picture">
            <wp:extent cx="3129076" cy="1846833"/>
            <wp:docPr id="9" name="Picture 9"/>
            <wp:cNvGraphicFramePr>
              <a:graphicFrameLocks noChangeAspect="1"/>
            </wp:cNvGraphicFramePr>
            <a:graphic>
              <a:graphicData uri="http://schemas.openxmlformats.org/drawingml/2006/picture">
                <pic:pic>
                  <pic:nvPicPr>
                    <pic:cNvPr id="0" name="hd12_calibration_simulated.png"/>
                    <pic:cNvPicPr/>
                  </pic:nvPicPr>
                  <pic:blipFill>
                    <a:blip r:embed="rId21"/>
                    <a:stretch>
                      <a:fillRect/>
                    </a:stretch>
                  </pic:blipFill>
                  <pic:spPr>
                    <a:xfrm>
                      <a:off x="0" y="0"/>
                      <a:ext cx="3129076" cy="1846833"/>
                    </a:xfrm>
                    <a:prstGeom prst="rect"/>
                  </pic:spPr>
                </pic:pic>
              </a:graphicData>
            </a:graphic>
          </wp:inline>
        </w:drawing>
      </w:r>
    </w:p>
    <w:p>
      <w:pPr>
        <w:spacing w:after="200"/>
        <w:jc w:val="center"/>
      </w:pPr>
      <w:r>
        <w:rPr>
          <w:rFonts w:ascii="Calibri" w:hAnsi="Calibri"/>
          <w:b/>
          <w:i/>
          <w:color w:val="222222"/>
          <w:sz w:val="17"/>
        </w:rPr>
        <w:t xml:space="preserve">Figure 9. </w:t>
      </w:r>
      <w:r>
        <w:rPr>
          <w:rFonts w:ascii="Calibri" w:hAnsi="Calibri"/>
          <w:b w:val="0"/>
          <w:i/>
          <w:color w:val="222222"/>
          <w:sz w:val="17"/>
        </w:rPr>
        <w:t>SIMULATED against REAL: the calibrated twin's baseline features against the real baseline band from rat two-chamber devices.</w:t>
      </w:r>
    </w:p>
    <w:p>
      <w:pPr>
        <w:spacing w:after="120"/>
      </w:pPr>
      <w:r>
        <w:rPr>
          <w:rFonts w:ascii="Calibri" w:hAnsi="Calibri"/>
          <w:b w:val="0"/>
          <w:i w:val="0"/>
          <w:color w:val="222222"/>
          <w:sz w:val="21"/>
        </w:rPr>
        <w:t>Getting to this table took us longer than anything else, and the story is a warning for anyone who simulates cultures.</w:t>
      </w:r>
    </w:p>
    <w:p>
      <w:pPr>
        <w:spacing w:after="120"/>
      </w:pPr>
      <w:r>
        <w:rPr>
          <w:rFonts w:ascii="Calibri" w:hAnsi="Calibri"/>
          <w:b w:val="0"/>
          <w:i w:val="0"/>
          <w:color w:val="222222"/>
          <w:sz w:val="21"/>
        </w:rPr>
        <w:t>For a long time the twin was far too synchronous — an STTC around 0.96 against a real band topping out at 0.84 — and it looked as if we were missing a biophysical mechanism. We tried three candidates, and none of them worked: short-term synaptic depression, varied axonal conduction delays, and distance-dependent wiring, which actually pushed synchrony the wrong way.</w:t>
      </w:r>
    </w:p>
    <w:p>
      <w:pPr>
        <w:spacing w:after="120"/>
      </w:pPr>
      <w:r>
        <w:rPr>
          <w:rFonts w:ascii="Calibri" w:hAnsi="Calibri"/>
          <w:b/>
          <w:i w:val="0"/>
          <w:color w:val="156082"/>
          <w:sz w:val="21"/>
        </w:rPr>
        <w:t>The real cause was not biophysics; it was cell density and electrode geometry.</w:t>
      </w:r>
      <w:r>
        <w:rPr>
          <w:rFonts w:ascii="Calibri" w:hAnsi="Calibri"/>
          <w:b w:val="0"/>
          <w:i w:val="0"/>
          <w:color w:val="222222"/>
          <w:sz w:val="21"/>
        </w:rPr>
        <w:t xml:space="preserve"> Our simulated chamber held 250 neurons in 1.92 mm², about 130 neurons/mm², whereas a real dissociated culture runs roughly 1000 to 3000. On top of that, we had let the electrode's listening radius grow larger than the spacing between electrodes. The oversized electrode compensated for the sparse culture in two ways at once: it pooled enough neurons to produce a plausible firing rate, and, because neighboring listening areas overlapped, it counted one neuron's spikes on several electrodes — which inflates pairwise synchrony by construction, with no biology involved. Once we fixed the density at 967 neurons per compartment and imposed one geometric rule, synchrony landed inside the real band for the first time:</w:t>
      </w:r>
    </w:p>
    <w:p>
      <w:pPr>
        <w:spacing w:after="120"/>
      </w:pPr>
      <w:r>
        <w:rPr>
          <w:rFonts w:ascii="Calibri" w:hAnsi="Calibri"/>
          <w:b/>
          <w:i w:val="0"/>
          <w:color w:val="156082"/>
          <w:sz w:val="21"/>
        </w:rPr>
        <w:t>An electrode's listening radius may not exceed half the electrode pitch, r ≤ p/2.</w:t>
      </w:r>
    </w:p>
    <w:p>
      <w:pPr>
        <w:spacing w:after="120"/>
      </w:pPr>
      <w:r>
        <w:rPr>
          <w:rFonts w:ascii="Calibri" w:hAnsi="Calibri"/>
          <w:b w:val="0"/>
          <w:i w:val="0"/>
          <w:color w:val="222222"/>
          <w:sz w:val="21"/>
        </w:rPr>
        <w:t>On our 200 µm grid, that rule guarantees that no neuron is heard by two electrodes. The calibrated radius settled at 92.5135 µm, inside the cap. The rule carries over to physical arrays: if an electrode's catchment exceeds half the pitch, expect synchrony to read high for reasons that have nothing to do with the culture.</w:t>
      </w:r>
    </w:p>
    <w:p>
      <w:pPr>
        <w:spacing w:after="120"/>
      </w:pPr>
      <w:r>
        <w:rPr>
          <w:rFonts w:ascii="Calibri" w:hAnsi="Calibri"/>
          <w:b/>
          <w:i w:val="0"/>
          <w:color w:val="156082"/>
          <w:sz w:val="21"/>
        </w:rPr>
        <w:t>Out-of-sample trust.</w:t>
      </w:r>
      <w:r>
        <w:rPr>
          <w:rFonts w:ascii="Calibri" w:hAnsi="Calibri"/>
          <w:b w:val="0"/>
          <w:i w:val="0"/>
          <w:color w:val="222222"/>
          <w:sz w:val="21"/>
        </w:rPr>
        <w:t xml:space="preserve"> The winning parameter set reached a loss of 0.0756 on its selection seeds. On 5 seeds the search never saw, it scores 0.1994, with synchrony holding at 0.7732 ± 0.0685 and inside the band on 60% of seeds. Just like a real culture, the twin varies enough from run to run that a single simulated recording can fall outside the band.</w:t>
      </w:r>
    </w:p>
    <w:p>
      <w:pPr>
        <w:keepNext/>
        <w:spacing w:before="240" w:after="60"/>
      </w:pPr>
      <w:r>
        <w:rPr>
          <w:rFonts w:ascii="Calibri" w:hAnsi="Calibri"/>
          <w:b/>
          <w:i w:val="0"/>
          <w:color w:val="1F4E79"/>
          <w:sz w:val="23"/>
        </w:rPr>
        <w:t>14. Drug knobs: does the twin respond like a culture?</w:t>
      </w:r>
    </w:p>
    <w:p>
      <w:pPr>
        <w:keepNext/>
        <w:spacing w:after="120"/>
      </w:pPr>
      <w:r>
        <w:rPr>
          <w:rFonts w:ascii="Calibri" w:hAnsi="Calibri"/>
          <w:b w:val="0"/>
          <w:i w:val="0"/>
          <w:color w:val="222222"/>
          <w:sz w:val="21"/>
        </w:rPr>
        <w:t>The twin has three pharmacological knobs: it can scale inhibitory transmission (</w:t>
      </w:r>
      <w:r>
        <w:rPr>
          <w:rFonts w:ascii="Consolas" w:hAnsi="Consolas"/>
          <w:b w:val="0"/>
          <w:i w:val="0"/>
          <w:color w:val="222222"/>
          <w:sz w:val="19"/>
        </w:rPr>
        <w:t>gabaa_scale</w:t>
      </w:r>
      <w:r>
        <w:rPr>
          <w:rFonts w:ascii="Calibri" w:hAnsi="Calibri"/>
          <w:b w:val="0"/>
          <w:i w:val="0"/>
          <w:color w:val="222222"/>
          <w:sz w:val="21"/>
        </w:rPr>
        <w:t>), scale excitatory transmission (</w:t>
      </w:r>
      <w:r>
        <w:rPr>
          <w:rFonts w:ascii="Consolas" w:hAnsi="Consolas"/>
          <w:b w:val="0"/>
          <w:i w:val="0"/>
          <w:color w:val="222222"/>
          <w:sz w:val="19"/>
        </w:rPr>
        <w:t>ampa_scale</w:t>
      </w:r>
      <w:r>
        <w:rPr>
          <w:rFonts w:ascii="Calibri" w:hAnsi="Calibri"/>
          <w:b w:val="0"/>
          <w:i w:val="0"/>
          <w:color w:val="222222"/>
          <w:sz w:val="21"/>
        </w:rPr>
        <w:t>), or raise the spike threshold (</w:t>
      </w:r>
      <w:r>
        <w:rPr>
          <w:rFonts w:ascii="Consolas" w:hAnsi="Consolas"/>
          <w:b w:val="0"/>
          <w:i w:val="0"/>
          <w:color w:val="222222"/>
          <w:sz w:val="19"/>
        </w:rPr>
        <w:t>threshold_scale</w:t>
      </w:r>
      <w:r>
        <w:rPr>
          <w:rFonts w:ascii="Calibri" w:hAnsi="Calibri"/>
          <w:b w:val="0"/>
          <w:i w:val="0"/>
          <w:color w:val="222222"/>
          <w:sz w:val="21"/>
        </w:rPr>
        <w:t>). We tested directional validity — does each knob move each feature in the right direction? — and we only scored features whose real direction is established by a cluster bootstrap.</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972"/>
        <w:gridCol w:w="2762"/>
        <w:gridCol w:w="2762"/>
      </w:tblGrid>
      <w:tr>
        <w:trPr>
          <w:cantSplit/>
          <w:tblHeader/>
        </w:trPr>
        <w:tc>
          <w:tcPr>
            <w:tcW w:type="dxa" w:w="2972"/>
            <w:shd w:val="clear" w:color="auto" w:fill="1F4E79"/>
            <w:vAlign w:val="center"/>
          </w:tcPr>
          <w:p>
            <w:pPr>
              <w:keepNext/>
              <w:spacing w:after="0"/>
            </w:pPr>
            <w:r>
              <w:rPr>
                <w:rFonts w:ascii="Calibri" w:hAnsi="Calibri"/>
                <w:b/>
                <w:i w:val="0"/>
                <w:color w:val="FFFFFF"/>
                <w:sz w:val="20"/>
              </w:rPr>
              <w:t>pharmacological knob</w:t>
            </w:r>
          </w:p>
        </w:tc>
        <w:tc>
          <w:tcPr>
            <w:tcW w:type="dxa" w:w="2762"/>
            <w:shd w:val="clear" w:color="auto" w:fill="1F4E79"/>
            <w:vAlign w:val="center"/>
          </w:tcPr>
          <w:p>
            <w:pPr>
              <w:keepNext/>
              <w:spacing w:after="0"/>
            </w:pPr>
            <w:r>
              <w:rPr>
                <w:rFonts w:ascii="Calibri" w:hAnsi="Calibri"/>
                <w:b/>
                <w:i w:val="0"/>
                <w:color w:val="FFFFFF"/>
                <w:sz w:val="20"/>
              </w:rPr>
              <w:t>mechanistic action</w:t>
            </w:r>
          </w:p>
        </w:tc>
        <w:tc>
          <w:tcPr>
            <w:tcW w:type="dxa" w:w="2762"/>
            <w:shd w:val="clear" w:color="auto" w:fill="1F4E79"/>
            <w:vAlign w:val="center"/>
          </w:tcPr>
          <w:p>
            <w:pPr>
              <w:keepNext/>
              <w:spacing w:after="0"/>
              <w:jc w:val="center"/>
            </w:pPr>
            <w:r>
              <w:rPr>
                <w:rFonts w:ascii="Calibri" w:hAnsi="Calibri"/>
                <w:b/>
                <w:i w:val="0"/>
                <w:color w:val="FFFFFF"/>
                <w:sz w:val="20"/>
              </w:rPr>
              <w:t>directional concordance</w:t>
            </w:r>
          </w:p>
        </w:tc>
      </w:tr>
      <w:tr>
        <w:trPr>
          <w:cantSplit/>
        </w:trPr>
        <w:tc>
          <w:tcPr>
            <w:tcW w:type="dxa" w:w="2972"/>
            <w:shd w:val="clear" w:color="auto" w:fill="FFFFFF"/>
            <w:vAlign w:val="center"/>
          </w:tcPr>
          <w:p>
            <w:pPr>
              <w:keepNext/>
              <w:spacing w:after="0"/>
            </w:pPr>
            <w:r>
              <w:rPr>
                <w:rFonts w:ascii="Calibri" w:hAnsi="Calibri"/>
                <w:b/>
                <w:i w:val="0"/>
                <w:color w:val="222222"/>
                <w:sz w:val="20"/>
              </w:rPr>
              <w:t>AMPA blockade</w:t>
            </w:r>
          </w:p>
        </w:tc>
        <w:tc>
          <w:tcPr>
            <w:tcW w:type="dxa" w:w="2762"/>
            <w:shd w:val="clear" w:color="auto" w:fill="FFFFFF"/>
            <w:vAlign w:val="center"/>
          </w:tcPr>
          <w:p>
            <w:pPr>
              <w:keepNext/>
              <w:spacing w:after="0"/>
            </w:pPr>
            <w:r>
              <w:rPr>
                <w:rFonts w:ascii="Calibri" w:hAnsi="Calibri"/>
                <w:b w:val="0"/>
                <w:i w:val="0"/>
                <w:color w:val="222222"/>
                <w:sz w:val="20"/>
              </w:rPr>
              <w:t>downscale excitation</w:t>
            </w:r>
          </w:p>
        </w:tc>
        <w:tc>
          <w:tcPr>
            <w:tcW w:type="dxa" w:w="2762"/>
            <w:shd w:val="clear" w:color="auto" w:fill="FFFFFF"/>
            <w:vAlign w:val="center"/>
          </w:tcPr>
          <w:p>
            <w:pPr>
              <w:keepNext/>
              <w:spacing w:after="0"/>
              <w:jc w:val="center"/>
            </w:pPr>
            <w:r>
              <w:rPr>
                <w:rFonts w:ascii="Calibri" w:hAnsi="Calibri"/>
                <w:b w:val="0"/>
                <w:i w:val="0"/>
                <w:color w:val="222222"/>
                <w:sz w:val="20"/>
              </w:rPr>
              <w:t>4 / 4</w:t>
            </w:r>
          </w:p>
        </w:tc>
      </w:tr>
      <w:tr>
        <w:trPr>
          <w:cantSplit/>
        </w:trPr>
        <w:tc>
          <w:tcPr>
            <w:tcW w:type="dxa" w:w="2972"/>
            <w:shd w:val="clear" w:color="auto" w:fill="F7F9FB"/>
            <w:vAlign w:val="center"/>
          </w:tcPr>
          <w:p>
            <w:pPr>
              <w:keepNext/>
              <w:spacing w:after="0"/>
            </w:pPr>
            <w:r>
              <w:rPr>
                <w:rFonts w:ascii="Calibri" w:hAnsi="Calibri"/>
                <w:b/>
                <w:i w:val="0"/>
                <w:color w:val="222222"/>
                <w:sz w:val="20"/>
              </w:rPr>
              <w:t>sodium-channel block</w:t>
            </w:r>
          </w:p>
        </w:tc>
        <w:tc>
          <w:tcPr>
            <w:tcW w:type="dxa" w:w="2762"/>
            <w:shd w:val="clear" w:color="auto" w:fill="F7F9FB"/>
            <w:vAlign w:val="center"/>
          </w:tcPr>
          <w:p>
            <w:pPr>
              <w:keepNext/>
              <w:spacing w:after="0"/>
            </w:pPr>
            <w:r>
              <w:rPr>
                <w:rFonts w:ascii="Calibri" w:hAnsi="Calibri"/>
                <w:b w:val="0"/>
                <w:i w:val="0"/>
                <w:color w:val="222222"/>
                <w:sz w:val="20"/>
              </w:rPr>
              <w:t>elevate spike threshold</w:t>
            </w:r>
          </w:p>
        </w:tc>
        <w:tc>
          <w:tcPr>
            <w:tcW w:type="dxa" w:w="2762"/>
            <w:shd w:val="clear" w:color="auto" w:fill="F7F9FB"/>
            <w:vAlign w:val="center"/>
          </w:tcPr>
          <w:p>
            <w:pPr>
              <w:keepNext/>
              <w:spacing w:after="0"/>
              <w:jc w:val="center"/>
            </w:pPr>
            <w:r>
              <w:rPr>
                <w:rFonts w:ascii="Calibri" w:hAnsi="Calibri"/>
                <w:b w:val="0"/>
                <w:i w:val="0"/>
                <w:color w:val="222222"/>
                <w:sz w:val="20"/>
              </w:rPr>
              <w:t>3 / 3</w:t>
            </w:r>
          </w:p>
        </w:tc>
      </w:tr>
      <w:tr>
        <w:trPr>
          <w:cantSplit/>
        </w:trPr>
        <w:tc>
          <w:tcPr>
            <w:tcW w:type="dxa" w:w="2972"/>
            <w:shd w:val="clear" w:color="auto" w:fill="FFFFFF"/>
            <w:vAlign w:val="center"/>
          </w:tcPr>
          <w:p>
            <w:pPr>
              <w:keepNext/>
              <w:spacing w:after="0"/>
            </w:pPr>
            <w:r>
              <w:rPr>
                <w:rFonts w:ascii="Calibri" w:hAnsi="Calibri"/>
                <w:b/>
                <w:i w:val="0"/>
                <w:color w:val="222222"/>
                <w:sz w:val="20"/>
              </w:rPr>
              <w:t>GABA-A antagonism</w:t>
            </w:r>
          </w:p>
        </w:tc>
        <w:tc>
          <w:tcPr>
            <w:tcW w:type="dxa" w:w="2762"/>
            <w:shd w:val="clear" w:color="auto" w:fill="FFFFFF"/>
            <w:vAlign w:val="center"/>
          </w:tcPr>
          <w:p>
            <w:pPr>
              <w:keepNext/>
              <w:spacing w:after="0"/>
            </w:pPr>
            <w:r>
              <w:rPr>
                <w:rFonts w:ascii="Calibri" w:hAnsi="Calibri"/>
                <w:b w:val="0"/>
                <w:i w:val="0"/>
                <w:color w:val="222222"/>
                <w:sz w:val="20"/>
              </w:rPr>
              <w:t>downscale inhibition</w:t>
            </w:r>
          </w:p>
        </w:tc>
        <w:tc>
          <w:tcPr>
            <w:tcW w:type="dxa" w:w="2762"/>
            <w:shd w:val="clear" w:color="auto" w:fill="FFFFFF"/>
            <w:vAlign w:val="center"/>
          </w:tcPr>
          <w:p>
            <w:pPr>
              <w:keepNext/>
              <w:spacing w:after="0"/>
              <w:jc w:val="center"/>
            </w:pPr>
            <w:r>
              <w:rPr>
                <w:rFonts w:ascii="Calibri" w:hAnsi="Calibri"/>
                <w:b w:val="0"/>
                <w:i w:val="0"/>
                <w:color w:val="222222"/>
                <w:sz w:val="20"/>
              </w:rPr>
              <w:t>4 / 5</w:t>
            </w:r>
          </w:p>
        </w:tc>
      </w:tr>
      <w:tr>
        <w:trPr>
          <w:cantSplit/>
        </w:trPr>
        <w:tc>
          <w:tcPr>
            <w:tcW w:type="dxa" w:w="2972"/>
            <w:shd w:val="clear" w:color="auto" w:fill="F7F9FB"/>
            <w:vAlign w:val="center"/>
          </w:tcPr>
          <w:p>
            <w:pPr>
              <w:keepNext w:val="0"/>
              <w:spacing w:after="0"/>
            </w:pPr>
            <w:r>
              <w:rPr>
                <w:rFonts w:ascii="Calibri" w:hAnsi="Calibri"/>
                <w:b/>
                <w:i w:val="0"/>
                <w:color w:val="222222"/>
                <w:sz w:val="20"/>
              </w:rPr>
              <w:t>GABA-A potentiation</w:t>
            </w:r>
          </w:p>
        </w:tc>
        <w:tc>
          <w:tcPr>
            <w:tcW w:type="dxa" w:w="2762"/>
            <w:shd w:val="clear" w:color="auto" w:fill="F7F9FB"/>
            <w:vAlign w:val="center"/>
          </w:tcPr>
          <w:p>
            <w:pPr>
              <w:keepNext w:val="0"/>
              <w:spacing w:after="0"/>
            </w:pPr>
            <w:r>
              <w:rPr>
                <w:rFonts w:ascii="Calibri" w:hAnsi="Calibri"/>
                <w:b w:val="0"/>
                <w:i w:val="0"/>
                <w:color w:val="222222"/>
                <w:sz w:val="20"/>
              </w:rPr>
              <w:t>upscale inhibition</w:t>
            </w:r>
          </w:p>
        </w:tc>
        <w:tc>
          <w:tcPr>
            <w:tcW w:type="dxa" w:w="2762"/>
            <w:shd w:val="clear" w:color="auto" w:fill="F7F9FB"/>
            <w:vAlign w:val="center"/>
          </w:tcPr>
          <w:p>
            <w:pPr>
              <w:keepNext w:val="0"/>
              <w:spacing w:after="0"/>
              <w:jc w:val="center"/>
            </w:pPr>
            <w:r>
              <w:rPr>
                <w:rFonts w:ascii="Calibri" w:hAnsi="Calibri"/>
                <w:b w:val="0"/>
                <w:i w:val="0"/>
                <w:color w:val="222222"/>
                <w:sz w:val="20"/>
              </w:rPr>
              <w:t>1 / 4</w:t>
            </w:r>
          </w:p>
        </w:tc>
      </w:tr>
    </w:tbl>
    <w:p>
      <w:pPr>
        <w:spacing w:after="80"/>
      </w:pPr>
    </w:p>
    <w:p>
      <w:pPr>
        <w:keepNext/>
        <w:spacing w:before="120" w:after="40"/>
        <w:jc w:val="center"/>
      </w:pPr>
      <w:r>
        <w:drawing>
          <wp:inline xmlns:a="http://schemas.openxmlformats.org/drawingml/2006/main" xmlns:pic="http://schemas.openxmlformats.org/drawingml/2006/picture">
            <wp:extent cx="3183026" cy="1570780"/>
            <wp:docPr id="10" name="Picture 10"/>
            <wp:cNvGraphicFramePr>
              <a:graphicFrameLocks noChangeAspect="1"/>
            </wp:cNvGraphicFramePr>
            <a:graphic>
              <a:graphicData uri="http://schemas.openxmlformats.org/drawingml/2006/picture">
                <pic:pic>
                  <pic:nvPicPr>
                    <pic:cNvPr id="0" name="hd13_drug_knob_validation_simulated.png"/>
                    <pic:cNvPicPr/>
                  </pic:nvPicPr>
                  <pic:blipFill>
                    <a:blip r:embed="rId22"/>
                    <a:stretch>
                      <a:fillRect/>
                    </a:stretch>
                  </pic:blipFill>
                  <pic:spPr>
                    <a:xfrm>
                      <a:off x="0" y="0"/>
                      <a:ext cx="3183026" cy="1570780"/>
                    </a:xfrm>
                    <a:prstGeom prst="rect"/>
                  </pic:spPr>
                </pic:pic>
              </a:graphicData>
            </a:graphic>
          </wp:inline>
        </w:drawing>
      </w:r>
    </w:p>
    <w:p>
      <w:pPr>
        <w:spacing w:after="200"/>
        <w:jc w:val="center"/>
      </w:pPr>
      <w:r>
        <w:rPr>
          <w:rFonts w:ascii="Calibri" w:hAnsi="Calibri"/>
          <w:b/>
          <w:i/>
          <w:color w:val="222222"/>
          <w:sz w:val="17"/>
        </w:rPr>
        <w:t xml:space="preserve">Figure 10. </w:t>
      </w:r>
      <w:r>
        <w:rPr>
          <w:rFonts w:ascii="Calibri" w:hAnsi="Calibri"/>
          <w:b w:val="0"/>
          <w:i/>
          <w:color w:val="222222"/>
          <w:sz w:val="17"/>
        </w:rPr>
        <w:t>SIMULATED drug knobs against REAL pharmacology directions, per feature. Only features whose real direction is established by a cluster bootstrap are scored.</w:t>
      </w:r>
    </w:p>
    <w:p>
      <w:pPr>
        <w:spacing w:after="120"/>
      </w:pPr>
      <w:r>
        <w:rPr>
          <w:rFonts w:ascii="Calibri" w:hAnsi="Calibri"/>
          <w:b w:val="0"/>
          <w:i w:val="0"/>
          <w:color w:val="222222"/>
          <w:sz w:val="21"/>
        </w:rPr>
        <w:t>Blocking excitation and blocking sodium channels behave correctly on every scored feature. Blocking inhibition is mostly right. Potentiating inhibition is mostly wrong — and that is the knob with the weakest real reference behind it, just 17 pairs from two sources. So the twin is usable for reasoning about strong, well-evidenced perturbations, but we have not validated it for subtle allosteric modulation.</w:t>
      </w:r>
    </w:p>
    <w:p>
      <w:pPr>
        <w:keepNext/>
        <w:spacing w:before="360" w:after="120"/>
      </w:pPr>
      <w:r>
        <w:rPr>
          <w:rFonts w:ascii="Calibri" w:hAnsi="Calibri"/>
          <w:b/>
          <w:i w:val="0"/>
          <w:color w:val="2F5597"/>
          <w:sz w:val="27"/>
        </w:rPr>
        <w:t>ACT IV: Inverting the twin and resolving directionality</w:t>
      </w:r>
    </w:p>
    <w:p>
      <w:pPr>
        <w:keepNext/>
        <w:spacing w:before="240" w:after="60"/>
      </w:pPr>
      <w:r>
        <w:rPr>
          <w:rFonts w:ascii="Calibri" w:hAnsi="Calibri"/>
          <w:b/>
          <w:i w:val="0"/>
          <w:color w:val="1F4E79"/>
          <w:sz w:val="23"/>
        </w:rPr>
        <w:t>15. Two-compartment devices, and a result we did not want</w:t>
      </w:r>
    </w:p>
    <w:p>
      <w:pPr>
        <w:spacing w:after="120"/>
      </w:pPr>
      <w:r>
        <w:rPr>
          <w:rFonts w:ascii="Calibri" w:hAnsi="Calibri"/>
          <w:b w:val="0"/>
          <w:i w:val="0"/>
          <w:color w:val="222222"/>
          <w:sz w:val="21"/>
        </w:rPr>
        <w:t>The twin models an asymmetric two-compartment chip — the "axon diode" idea, where microchannel geometry biases which way axons grow. Before simulating it, we asked what real devices actually show.</w:t>
      </w:r>
    </w:p>
    <w:p>
      <w:pPr>
        <w:keepNext/>
        <w:spacing w:after="120"/>
      </w:pPr>
      <w:r>
        <w:rPr>
          <w:rFonts w:ascii="Calibri" w:hAnsi="Calibri"/>
          <w:b/>
          <w:i w:val="0"/>
          <w:color w:val="156082"/>
          <w:sz w:val="21"/>
        </w:rPr>
        <w:t>Tissue identity drives asymmetry.</w:t>
      </w:r>
      <w:r>
        <w:rPr>
          <w:rFonts w:ascii="Calibri" w:hAnsi="Calibri"/>
          <w:b w:val="0"/>
          <w:i w:val="0"/>
          <w:color w:val="222222"/>
          <w:sz w:val="21"/>
        </w:rPr>
        <w:t xml:space="preserve"> Across 16 devices, we measured how asymmetric the coupling between compartments is. Devices pairing two different tissues (cortex with hippocampus) are more asymmetric, with a median of 0.138, than devices pairing a tissue with itself, median 0.094, p = 0.042. What the chambers contain matters more than the fact that they are connected.</w:t>
      </w:r>
    </w:p>
    <w:p>
      <w:pPr>
        <w:keepNext/>
        <w:spacing w:before="120" w:after="40"/>
        <w:jc w:val="center"/>
      </w:pPr>
      <w:r>
        <w:drawing>
          <wp:inline xmlns:a="http://schemas.openxmlformats.org/drawingml/2006/main" xmlns:pic="http://schemas.openxmlformats.org/drawingml/2006/picture">
            <wp:extent cx="3021177" cy="2135490"/>
            <wp:docPr id="11" name="Picture 11"/>
            <wp:cNvGraphicFramePr>
              <a:graphicFrameLocks noChangeAspect="1"/>
            </wp:cNvGraphicFramePr>
            <a:graphic>
              <a:graphicData uri="http://schemas.openxmlformats.org/drawingml/2006/picture">
                <pic:pic>
                  <pic:nvPicPr>
                    <pic:cNvPr id="0" name="compartment_lag_by_device_type.png"/>
                    <pic:cNvPicPr/>
                  </pic:nvPicPr>
                  <pic:blipFill>
                    <a:blip r:embed="rId23"/>
                    <a:stretch>
                      <a:fillRect/>
                    </a:stretch>
                  </pic:blipFill>
                  <pic:spPr>
                    <a:xfrm>
                      <a:off x="0" y="0"/>
                      <a:ext cx="3021177" cy="2135490"/>
                    </a:xfrm>
                    <a:prstGeom prst="rect"/>
                  </pic:spPr>
                </pic:pic>
              </a:graphicData>
            </a:graphic>
          </wp:inline>
        </w:drawing>
      </w:r>
    </w:p>
    <w:p>
      <w:pPr>
        <w:spacing w:after="200"/>
        <w:jc w:val="center"/>
      </w:pPr>
      <w:r>
        <w:rPr>
          <w:rFonts w:ascii="Calibri" w:hAnsi="Calibri"/>
          <w:b/>
          <w:i/>
          <w:color w:val="222222"/>
          <w:sz w:val="17"/>
        </w:rPr>
        <w:t xml:space="preserve">Figure 11. </w:t>
      </w:r>
      <w:r>
        <w:rPr>
          <w:rFonts w:ascii="Calibri" w:hAnsi="Calibri"/>
          <w:b w:val="0"/>
          <w:i/>
          <w:color w:val="222222"/>
          <w:sz w:val="17"/>
        </w:rPr>
        <w:t>Inter-compartment coupling lag by device type, REAL data, one value per device: five CxCx, five HpHp, six CxHp. The two same-tissue types are indistinguishable; the heterogeneous type sits apart.</w:t>
      </w:r>
    </w:p>
    <w:p>
      <w:pPr>
        <w:keepNext/>
        <w:spacing w:after="120"/>
      </w:pPr>
      <w:r>
        <w:rPr>
          <w:rFonts w:ascii="Calibri" w:hAnsi="Calibri"/>
          <w:b/>
          <w:i w:val="0"/>
          <w:color w:val="156082"/>
          <w:sz w:val="21"/>
        </w:rPr>
        <w:t>The directionality null.</w:t>
      </w:r>
      <w:r>
        <w:rPr>
          <w:rFonts w:ascii="Calibri" w:hAnsi="Calibri"/>
          <w:b w:val="0"/>
          <w:i w:val="0"/>
          <w:color w:val="222222"/>
          <w:sz w:val="21"/>
        </w:rPr>
        <w:t xml:space="preserve"> One deposit recorded axonal crossings directly inside the tunnels, on 10 cultures (Brewer 2021). That let us ask the question a chamber readout exists to answer: if you had only the chamber recordings, could you tell which way the axons were firing? Using all four chamber-level measures together — coupling asymmetry, peak correlation, lag and rate imbalance — a classifier reaches a balanced accuracy of 0.3854 against a chance of 0.5. That is worse than guessing. And it is not just a small-sample failure: with this many cultures, the analysis could have detected a balanced accuracy of 0.6438 if one had been there. We could only recover direction by instrumenting the microchannels themselves.</w:t>
      </w:r>
    </w:p>
    <w:p>
      <w:pPr>
        <w:keepNext/>
        <w:spacing w:before="120" w:after="40"/>
        <w:jc w:val="center"/>
      </w:pPr>
      <w:r>
        <w:drawing>
          <wp:inline xmlns:a="http://schemas.openxmlformats.org/drawingml/2006/main" xmlns:pic="http://schemas.openxmlformats.org/drawingml/2006/picture">
            <wp:extent cx="5394960" cy="2547620"/>
            <wp:docPr id="12" name="Picture 12"/>
            <wp:cNvGraphicFramePr>
              <a:graphicFrameLocks noChangeAspect="1"/>
            </wp:cNvGraphicFramePr>
            <a:graphic>
              <a:graphicData uri="http://schemas.openxmlformats.org/drawingml/2006/picture">
                <pic:pic>
                  <pic:nvPicPr>
                    <pic:cNvPr id="0" name="axonal_flow_vs_chamber.png"/>
                    <pic:cNvPicPr/>
                  </pic:nvPicPr>
                  <pic:blipFill>
                    <a:blip r:embed="rId24"/>
                    <a:stretch>
                      <a:fillRect/>
                    </a:stretch>
                  </pic:blipFill>
                  <pic:spPr>
                    <a:xfrm>
                      <a:off x="0" y="0"/>
                      <a:ext cx="5394960" cy="2547620"/>
                    </a:xfrm>
                    <a:prstGeom prst="rect"/>
                  </pic:spPr>
                </pic:pic>
              </a:graphicData>
            </a:graphic>
          </wp:inline>
        </w:drawing>
      </w:r>
    </w:p>
    <w:p>
      <w:pPr>
        <w:spacing w:after="200"/>
        <w:jc w:val="center"/>
      </w:pPr>
      <w:r>
        <w:rPr>
          <w:rFonts w:ascii="Calibri" w:hAnsi="Calibri"/>
          <w:b/>
          <w:i/>
          <w:color w:val="222222"/>
          <w:sz w:val="17"/>
        </w:rPr>
        <w:t xml:space="preserve">Figure 12. </w:t>
      </w:r>
      <w:r>
        <w:rPr>
          <w:rFonts w:ascii="Calibri" w:hAnsi="Calibri"/>
          <w:b w:val="0"/>
          <w:i/>
          <w:color w:val="222222"/>
          <w:sz w:val="17"/>
        </w:rPr>
        <w:t>Measured axonal flow against chamber-level readouts, REAL recordings. The chamber measures do not order the cultures by the direction their axons actually fired.</w:t>
      </w:r>
    </w:p>
    <w:p>
      <w:pPr>
        <w:keepNext/>
        <w:spacing w:before="240" w:after="60"/>
      </w:pPr>
      <w:r>
        <w:rPr>
          <w:rFonts w:ascii="Calibri" w:hAnsi="Calibri"/>
          <w:b/>
          <w:i w:val="0"/>
          <w:color w:val="1F4E79"/>
          <w:sz w:val="23"/>
        </w:rPr>
        <w:t>16. Running the model backwards, and what that cannot do</w:t>
      </w:r>
    </w:p>
    <w:p>
      <w:pPr>
        <w:keepNext/>
        <w:spacing w:after="120"/>
      </w:pPr>
      <w:r>
        <w:rPr>
          <w:rFonts w:ascii="Calibri" w:hAnsi="Calibri"/>
          <w:b w:val="0"/>
          <w:i w:val="0"/>
          <w:color w:val="222222"/>
          <w:sz w:val="21"/>
        </w:rPr>
        <w:t>The more ambitious use of a twin is to run it backwards: given a recording, infer which knob was turned. We did this with simulation-based inference, using a neural posterior estimator trained on 3,000 simulations at the calibrated cell density. Here the twin works as a generator of labelled data: every simulation is a training pair whose true parameters are known exactly, which no bench experiment can supply.</w:t>
      </w:r>
    </w:p>
    <w:p>
      <w:pPr>
        <w:keepNext/>
        <w:spacing w:before="120" w:after="40"/>
        <w:jc w:val="center"/>
      </w:pPr>
      <w:r>
        <w:drawing>
          <wp:inline xmlns:a="http://schemas.openxmlformats.org/drawingml/2006/main" xmlns:pic="http://schemas.openxmlformats.org/drawingml/2006/picture">
            <wp:extent cx="5394960" cy="2896019"/>
            <wp:docPr id="13" name="Picture 13"/>
            <wp:cNvGraphicFramePr>
              <a:graphicFrameLocks noChangeAspect="1"/>
            </wp:cNvGraphicFramePr>
            <a:graphic>
              <a:graphicData uri="http://schemas.openxmlformats.org/drawingml/2006/picture">
                <pic:pic>
                  <pic:nvPicPr>
                    <pic:cNvPr id="0" name="inference_network_simulated.png"/>
                    <pic:cNvPicPr/>
                  </pic:nvPicPr>
                  <pic:blipFill>
                    <a:blip r:embed="rId25"/>
                    <a:stretch>
                      <a:fillRect/>
                    </a:stretch>
                  </pic:blipFill>
                  <pic:spPr>
                    <a:xfrm>
                      <a:off x="0" y="0"/>
                      <a:ext cx="5394960" cy="2896019"/>
                    </a:xfrm>
                    <a:prstGeom prst="rect"/>
                  </pic:spPr>
                </pic:pic>
              </a:graphicData>
            </a:graphic>
          </wp:inline>
        </w:drawing>
      </w:r>
    </w:p>
    <w:p>
      <w:pPr>
        <w:spacing w:after="200"/>
        <w:jc w:val="center"/>
      </w:pPr>
      <w:r>
        <w:rPr>
          <w:rFonts w:ascii="Calibri" w:hAnsi="Calibri"/>
          <w:b/>
          <w:i/>
          <w:color w:val="222222"/>
          <w:sz w:val="17"/>
        </w:rPr>
        <w:t xml:space="preserve">Figure 13. </w:t>
      </w:r>
      <w:r>
        <w:rPr>
          <w:rFonts w:ascii="Calibri" w:hAnsi="Calibri"/>
          <w:b w:val="0"/>
          <w:i/>
          <w:color w:val="222222"/>
          <w:sz w:val="17"/>
        </w:rPr>
        <w:t>Running the SIMULATED twin backwards: draws from the prior are simulated and summarized as features, a neural posterior estimator learns to invert them and is then asked about a real recording. The bottom row is the honesty check applied before any posterior is quoted.</w:t>
      </w:r>
    </w:p>
    <w:p>
      <w:pPr>
        <w:spacing w:after="120"/>
      </w:pPr>
      <w:r>
        <w:rPr>
          <w:rFonts w:ascii="Calibri" w:hAnsi="Calibri"/>
          <w:b w:val="0"/>
          <w:i w:val="0"/>
          <w:color w:val="222222"/>
          <w:sz w:val="21"/>
        </w:rPr>
        <w:t xml:space="preserve">The estimator is a masked autoregressive flow, built with the </w:t>
      </w:r>
      <w:r>
        <w:rPr>
          <w:rFonts w:ascii="Consolas" w:hAnsi="Consolas"/>
          <w:b w:val="0"/>
          <w:i w:val="0"/>
          <w:color w:val="222222"/>
          <w:sz w:val="19"/>
        </w:rPr>
        <w:t>sbi</w:t>
      </w:r>
      <w:r>
        <w:rPr>
          <w:rFonts w:ascii="Calibri" w:hAnsi="Calibri"/>
          <w:b w:val="0"/>
          <w:i w:val="0"/>
          <w:color w:val="222222"/>
          <w:sz w:val="21"/>
        </w:rPr>
        <w:t xml:space="preserve"> library: a stack of 5 autoregressive transforms with 50 hidden units each, 34,550 trained weights in all. It learns the joint density of the five parameters given the 19 summary features, so it returns a full posterior rather than a point estimate, and it never has to run the simulator again once trained. That is what makes the inference amortized: on 20 held-out simulations, a posterior of 1,000 draws takes a median of 0.3061 s on our workstation, against 6.69 s for one 10-second run of the simulator, which a method that simulates afresh for every recording would need many times over. That speed holds for recordings the twin can produce; for those it cannot, sampling stalls, which is the refusal described below.</w:t>
      </w:r>
    </w:p>
    <w:p>
      <w:pPr>
        <w:spacing w:after="120"/>
      </w:pPr>
      <w:r>
        <w:rPr>
          <w:rFonts w:ascii="Calibri" w:hAnsi="Calibri"/>
          <w:b w:val="0"/>
          <w:i w:val="0"/>
          <w:color w:val="222222"/>
          <w:sz w:val="21"/>
        </w:rPr>
        <w:t>The same generator could in principle pre-train models for assays where real data are scarce, such as human iPSC cultures, but only once the twin is calibrated for them. Today it is calibrated on rat devices and sits inside the real band on two of five features, so we have not done this.</w:t>
      </w:r>
    </w:p>
    <w:p>
      <w:pPr>
        <w:keepNext/>
        <w:spacing w:after="120"/>
      </w:pPr>
      <w:r>
        <w:rPr>
          <w:rFonts w:ascii="Calibri" w:hAnsi="Calibri"/>
          <w:b w:val="0"/>
          <w:i w:val="0"/>
          <w:color w:val="222222"/>
          <w:sz w:val="21"/>
        </w:rPr>
        <w:t>Before we trust any posterior, we run two honesty checks.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537"/>
        <w:gridCol w:w="1787"/>
        <w:gridCol w:w="1291"/>
        <w:gridCol w:w="1291"/>
        <w:gridCol w:w="1589"/>
      </w:tblGrid>
      <w:tr>
        <w:trPr>
          <w:cantSplit/>
          <w:tblHeader/>
        </w:trPr>
        <w:tc>
          <w:tcPr>
            <w:tcW w:type="dxa" w:w="2537"/>
            <w:shd w:val="clear" w:color="auto" w:fill="1F4E79"/>
            <w:vAlign w:val="center"/>
          </w:tcPr>
          <w:p>
            <w:pPr>
              <w:keepNext/>
              <w:spacing w:after="0"/>
            </w:pPr>
            <w:r>
              <w:rPr>
                <w:rFonts w:ascii="Calibri" w:hAnsi="Calibri"/>
                <w:b/>
                <w:i w:val="0"/>
                <w:color w:val="FFFFFF"/>
                <w:sz w:val="20"/>
              </w:rPr>
              <w:t>model parameter</w:t>
            </w:r>
          </w:p>
        </w:tc>
        <w:tc>
          <w:tcPr>
            <w:tcW w:type="dxa" w:w="1787"/>
            <w:shd w:val="clear" w:color="auto" w:fill="1F4E79"/>
            <w:vAlign w:val="center"/>
          </w:tcPr>
          <w:p>
            <w:pPr>
              <w:keepNext/>
              <w:spacing w:after="0"/>
            </w:pPr>
            <w:r>
              <w:rPr>
                <w:rFonts w:ascii="Calibri" w:hAnsi="Calibri"/>
                <w:b/>
                <w:i w:val="0"/>
                <w:color w:val="FFFFFF"/>
                <w:sz w:val="20"/>
              </w:rPr>
              <w:t>biophysical role</w:t>
            </w:r>
          </w:p>
        </w:tc>
        <w:tc>
          <w:tcPr>
            <w:tcW w:type="dxa" w:w="1291"/>
            <w:shd w:val="clear" w:color="auto" w:fill="1F4E79"/>
            <w:vAlign w:val="center"/>
          </w:tcPr>
          <w:p>
            <w:pPr>
              <w:keepNext/>
              <w:spacing w:after="0"/>
              <w:jc w:val="center"/>
            </w:pPr>
            <w:r>
              <w:rPr>
                <w:rFonts w:ascii="Calibri" w:hAnsi="Calibri"/>
                <w:b/>
                <w:i w:val="0"/>
                <w:color w:val="FFFFFF"/>
                <w:sz w:val="20"/>
              </w:rPr>
              <w:t>posterior contraction</w:t>
            </w:r>
          </w:p>
        </w:tc>
        <w:tc>
          <w:tcPr>
            <w:tcW w:type="dxa" w:w="1291"/>
            <w:shd w:val="clear" w:color="auto" w:fill="1F4E79"/>
            <w:vAlign w:val="center"/>
          </w:tcPr>
          <w:p>
            <w:pPr>
              <w:keepNext/>
              <w:spacing w:after="0"/>
              <w:jc w:val="center"/>
            </w:pPr>
            <w:r>
              <w:rPr>
                <w:rFonts w:ascii="Calibri" w:hAnsi="Calibri"/>
                <w:b/>
                <w:i w:val="0"/>
                <w:color w:val="FFFFFF"/>
                <w:sz w:val="20"/>
              </w:rPr>
              <w:t>KS calibration (p)</w:t>
            </w:r>
          </w:p>
        </w:tc>
        <w:tc>
          <w:tcPr>
            <w:tcW w:type="dxa" w:w="1589"/>
            <w:shd w:val="clear" w:color="auto" w:fill="1F4E79"/>
            <w:vAlign w:val="center"/>
          </w:tcPr>
          <w:p>
            <w:pPr>
              <w:keepNext/>
              <w:spacing w:after="0"/>
            </w:pPr>
            <w:r>
              <w:rPr>
                <w:rFonts w:ascii="Calibri" w:hAnsi="Calibri"/>
                <w:b/>
                <w:i w:val="0"/>
                <w:color w:val="FFFFFF"/>
                <w:sz w:val="20"/>
              </w:rPr>
              <w:t>uniformity status</w:t>
            </w:r>
          </w:p>
        </w:tc>
      </w:tr>
      <w:tr>
        <w:trPr>
          <w:cantSplit/>
        </w:trPr>
        <w:tc>
          <w:tcPr>
            <w:tcW w:type="dxa" w:w="2537"/>
            <w:shd w:val="clear" w:color="auto" w:fill="FFFFFF"/>
            <w:vAlign w:val="center"/>
          </w:tcPr>
          <w:p>
            <w:pPr>
              <w:keepNext/>
              <w:spacing w:after="0"/>
            </w:pPr>
            <w:r>
              <w:rPr>
                <w:rFonts w:ascii="Consolas" w:hAnsi="Consolas"/>
                <w:b/>
                <w:i w:val="0"/>
                <w:color w:val="222222"/>
                <w:sz w:val="18"/>
              </w:rPr>
              <w:t>threshold_scale</w:t>
            </w:r>
          </w:p>
        </w:tc>
        <w:tc>
          <w:tcPr>
            <w:tcW w:type="dxa" w:w="1787"/>
            <w:shd w:val="clear" w:color="auto" w:fill="FFFFFF"/>
            <w:vAlign w:val="center"/>
          </w:tcPr>
          <w:p>
            <w:pPr>
              <w:keepNext/>
              <w:spacing w:after="0"/>
            </w:pPr>
            <w:r>
              <w:rPr>
                <w:rFonts w:ascii="Calibri" w:hAnsi="Calibri"/>
                <w:b w:val="0"/>
                <w:i w:val="0"/>
                <w:color w:val="222222"/>
                <w:sz w:val="20"/>
              </w:rPr>
              <w:t>action-potential threshold</w:t>
            </w:r>
          </w:p>
        </w:tc>
        <w:tc>
          <w:tcPr>
            <w:tcW w:type="dxa" w:w="1291"/>
            <w:shd w:val="clear" w:color="auto" w:fill="FFFFFF"/>
            <w:vAlign w:val="center"/>
          </w:tcPr>
          <w:p>
            <w:pPr>
              <w:keepNext/>
              <w:spacing w:after="0"/>
              <w:jc w:val="center"/>
            </w:pPr>
            <w:r>
              <w:rPr>
                <w:rFonts w:ascii="Calibri" w:hAnsi="Calibri"/>
                <w:b w:val="0"/>
                <w:i w:val="0"/>
                <w:color w:val="222222"/>
                <w:sz w:val="20"/>
              </w:rPr>
              <w:t>0.661</w:t>
            </w:r>
          </w:p>
        </w:tc>
        <w:tc>
          <w:tcPr>
            <w:tcW w:type="dxa" w:w="1291"/>
            <w:shd w:val="clear" w:color="auto" w:fill="FFFFFF"/>
            <w:vAlign w:val="center"/>
          </w:tcPr>
          <w:p>
            <w:pPr>
              <w:keepNext/>
              <w:spacing w:after="0"/>
              <w:jc w:val="center"/>
            </w:pPr>
            <w:r>
              <w:rPr>
                <w:rFonts w:ascii="Calibri" w:hAnsi="Calibri"/>
                <w:b w:val="0"/>
                <w:i w:val="0"/>
                <w:color w:val="222222"/>
                <w:sz w:val="20"/>
              </w:rPr>
              <w:t>0.6105</w:t>
            </w:r>
          </w:p>
        </w:tc>
        <w:tc>
          <w:tcPr>
            <w:tcW w:type="dxa" w:w="1589"/>
            <w:shd w:val="clear" w:color="auto" w:fill="FFFFFF"/>
            <w:vAlign w:val="center"/>
          </w:tcPr>
          <w:p>
            <w:pPr>
              <w:keepNext/>
              <w:spacing w:after="0"/>
            </w:pPr>
            <w:r>
              <w:rPr>
                <w:rFonts w:ascii="Calibri" w:hAnsi="Calibri"/>
                <w:b w:val="0"/>
                <w:i w:val="0"/>
                <w:color w:val="222222"/>
                <w:sz w:val="20"/>
              </w:rPr>
              <w:t>well calibrated</w:t>
            </w:r>
          </w:p>
        </w:tc>
      </w:tr>
      <w:tr>
        <w:trPr>
          <w:cantSplit/>
        </w:trPr>
        <w:tc>
          <w:tcPr>
            <w:tcW w:type="dxa" w:w="2537"/>
            <w:shd w:val="clear" w:color="auto" w:fill="F7F9FB"/>
            <w:vAlign w:val="center"/>
          </w:tcPr>
          <w:p>
            <w:pPr>
              <w:keepNext/>
              <w:spacing w:after="0"/>
            </w:pPr>
            <w:r>
              <w:rPr>
                <w:rFonts w:ascii="Consolas" w:hAnsi="Consolas"/>
                <w:b/>
                <w:i w:val="0"/>
                <w:color w:val="222222"/>
                <w:sz w:val="18"/>
              </w:rPr>
              <w:t>ampa_scale</w:t>
            </w:r>
          </w:p>
        </w:tc>
        <w:tc>
          <w:tcPr>
            <w:tcW w:type="dxa" w:w="1787"/>
            <w:shd w:val="clear" w:color="auto" w:fill="F7F9FB"/>
            <w:vAlign w:val="center"/>
          </w:tcPr>
          <w:p>
            <w:pPr>
              <w:keepNext/>
              <w:spacing w:after="0"/>
            </w:pPr>
            <w:r>
              <w:rPr>
                <w:rFonts w:ascii="Calibri" w:hAnsi="Calibri"/>
                <w:b w:val="0"/>
                <w:i w:val="0"/>
                <w:color w:val="222222"/>
                <w:sz w:val="20"/>
              </w:rPr>
              <w:t>excitatory synaptic weight</w:t>
            </w:r>
          </w:p>
        </w:tc>
        <w:tc>
          <w:tcPr>
            <w:tcW w:type="dxa" w:w="1291"/>
            <w:shd w:val="clear" w:color="auto" w:fill="F7F9FB"/>
            <w:vAlign w:val="center"/>
          </w:tcPr>
          <w:p>
            <w:pPr>
              <w:keepNext/>
              <w:spacing w:after="0"/>
              <w:jc w:val="center"/>
            </w:pPr>
            <w:r>
              <w:rPr>
                <w:rFonts w:ascii="Calibri" w:hAnsi="Calibri"/>
                <w:b w:val="0"/>
                <w:i w:val="0"/>
                <w:color w:val="222222"/>
                <w:sz w:val="20"/>
              </w:rPr>
              <w:t>0.599</w:t>
            </w:r>
          </w:p>
        </w:tc>
        <w:tc>
          <w:tcPr>
            <w:tcW w:type="dxa" w:w="1291"/>
            <w:shd w:val="clear" w:color="auto" w:fill="F7F9FB"/>
            <w:vAlign w:val="center"/>
          </w:tcPr>
          <w:p>
            <w:pPr>
              <w:keepNext/>
              <w:spacing w:after="0"/>
              <w:jc w:val="center"/>
            </w:pPr>
            <w:r>
              <w:rPr>
                <w:rFonts w:ascii="Calibri" w:hAnsi="Calibri"/>
                <w:b w:val="0"/>
                <w:i w:val="0"/>
                <w:color w:val="222222"/>
                <w:sz w:val="20"/>
              </w:rPr>
              <w:t>0.3128</w:t>
            </w:r>
          </w:p>
        </w:tc>
        <w:tc>
          <w:tcPr>
            <w:tcW w:type="dxa" w:w="1589"/>
            <w:shd w:val="clear" w:color="auto" w:fill="F7F9FB"/>
            <w:vAlign w:val="center"/>
          </w:tcPr>
          <w:p>
            <w:pPr>
              <w:keepNext/>
              <w:spacing w:after="0"/>
            </w:pPr>
            <w:r>
              <w:rPr>
                <w:rFonts w:ascii="Calibri" w:hAnsi="Calibri"/>
                <w:b w:val="0"/>
                <w:i w:val="0"/>
                <w:color w:val="222222"/>
                <w:sz w:val="20"/>
              </w:rPr>
              <w:t>well calibrated</w:t>
            </w:r>
          </w:p>
        </w:tc>
      </w:tr>
      <w:tr>
        <w:trPr>
          <w:cantSplit/>
        </w:trPr>
        <w:tc>
          <w:tcPr>
            <w:tcW w:type="dxa" w:w="2537"/>
            <w:shd w:val="clear" w:color="auto" w:fill="FFFFFF"/>
            <w:vAlign w:val="center"/>
          </w:tcPr>
          <w:p>
            <w:pPr>
              <w:keepNext/>
              <w:spacing w:after="0"/>
            </w:pPr>
            <w:r>
              <w:rPr>
                <w:rFonts w:ascii="Consolas" w:hAnsi="Consolas"/>
                <w:b/>
                <w:i w:val="0"/>
                <w:color w:val="222222"/>
                <w:sz w:val="18"/>
              </w:rPr>
              <w:t>log10_forward_ratio</w:t>
            </w:r>
          </w:p>
        </w:tc>
        <w:tc>
          <w:tcPr>
            <w:tcW w:type="dxa" w:w="1787"/>
            <w:shd w:val="clear" w:color="auto" w:fill="FFFFFF"/>
            <w:vAlign w:val="center"/>
          </w:tcPr>
          <w:p>
            <w:pPr>
              <w:keepNext/>
              <w:spacing w:after="0"/>
            </w:pPr>
            <w:r>
              <w:rPr>
                <w:rFonts w:ascii="Calibri" w:hAnsi="Calibri"/>
                <w:b w:val="0"/>
                <w:i w:val="0"/>
                <w:color w:val="222222"/>
                <w:sz w:val="20"/>
              </w:rPr>
              <w:t>axonal pathway asymmetry</w:t>
            </w:r>
          </w:p>
        </w:tc>
        <w:tc>
          <w:tcPr>
            <w:tcW w:type="dxa" w:w="1291"/>
            <w:shd w:val="clear" w:color="auto" w:fill="FFFFFF"/>
            <w:vAlign w:val="center"/>
          </w:tcPr>
          <w:p>
            <w:pPr>
              <w:keepNext/>
              <w:spacing w:after="0"/>
              <w:jc w:val="center"/>
            </w:pPr>
            <w:r>
              <w:rPr>
                <w:rFonts w:ascii="Calibri" w:hAnsi="Calibri"/>
                <w:b w:val="0"/>
                <w:i w:val="0"/>
                <w:color w:val="222222"/>
                <w:sz w:val="20"/>
              </w:rPr>
              <w:t>0.438</w:t>
            </w:r>
          </w:p>
        </w:tc>
        <w:tc>
          <w:tcPr>
            <w:tcW w:type="dxa" w:w="1291"/>
            <w:shd w:val="clear" w:color="auto" w:fill="FFFFFF"/>
            <w:vAlign w:val="center"/>
          </w:tcPr>
          <w:p>
            <w:pPr>
              <w:keepNext/>
              <w:spacing w:after="0"/>
              <w:jc w:val="center"/>
            </w:pPr>
            <w:r>
              <w:rPr>
                <w:rFonts w:ascii="Calibri" w:hAnsi="Calibri"/>
                <w:b w:val="0"/>
                <w:i w:val="0"/>
                <w:color w:val="222222"/>
                <w:sz w:val="20"/>
              </w:rPr>
              <w:t>0.1517</w:t>
            </w:r>
          </w:p>
        </w:tc>
        <w:tc>
          <w:tcPr>
            <w:tcW w:type="dxa" w:w="1589"/>
            <w:shd w:val="clear" w:color="auto" w:fill="FFFFFF"/>
            <w:vAlign w:val="center"/>
          </w:tcPr>
          <w:p>
            <w:pPr>
              <w:keepNext/>
              <w:spacing w:after="0"/>
            </w:pPr>
            <w:r>
              <w:rPr>
                <w:rFonts w:ascii="Calibri" w:hAnsi="Calibri"/>
                <w:b w:val="0"/>
                <w:i w:val="0"/>
                <w:color w:val="222222"/>
                <w:sz w:val="20"/>
              </w:rPr>
              <w:t>well calibrated</w:t>
            </w:r>
          </w:p>
        </w:tc>
      </w:tr>
      <w:tr>
        <w:trPr>
          <w:cantSplit/>
        </w:trPr>
        <w:tc>
          <w:tcPr>
            <w:tcW w:type="dxa" w:w="2537"/>
            <w:shd w:val="clear" w:color="auto" w:fill="F7F9FB"/>
            <w:vAlign w:val="center"/>
          </w:tcPr>
          <w:p>
            <w:pPr>
              <w:keepNext/>
              <w:spacing w:after="0"/>
            </w:pPr>
            <w:r>
              <w:rPr>
                <w:rFonts w:ascii="Consolas" w:hAnsi="Consolas"/>
                <w:b/>
                <w:i w:val="0"/>
                <w:color w:val="222222"/>
                <w:sz w:val="18"/>
              </w:rPr>
              <w:t>gabaa_scale</w:t>
            </w:r>
          </w:p>
        </w:tc>
        <w:tc>
          <w:tcPr>
            <w:tcW w:type="dxa" w:w="1787"/>
            <w:shd w:val="clear" w:color="auto" w:fill="F7F9FB"/>
            <w:vAlign w:val="center"/>
          </w:tcPr>
          <w:p>
            <w:pPr>
              <w:keepNext/>
              <w:spacing w:after="0"/>
            </w:pPr>
            <w:r>
              <w:rPr>
                <w:rFonts w:ascii="Calibri" w:hAnsi="Calibri"/>
                <w:b w:val="0"/>
                <w:i w:val="0"/>
                <w:color w:val="222222"/>
                <w:sz w:val="20"/>
              </w:rPr>
              <w:t>inhibitory synaptic weight</w:t>
            </w:r>
          </w:p>
        </w:tc>
        <w:tc>
          <w:tcPr>
            <w:tcW w:type="dxa" w:w="1291"/>
            <w:shd w:val="clear" w:color="auto" w:fill="F7F9FB"/>
            <w:vAlign w:val="center"/>
          </w:tcPr>
          <w:p>
            <w:pPr>
              <w:keepNext/>
              <w:spacing w:after="0"/>
              <w:jc w:val="center"/>
            </w:pPr>
            <w:r>
              <w:rPr>
                <w:rFonts w:ascii="Calibri" w:hAnsi="Calibri"/>
                <w:b w:val="0"/>
                <w:i w:val="0"/>
                <w:color w:val="222222"/>
                <w:sz w:val="20"/>
              </w:rPr>
              <w:t>0.3</w:t>
            </w:r>
          </w:p>
        </w:tc>
        <w:tc>
          <w:tcPr>
            <w:tcW w:type="dxa" w:w="1291"/>
            <w:shd w:val="clear" w:color="auto" w:fill="F7F9FB"/>
            <w:vAlign w:val="center"/>
          </w:tcPr>
          <w:p>
            <w:pPr>
              <w:keepNext/>
              <w:spacing w:after="0"/>
              <w:jc w:val="center"/>
            </w:pPr>
            <w:r>
              <w:rPr>
                <w:rFonts w:ascii="Calibri" w:hAnsi="Calibri"/>
                <w:b w:val="0"/>
                <w:i w:val="0"/>
                <w:color w:val="222222"/>
                <w:sz w:val="20"/>
              </w:rPr>
              <w:t>0.0174</w:t>
            </w:r>
          </w:p>
        </w:tc>
        <w:tc>
          <w:tcPr>
            <w:tcW w:type="dxa" w:w="1589"/>
            <w:shd w:val="clear" w:color="auto" w:fill="F7F9FB"/>
            <w:vAlign w:val="center"/>
          </w:tcPr>
          <w:p>
            <w:pPr>
              <w:keepNext/>
              <w:spacing w:after="0"/>
            </w:pPr>
            <w:r>
              <w:rPr>
                <w:rFonts w:ascii="Calibri" w:hAnsi="Calibri"/>
                <w:b/>
                <w:i w:val="0"/>
                <w:color w:val="222222"/>
                <w:sz w:val="20"/>
              </w:rPr>
              <w:t>over-confident</w:t>
            </w:r>
          </w:p>
        </w:tc>
      </w:tr>
      <w:tr>
        <w:trPr>
          <w:cantSplit/>
        </w:trPr>
        <w:tc>
          <w:tcPr>
            <w:tcW w:type="dxa" w:w="2537"/>
            <w:shd w:val="clear" w:color="auto" w:fill="FFFFFF"/>
            <w:vAlign w:val="center"/>
          </w:tcPr>
          <w:p>
            <w:pPr>
              <w:keepNext w:val="0"/>
              <w:spacing w:after="0"/>
            </w:pPr>
            <w:r>
              <w:rPr>
                <w:rFonts w:ascii="Consolas" w:hAnsi="Consolas"/>
                <w:b/>
                <w:i w:val="0"/>
                <w:color w:val="222222"/>
                <w:sz w:val="18"/>
              </w:rPr>
              <w:t>inter_in_degree</w:t>
            </w:r>
          </w:p>
        </w:tc>
        <w:tc>
          <w:tcPr>
            <w:tcW w:type="dxa" w:w="1787"/>
            <w:shd w:val="clear" w:color="auto" w:fill="FFFFFF"/>
            <w:vAlign w:val="center"/>
          </w:tcPr>
          <w:p>
            <w:pPr>
              <w:keepNext w:val="0"/>
              <w:spacing w:after="0"/>
            </w:pPr>
            <w:r>
              <w:rPr>
                <w:rFonts w:ascii="Calibri" w:hAnsi="Calibri"/>
                <w:b w:val="0"/>
                <w:i w:val="0"/>
                <w:color w:val="222222"/>
                <w:sz w:val="20"/>
              </w:rPr>
              <w:t>cross-chamber connectivity</w:t>
            </w:r>
          </w:p>
        </w:tc>
        <w:tc>
          <w:tcPr>
            <w:tcW w:type="dxa" w:w="1291"/>
            <w:shd w:val="clear" w:color="auto" w:fill="FFFFFF"/>
            <w:vAlign w:val="center"/>
          </w:tcPr>
          <w:p>
            <w:pPr>
              <w:keepNext w:val="0"/>
              <w:spacing w:after="0"/>
              <w:jc w:val="center"/>
            </w:pPr>
            <w:r>
              <w:rPr>
                <w:rFonts w:ascii="Calibri" w:hAnsi="Calibri"/>
                <w:b w:val="0"/>
                <w:i w:val="0"/>
                <w:color w:val="222222"/>
                <w:sz w:val="20"/>
              </w:rPr>
              <w:t>0.269</w:t>
            </w:r>
          </w:p>
        </w:tc>
        <w:tc>
          <w:tcPr>
            <w:tcW w:type="dxa" w:w="1291"/>
            <w:shd w:val="clear" w:color="auto" w:fill="FFFFFF"/>
            <w:vAlign w:val="center"/>
          </w:tcPr>
          <w:p>
            <w:pPr>
              <w:keepNext w:val="0"/>
              <w:spacing w:after="0"/>
              <w:jc w:val="center"/>
            </w:pPr>
            <w:r>
              <w:rPr>
                <w:rFonts w:ascii="Calibri" w:hAnsi="Calibri"/>
                <w:b w:val="0"/>
                <w:i w:val="0"/>
                <w:color w:val="222222"/>
                <w:sz w:val="20"/>
              </w:rPr>
              <w:t>0.0121</w:t>
            </w:r>
          </w:p>
        </w:tc>
        <w:tc>
          <w:tcPr>
            <w:tcW w:type="dxa" w:w="1589"/>
            <w:shd w:val="clear" w:color="auto" w:fill="FFFFFF"/>
            <w:vAlign w:val="center"/>
          </w:tcPr>
          <w:p>
            <w:pPr>
              <w:keepNext w:val="0"/>
              <w:spacing w:after="0"/>
            </w:pPr>
            <w:r>
              <w:rPr>
                <w:rFonts w:ascii="Calibri" w:hAnsi="Calibri"/>
                <w:b/>
                <w:i w:val="0"/>
                <w:color w:val="222222"/>
                <w:sz w:val="20"/>
              </w:rPr>
              <w:t>over-confident</w:t>
            </w:r>
          </w:p>
        </w:tc>
      </w:tr>
    </w:tbl>
    <w:p>
      <w:pPr>
        <w:spacing w:after="80"/>
      </w:pPr>
    </w:p>
    <w:p>
      <w:pPr>
        <w:spacing w:after="120"/>
      </w:pPr>
      <w:r>
        <w:rPr>
          <w:rFonts w:ascii="Calibri" w:hAnsi="Calibri"/>
          <w:b w:val="0"/>
          <w:i w:val="0"/>
          <w:color w:val="222222"/>
          <w:sz w:val="21"/>
        </w:rPr>
        <w:t xml:space="preserve">Contraction measures how much narrower the posterior is than the prior; 0 means the model learned nothing. Rank uniformity asks whether the stated intervals are honest. Three knobs pass. Inhibitory transmission does not — and it is the knob our pharmacology sections depend on, so </w:t>
      </w:r>
      <w:r>
        <w:rPr>
          <w:rFonts w:ascii="Calibri" w:hAnsi="Calibri"/>
          <w:b/>
          <w:i w:val="0"/>
          <w:color w:val="222222"/>
          <w:sz w:val="21"/>
        </w:rPr>
        <w:t>we do not quote its intervals as calibrated.</w:t>
      </w:r>
      <w:r>
        <w:rPr>
          <w:rFonts w:ascii="Calibri" w:hAnsi="Calibri"/>
          <w:b w:val="0"/>
          <w:i w:val="0"/>
          <w:color w:val="222222"/>
          <w:sz w:val="21"/>
        </w:rPr>
        <w:t xml:space="preserve"> Before the density correction (§13), no parameter passed and a fifth of our simulations were silent; now 0 are. Simulating at the calibrated density brought three knobs into calibration. Appendix G shows the full rank histograms.</w:t>
      </w:r>
    </w:p>
    <w:p>
      <w:pPr>
        <w:spacing w:after="120"/>
      </w:pPr>
      <w:r>
        <w:rPr>
          <w:rFonts w:ascii="Calibri" w:hAnsi="Calibri"/>
          <w:b/>
          <w:i w:val="0"/>
          <w:color w:val="156082"/>
          <w:sz w:val="21"/>
        </w:rPr>
        <w:t>The false-disinhibition artifact.</w:t>
      </w:r>
      <w:r>
        <w:rPr>
          <w:rFonts w:ascii="Calibri" w:hAnsi="Calibri"/>
          <w:b w:val="0"/>
          <w:i w:val="0"/>
          <w:color w:val="222222"/>
          <w:sz w:val="21"/>
        </w:rPr>
        <w:t xml:space="preserve"> When we applied the model to real untreated chips, it returned an inferred inhibition scale of 0.5219 on an interval of 0.2732 to 0.8503 — apparent disinhibition in wells that had received no drug. That is not biology. It is the model's way of saying "real recordings do not look like my simulations," in the only vocabulary it has. When we reformulated inference around paired deltas, untreated chips moved to 0.9108 on 0.8583 to 0.966, and contraction rose to 0.5375. Most of the offset disappears, but not all of it: the interval still stops short of neutral.</w:t>
      </w:r>
    </w:p>
    <w:p>
      <w:pPr>
        <w:spacing w:after="120"/>
      </w:pPr>
      <w:r>
        <w:rPr>
          <w:rFonts w:ascii="Calibri" w:hAnsi="Calibri"/>
          <w:b/>
          <w:i w:val="0"/>
          <w:color w:val="156082"/>
          <w:sz w:val="21"/>
        </w:rPr>
        <w:t>Out-of-distribution rejection.</w:t>
      </w:r>
      <w:r>
        <w:rPr>
          <w:rFonts w:ascii="Calibri" w:hAnsi="Calibri"/>
          <w:b w:val="0"/>
          <w:i w:val="0"/>
          <w:color w:val="222222"/>
          <w:sz w:val="21"/>
        </w:rPr>
        <w:t xml:space="preserve"> We asked for 200 draws per recording across 113 bicuculline trials, and the posterior could not deliver them for 9 of those recordings; the worst yielded only 1 draw, and 0 failed outright. This only appeared once the twin moved to its calibrated density: a posterior fitted to a sharper forward model is less forgiving of observations that model cannot produce. In effect the posterior carries a built-in out-of-distribution flag: a recording it cannot sample from is one the twin cannot produce, and in high-content screening that recording should go to a person rather than get a forced answer. We have not measured how well this flag separates genuine anomalies from ordinary recordings, so we report it as a behavior, not as a validated detector.</w:t>
      </w:r>
    </w:p>
    <w:p>
      <w:pPr>
        <w:keepNext/>
        <w:spacing w:before="240" w:after="60"/>
      </w:pPr>
      <w:r>
        <w:rPr>
          <w:rFonts w:ascii="Calibri" w:hAnsi="Calibri"/>
          <w:b/>
          <w:i w:val="0"/>
          <w:color w:val="1F4E79"/>
          <w:sz w:val="23"/>
        </w:rPr>
        <w:t>17. What it takes to see directionality at all</w:t>
      </w:r>
    </w:p>
    <w:p>
      <w:pPr>
        <w:spacing w:after="120"/>
      </w:pPr>
      <w:r>
        <w:rPr>
          <w:rFonts w:ascii="Calibri" w:hAnsi="Calibri"/>
          <w:b w:val="0"/>
          <w:i w:val="0"/>
          <w:color w:val="222222"/>
          <w:sz w:val="21"/>
        </w:rPr>
        <w:t>One thing a twin is genuinely good at is telling you how much experiment you need. Across 120 simulated networks with known wiring, the cheapest configuration that reaches our target distinguishes asymmetric from symmetric wiring with an AUC of 0.8928, using 24 electrodes per compartment and a 10-second recording.</w:t>
      </w:r>
    </w:p>
    <w:p>
      <w:pPr>
        <w:spacing w:after="120"/>
      </w:pPr>
      <w:r>
        <w:rPr>
          <w:rFonts w:ascii="Calibri" w:hAnsi="Calibri"/>
          <w:b/>
          <w:i w:val="0"/>
          <w:color w:val="156082"/>
          <w:sz w:val="21"/>
        </w:rPr>
        <w:t>The hidden catch.</w:t>
      </w:r>
      <w:r>
        <w:rPr>
          <w:rFonts w:ascii="Calibri" w:hAnsi="Calibri"/>
          <w:b w:val="0"/>
          <w:i w:val="0"/>
          <w:color w:val="222222"/>
          <w:sz w:val="21"/>
        </w:rPr>
        <w:t xml:space="preserve"> Most of that signal is firing rate, not direction. A directional pathway delivers more excitation to its target chamber, so the target simply fires more. If we lower the receiving chamber's background drive, measured coupling asymmetry moves from 0.109 to 0.681 with the wiring unchanged. Across the sweep, drive moves the measure further than wiring does: a span of 0.671 against 0.109. Regress firing rate out of the features, inside each training fold, and the cheapest configuration doubles to 48 electrodes per compartment. Twenty-four electrodes and ten seconds will tell these cultures apart, but claiming that this reflects directional communication requires explicit rate-matching controls.</w:t>
      </w:r>
    </w:p>
    <w:p>
      <w:pPr>
        <w:keepNext/>
        <w:spacing w:before="360" w:after="120"/>
      </w:pPr>
      <w:r>
        <w:rPr>
          <w:rFonts w:ascii="Calibri" w:hAnsi="Calibri"/>
          <w:b/>
          <w:i w:val="0"/>
          <w:color w:val="2F5597"/>
          <w:sz w:val="27"/>
        </w:rPr>
        <w:t>ACT V: The negative results and scientific boundaries</w:t>
      </w:r>
    </w:p>
    <w:p>
      <w:pPr>
        <w:keepNext/>
        <w:spacing w:before="240" w:after="60"/>
      </w:pPr>
      <w:r>
        <w:rPr>
          <w:rFonts w:ascii="Calibri" w:hAnsi="Calibri"/>
          <w:b/>
          <w:i w:val="0"/>
          <w:color w:val="1F4E79"/>
          <w:sz w:val="23"/>
        </w:rPr>
        <w:t>18. Collection of negative results</w:t>
      </w:r>
    </w:p>
    <w:p>
      <w:pPr>
        <w:keepNext/>
        <w:spacing w:after="120"/>
      </w:pPr>
      <w:r>
        <w:rPr>
          <w:rFonts w:ascii="Calibri" w:hAnsi="Calibri"/>
          <w:b w:val="0"/>
          <w:i w:val="0"/>
          <w:color w:val="222222"/>
          <w:sz w:val="21"/>
        </w:rPr>
        <w:t>Negative results are easy to miss when they are scattered through a long report. Collected in one place, they are the part of our work we would most like to see challenged — and the part most likely to save someone else an experiment. Each one tells you what not to rely on, so the last column says what we would do instead.</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312"/>
        <w:gridCol w:w="2290"/>
        <w:gridCol w:w="2461"/>
        <w:gridCol w:w="3433"/>
      </w:tblGrid>
      <w:tr>
        <w:trPr>
          <w:cantSplit/>
          <w:tblHeader/>
        </w:trPr>
        <w:tc>
          <w:tcPr>
            <w:tcW w:type="dxa" w:w="312"/>
            <w:shd w:val="clear" w:color="auto" w:fill="1F4E79"/>
            <w:vAlign w:val="center"/>
          </w:tcPr>
          <w:p>
            <w:pPr>
              <w:keepNext/>
              <w:spacing w:after="0"/>
              <w:jc w:val="center"/>
            </w:pPr>
            <w:r>
              <w:rPr>
                <w:rFonts w:ascii="Calibri" w:hAnsi="Calibri"/>
                <w:b/>
                <w:i w:val="0"/>
                <w:color w:val="FFFFFF"/>
                <w:sz w:val="20"/>
              </w:rPr>
              <w:t>#</w:t>
            </w:r>
          </w:p>
        </w:tc>
        <w:tc>
          <w:tcPr>
            <w:tcW w:type="dxa" w:w="2290"/>
            <w:shd w:val="clear" w:color="auto" w:fill="1F4E79"/>
            <w:vAlign w:val="center"/>
          </w:tcPr>
          <w:p>
            <w:pPr>
              <w:keepNext/>
              <w:spacing w:after="0"/>
            </w:pPr>
            <w:r>
              <w:rPr>
                <w:rFonts w:ascii="Calibri" w:hAnsi="Calibri"/>
                <w:b/>
                <w:i w:val="0"/>
                <w:color w:val="FFFFFF"/>
                <w:sz w:val="20"/>
              </w:rPr>
              <w:t>finding</w:t>
            </w:r>
          </w:p>
        </w:tc>
        <w:tc>
          <w:tcPr>
            <w:tcW w:type="dxa" w:w="2461"/>
            <w:shd w:val="clear" w:color="auto" w:fill="1F4E79"/>
            <w:vAlign w:val="center"/>
          </w:tcPr>
          <w:p>
            <w:pPr>
              <w:keepNext/>
              <w:spacing w:after="0"/>
            </w:pPr>
            <w:r>
              <w:rPr>
                <w:rFonts w:ascii="Calibri" w:hAnsi="Calibri"/>
                <w:b/>
                <w:i w:val="0"/>
                <w:color w:val="FFFFFF"/>
                <w:sz w:val="20"/>
              </w:rPr>
              <w:t>evidence</w:t>
            </w:r>
          </w:p>
        </w:tc>
        <w:tc>
          <w:tcPr>
            <w:tcW w:type="dxa" w:w="3433"/>
            <w:shd w:val="clear" w:color="auto" w:fill="1F4E79"/>
            <w:vAlign w:val="center"/>
          </w:tcPr>
          <w:p>
            <w:pPr>
              <w:keepNext/>
              <w:spacing w:after="0"/>
            </w:pPr>
            <w:r>
              <w:rPr>
                <w:rFonts w:ascii="Calibri" w:hAnsi="Calibri"/>
                <w:b/>
                <w:i w:val="0"/>
                <w:color w:val="FFFFFF"/>
                <w:sz w:val="20"/>
              </w:rPr>
              <w:t>what to do instead</w:t>
            </w:r>
          </w:p>
        </w:tc>
      </w:tr>
      <w:tr>
        <w:trPr>
          <w:cantSplit/>
        </w:trPr>
        <w:tc>
          <w:tcPr>
            <w:tcW w:type="dxa" w:w="312"/>
            <w:shd w:val="clear" w:color="auto" w:fill="FFFFFF"/>
            <w:vAlign w:val="center"/>
          </w:tcPr>
          <w:p>
            <w:pPr>
              <w:keepNext/>
              <w:spacing w:after="0"/>
              <w:jc w:val="center"/>
            </w:pPr>
            <w:r>
              <w:rPr>
                <w:rFonts w:ascii="Calibri" w:hAnsi="Calibri"/>
                <w:b/>
                <w:i w:val="0"/>
                <w:color w:val="222222"/>
                <w:sz w:val="20"/>
              </w:rPr>
              <w:t>1</w:t>
            </w:r>
          </w:p>
        </w:tc>
        <w:tc>
          <w:tcPr>
            <w:tcW w:type="dxa" w:w="2290"/>
            <w:shd w:val="clear" w:color="auto" w:fill="FFFFFF"/>
            <w:vAlign w:val="center"/>
          </w:tcPr>
          <w:p>
            <w:pPr>
              <w:keepNext/>
              <w:spacing w:after="0"/>
            </w:pPr>
            <w:r>
              <w:rPr>
                <w:rFonts w:ascii="Calibri" w:hAnsi="Calibri"/>
                <w:b w:val="0"/>
                <w:i w:val="0"/>
                <w:color w:val="222222"/>
                <w:sz w:val="20"/>
              </w:rPr>
              <w:t>the twin misses a dose trend the features carry</w:t>
            </w:r>
          </w:p>
        </w:tc>
        <w:tc>
          <w:tcPr>
            <w:tcW w:type="dxa" w:w="2461"/>
            <w:shd w:val="clear" w:color="auto" w:fill="FFFFFF"/>
            <w:vAlign w:val="center"/>
          </w:tcPr>
          <w:p>
            <w:pPr>
              <w:keepNext/>
              <w:spacing w:after="0"/>
            </w:pPr>
            <w:r>
              <w:rPr>
                <w:rFonts w:ascii="Calibri" w:hAnsi="Calibri"/>
                <w:b w:val="0"/>
                <w:i w:val="0"/>
                <w:color w:val="222222"/>
                <w:sz w:val="20"/>
              </w:rPr>
              <w:t>2 of 7 features fall with dose; inferred inhibition does not (ρ = −0.121)</w:t>
            </w:r>
          </w:p>
        </w:tc>
        <w:tc>
          <w:tcPr>
            <w:tcW w:type="dxa" w:w="3433"/>
            <w:shd w:val="clear" w:color="auto" w:fill="FFFFFF"/>
            <w:vAlign w:val="center"/>
          </w:tcPr>
          <w:p>
            <w:pPr>
              <w:keepNext/>
              <w:spacing w:after="0"/>
            </w:pPr>
            <w:r>
              <w:rPr>
                <w:rFonts w:ascii="Calibri" w:hAnsi="Calibri"/>
                <w:b w:val="0"/>
                <w:i w:val="0"/>
                <w:color w:val="222222"/>
                <w:sz w:val="20"/>
              </w:rPr>
              <w:t>read dose from burst rates against each device's own baseline; do not use the twin's dose inference until it recovers that trend</w:t>
            </w:r>
          </w:p>
        </w:tc>
      </w:tr>
      <w:tr>
        <w:trPr>
          <w:cantSplit/>
        </w:trPr>
        <w:tc>
          <w:tcPr>
            <w:tcW w:type="dxa" w:w="312"/>
            <w:shd w:val="clear" w:color="auto" w:fill="F7F9FB"/>
            <w:vAlign w:val="center"/>
          </w:tcPr>
          <w:p>
            <w:pPr>
              <w:keepNext/>
              <w:spacing w:after="0"/>
              <w:jc w:val="center"/>
            </w:pPr>
            <w:r>
              <w:rPr>
                <w:rFonts w:ascii="Calibri" w:hAnsi="Calibri"/>
                <w:b/>
                <w:i w:val="0"/>
                <w:color w:val="222222"/>
                <w:sz w:val="20"/>
              </w:rPr>
              <w:t>2</w:t>
            </w:r>
          </w:p>
        </w:tc>
        <w:tc>
          <w:tcPr>
            <w:tcW w:type="dxa" w:w="2290"/>
            <w:shd w:val="clear" w:color="auto" w:fill="F7F9FB"/>
            <w:vAlign w:val="center"/>
          </w:tcPr>
          <w:p>
            <w:pPr>
              <w:keepNext/>
              <w:spacing w:after="0"/>
            </w:pPr>
            <w:r>
              <w:rPr>
                <w:rFonts w:ascii="Calibri" w:hAnsi="Calibri"/>
                <w:b w:val="0"/>
                <w:i w:val="0"/>
                <w:color w:val="222222"/>
                <w:sz w:val="20"/>
              </w:rPr>
              <w:t>chamber readouts miss direction</w:t>
            </w:r>
          </w:p>
        </w:tc>
        <w:tc>
          <w:tcPr>
            <w:tcW w:type="dxa" w:w="2461"/>
            <w:shd w:val="clear" w:color="auto" w:fill="F7F9FB"/>
            <w:vAlign w:val="center"/>
          </w:tcPr>
          <w:p>
            <w:pPr>
              <w:keepNext/>
              <w:spacing w:after="0"/>
            </w:pPr>
            <w:r>
              <w:rPr>
                <w:rFonts w:ascii="Calibri" w:hAnsi="Calibri"/>
                <w:b w:val="0"/>
                <w:i w:val="0"/>
                <w:color w:val="222222"/>
                <w:sz w:val="20"/>
              </w:rPr>
              <w:t>chamber classifier 0.3854 against 0.5 chance</w:t>
            </w:r>
          </w:p>
        </w:tc>
        <w:tc>
          <w:tcPr>
            <w:tcW w:type="dxa" w:w="3433"/>
            <w:shd w:val="clear" w:color="auto" w:fill="F7F9FB"/>
            <w:vAlign w:val="center"/>
          </w:tcPr>
          <w:p>
            <w:pPr>
              <w:keepNext/>
              <w:spacing w:after="0"/>
            </w:pPr>
            <w:r>
              <w:rPr>
                <w:rFonts w:ascii="Calibri" w:hAnsi="Calibri"/>
                <w:b w:val="0"/>
                <w:i w:val="0"/>
                <w:color w:val="222222"/>
                <w:sz w:val="20"/>
              </w:rPr>
              <w:t>put electrodes inside the microchannels</w:t>
            </w:r>
          </w:p>
        </w:tc>
      </w:tr>
      <w:tr>
        <w:trPr>
          <w:cantSplit/>
        </w:trPr>
        <w:tc>
          <w:tcPr>
            <w:tcW w:type="dxa" w:w="312"/>
            <w:shd w:val="clear" w:color="auto" w:fill="FFFFFF"/>
            <w:vAlign w:val="center"/>
          </w:tcPr>
          <w:p>
            <w:pPr>
              <w:keepNext/>
              <w:spacing w:after="0"/>
              <w:jc w:val="center"/>
            </w:pPr>
            <w:r>
              <w:rPr>
                <w:rFonts w:ascii="Calibri" w:hAnsi="Calibri"/>
                <w:b/>
                <w:i w:val="0"/>
                <w:color w:val="222222"/>
                <w:sz w:val="20"/>
              </w:rPr>
              <w:t>3</w:t>
            </w:r>
          </w:p>
        </w:tc>
        <w:tc>
          <w:tcPr>
            <w:tcW w:type="dxa" w:w="2290"/>
            <w:shd w:val="clear" w:color="auto" w:fill="FFFFFF"/>
            <w:vAlign w:val="center"/>
          </w:tcPr>
          <w:p>
            <w:pPr>
              <w:keepNext/>
              <w:spacing w:after="0"/>
            </w:pPr>
            <w:r>
              <w:rPr>
                <w:rFonts w:ascii="Calibri" w:hAnsi="Calibri"/>
                <w:b w:val="0"/>
                <w:i w:val="0"/>
                <w:color w:val="222222"/>
                <w:sz w:val="20"/>
              </w:rPr>
              <w:t>no cross-laboratory transfer</w:t>
            </w:r>
          </w:p>
        </w:tc>
        <w:tc>
          <w:tcPr>
            <w:tcW w:type="dxa" w:w="2461"/>
            <w:shd w:val="clear" w:color="auto" w:fill="FFFFFF"/>
            <w:vAlign w:val="center"/>
          </w:tcPr>
          <w:p>
            <w:pPr>
              <w:keepNext/>
              <w:spacing w:after="0"/>
            </w:pPr>
            <w:r>
              <w:rPr>
                <w:rFonts w:ascii="Calibri" w:hAnsi="Calibri"/>
                <w:b w:val="0"/>
                <w:i w:val="0"/>
                <w:color w:val="222222"/>
                <w:sz w:val="20"/>
              </w:rPr>
              <w:t>0.3482 against 0.3333 chance</w:t>
            </w:r>
          </w:p>
        </w:tc>
        <w:tc>
          <w:tcPr>
            <w:tcW w:type="dxa" w:w="3433"/>
            <w:shd w:val="clear" w:color="auto" w:fill="FFFFFF"/>
            <w:vAlign w:val="center"/>
          </w:tcPr>
          <w:p>
            <w:pPr>
              <w:keepNext/>
              <w:spacing w:after="0"/>
            </w:pPr>
            <w:r>
              <w:rPr>
                <w:rFonts w:ascii="Calibri" w:hAnsi="Calibri"/>
                <w:b w:val="0"/>
                <w:i w:val="0"/>
                <w:color w:val="222222"/>
                <w:sz w:val="20"/>
              </w:rPr>
              <w:t>validate inside one laboratory; a cross-laboratory test needs two laboratories sharing at least two classes</w:t>
            </w:r>
          </w:p>
        </w:tc>
      </w:tr>
      <w:tr>
        <w:trPr>
          <w:cantSplit/>
        </w:trPr>
        <w:tc>
          <w:tcPr>
            <w:tcW w:type="dxa" w:w="312"/>
            <w:shd w:val="clear" w:color="auto" w:fill="F7F9FB"/>
            <w:vAlign w:val="center"/>
          </w:tcPr>
          <w:p>
            <w:pPr>
              <w:keepNext/>
              <w:spacing w:after="0"/>
              <w:jc w:val="center"/>
            </w:pPr>
            <w:r>
              <w:rPr>
                <w:rFonts w:ascii="Calibri" w:hAnsi="Calibri"/>
                <w:b/>
                <w:i w:val="0"/>
                <w:color w:val="222222"/>
                <w:sz w:val="20"/>
              </w:rPr>
              <w:t>4</w:t>
            </w:r>
          </w:p>
        </w:tc>
        <w:tc>
          <w:tcPr>
            <w:tcW w:type="dxa" w:w="2290"/>
            <w:shd w:val="clear" w:color="auto" w:fill="F7F9FB"/>
            <w:vAlign w:val="center"/>
          </w:tcPr>
          <w:p>
            <w:pPr>
              <w:keepNext/>
              <w:spacing w:after="0"/>
            </w:pPr>
            <w:r>
              <w:rPr>
                <w:rFonts w:ascii="Calibri" w:hAnsi="Calibri"/>
                <w:b w:val="0"/>
                <w:i w:val="0"/>
                <w:color w:val="222222"/>
                <w:sz w:val="20"/>
              </w:rPr>
              <w:t>domain adaptation backfires</w:t>
            </w:r>
          </w:p>
        </w:tc>
        <w:tc>
          <w:tcPr>
            <w:tcW w:type="dxa" w:w="2461"/>
            <w:shd w:val="clear" w:color="auto" w:fill="F7F9FB"/>
            <w:vAlign w:val="center"/>
          </w:tcPr>
          <w:p>
            <w:pPr>
              <w:keepNext/>
              <w:spacing w:after="0"/>
            </w:pPr>
            <w:r>
              <w:rPr>
                <w:rFonts w:ascii="Calibri" w:hAnsi="Calibri"/>
                <w:b w:val="0"/>
                <w:i w:val="0"/>
                <w:color w:val="222222"/>
                <w:sz w:val="20"/>
              </w:rPr>
              <w:t>CORAL drops transfer to 0.442, standardization to 0.408</w:t>
            </w:r>
          </w:p>
        </w:tc>
        <w:tc>
          <w:tcPr>
            <w:tcW w:type="dxa" w:w="3433"/>
            <w:shd w:val="clear" w:color="auto" w:fill="F7F9FB"/>
            <w:vAlign w:val="center"/>
          </w:tcPr>
          <w:p>
            <w:pPr>
              <w:keepNext/>
              <w:spacing w:after="0"/>
            </w:pPr>
            <w:r>
              <w:rPr>
                <w:rFonts w:ascii="Calibri" w:hAnsi="Calibri"/>
                <w:b w:val="0"/>
                <w:i w:val="0"/>
                <w:color w:val="222222"/>
                <w:sz w:val="20"/>
              </w:rPr>
              <w:t>report the unadapted transfer first; adapt only once it beats that on held-out cultures</w:t>
            </w:r>
          </w:p>
        </w:tc>
      </w:tr>
      <w:tr>
        <w:trPr>
          <w:cantSplit/>
        </w:trPr>
        <w:tc>
          <w:tcPr>
            <w:tcW w:type="dxa" w:w="312"/>
            <w:shd w:val="clear" w:color="auto" w:fill="FFFFFF"/>
            <w:vAlign w:val="center"/>
          </w:tcPr>
          <w:p>
            <w:pPr>
              <w:keepNext/>
              <w:spacing w:after="0"/>
              <w:jc w:val="center"/>
            </w:pPr>
            <w:r>
              <w:rPr>
                <w:rFonts w:ascii="Calibri" w:hAnsi="Calibri"/>
                <w:b/>
                <w:i w:val="0"/>
                <w:color w:val="222222"/>
                <w:sz w:val="20"/>
              </w:rPr>
              <w:t>5</w:t>
            </w:r>
          </w:p>
        </w:tc>
        <w:tc>
          <w:tcPr>
            <w:tcW w:type="dxa" w:w="2290"/>
            <w:shd w:val="clear" w:color="auto" w:fill="FFFFFF"/>
            <w:vAlign w:val="center"/>
          </w:tcPr>
          <w:p>
            <w:pPr>
              <w:keepNext/>
              <w:spacing w:after="0"/>
            </w:pPr>
            <w:r>
              <w:rPr>
                <w:rFonts w:ascii="Calibri" w:hAnsi="Calibri"/>
                <w:b w:val="0"/>
                <w:i w:val="0"/>
                <w:color w:val="222222"/>
                <w:sz w:val="20"/>
              </w:rPr>
              <w:t>synchrony was an artifact</w:t>
            </w:r>
          </w:p>
        </w:tc>
        <w:tc>
          <w:tcPr>
            <w:tcW w:type="dxa" w:w="2461"/>
            <w:shd w:val="clear" w:color="auto" w:fill="FFFFFF"/>
            <w:vAlign w:val="center"/>
          </w:tcPr>
          <w:p>
            <w:pPr>
              <w:keepNext/>
              <w:spacing w:after="0"/>
            </w:pPr>
            <w:r>
              <w:rPr>
                <w:rFonts w:ascii="Calibri" w:hAnsi="Calibri"/>
                <w:b w:val="0"/>
                <w:i w:val="0"/>
                <w:color w:val="222222"/>
                <w:sz w:val="20"/>
              </w:rPr>
              <w:t>depression and delay dispersion fail to fix synchrony</w:t>
            </w:r>
          </w:p>
        </w:tc>
        <w:tc>
          <w:tcPr>
            <w:tcW w:type="dxa" w:w="3433"/>
            <w:shd w:val="clear" w:color="auto" w:fill="FFFFFF"/>
            <w:vAlign w:val="center"/>
          </w:tcPr>
          <w:p>
            <w:pPr>
              <w:keepNext/>
              <w:spacing w:after="0"/>
            </w:pPr>
            <w:r>
              <w:rPr>
                <w:rFonts w:ascii="Calibri" w:hAnsi="Calibri"/>
                <w:b w:val="0"/>
                <w:i w:val="0"/>
                <w:color w:val="222222"/>
                <w:sz w:val="20"/>
              </w:rPr>
              <w:t>match cell density to culture and cap each electrode's radius at half the pitch (§13)</w:t>
            </w:r>
          </w:p>
        </w:tc>
      </w:tr>
      <w:tr>
        <w:trPr>
          <w:cantSplit/>
        </w:trPr>
        <w:tc>
          <w:tcPr>
            <w:tcW w:type="dxa" w:w="312"/>
            <w:shd w:val="clear" w:color="auto" w:fill="F7F9FB"/>
            <w:vAlign w:val="center"/>
          </w:tcPr>
          <w:p>
            <w:pPr>
              <w:keepNext/>
              <w:spacing w:after="0"/>
              <w:jc w:val="center"/>
            </w:pPr>
            <w:r>
              <w:rPr>
                <w:rFonts w:ascii="Calibri" w:hAnsi="Calibri"/>
                <w:b/>
                <w:i w:val="0"/>
                <w:color w:val="222222"/>
                <w:sz w:val="20"/>
              </w:rPr>
              <w:t>6</w:t>
            </w:r>
          </w:p>
        </w:tc>
        <w:tc>
          <w:tcPr>
            <w:tcW w:type="dxa" w:w="2290"/>
            <w:shd w:val="clear" w:color="auto" w:fill="F7F9FB"/>
            <w:vAlign w:val="center"/>
          </w:tcPr>
          <w:p>
            <w:pPr>
              <w:keepNext/>
              <w:spacing w:after="0"/>
            </w:pPr>
            <w:r>
              <w:rPr>
                <w:rFonts w:ascii="Calibri" w:hAnsi="Calibri"/>
                <w:b w:val="0"/>
                <w:i w:val="0"/>
                <w:color w:val="222222"/>
                <w:sz w:val="20"/>
              </w:rPr>
              <w:t>posterior over-confidence</w:t>
            </w:r>
          </w:p>
        </w:tc>
        <w:tc>
          <w:tcPr>
            <w:tcW w:type="dxa" w:w="2461"/>
            <w:shd w:val="clear" w:color="auto" w:fill="F7F9FB"/>
            <w:vAlign w:val="center"/>
          </w:tcPr>
          <w:p>
            <w:pPr>
              <w:keepNext/>
              <w:spacing w:after="0"/>
            </w:pPr>
            <w:r>
              <w:rPr>
                <w:rFonts w:ascii="Consolas" w:hAnsi="Consolas"/>
                <w:b w:val="0"/>
                <w:i w:val="0"/>
                <w:color w:val="222222"/>
                <w:sz w:val="18"/>
              </w:rPr>
              <w:t>gabaa_scale</w:t>
            </w:r>
            <w:r>
              <w:rPr>
                <w:rFonts w:ascii="Calibri" w:hAnsi="Calibri"/>
                <w:b w:val="0"/>
                <w:i w:val="0"/>
                <w:color w:val="222222"/>
                <w:sz w:val="20"/>
              </w:rPr>
              <w:t xml:space="preserve"> fails rank uniformity at p = 0.0174</w:t>
            </w:r>
          </w:p>
        </w:tc>
        <w:tc>
          <w:tcPr>
            <w:tcW w:type="dxa" w:w="3433"/>
            <w:shd w:val="clear" w:color="auto" w:fill="F7F9FB"/>
            <w:vAlign w:val="center"/>
          </w:tcPr>
          <w:p>
            <w:pPr>
              <w:keepNext/>
              <w:spacing w:after="0"/>
            </w:pPr>
            <w:r>
              <w:rPr>
                <w:rFonts w:ascii="Calibri" w:hAnsi="Calibri"/>
                <w:b w:val="0"/>
                <w:i w:val="0"/>
                <w:color w:val="222222"/>
                <w:sz w:val="20"/>
              </w:rPr>
              <w:t>check rank uniformity before quoting an interval; quote only parameters that pass</w:t>
            </w:r>
          </w:p>
        </w:tc>
      </w:tr>
      <w:tr>
        <w:trPr>
          <w:cantSplit/>
        </w:trPr>
        <w:tc>
          <w:tcPr>
            <w:tcW w:type="dxa" w:w="312"/>
            <w:shd w:val="clear" w:color="auto" w:fill="FFFFFF"/>
            <w:vAlign w:val="center"/>
          </w:tcPr>
          <w:p>
            <w:pPr>
              <w:keepNext/>
              <w:spacing w:after="0"/>
              <w:jc w:val="center"/>
            </w:pPr>
            <w:r>
              <w:rPr>
                <w:rFonts w:ascii="Calibri" w:hAnsi="Calibri"/>
                <w:b/>
                <w:i w:val="0"/>
                <w:color w:val="222222"/>
                <w:sz w:val="20"/>
              </w:rPr>
              <w:t>7</w:t>
            </w:r>
          </w:p>
        </w:tc>
        <w:tc>
          <w:tcPr>
            <w:tcW w:type="dxa" w:w="2290"/>
            <w:shd w:val="clear" w:color="auto" w:fill="FFFFFF"/>
            <w:vAlign w:val="center"/>
          </w:tcPr>
          <w:p>
            <w:pPr>
              <w:keepNext/>
              <w:spacing w:after="0"/>
            </w:pPr>
            <w:r>
              <w:rPr>
                <w:rFonts w:ascii="Calibri" w:hAnsi="Calibri"/>
                <w:b w:val="0"/>
                <w:i w:val="0"/>
                <w:color w:val="222222"/>
                <w:sz w:val="20"/>
              </w:rPr>
              <w:t>baseline read as drug effect</w:t>
            </w:r>
          </w:p>
        </w:tc>
        <w:tc>
          <w:tcPr>
            <w:tcW w:type="dxa" w:w="2461"/>
            <w:shd w:val="clear" w:color="auto" w:fill="FFFFFF"/>
            <w:vAlign w:val="center"/>
          </w:tcPr>
          <w:p>
            <w:pPr>
              <w:keepNext/>
              <w:spacing w:after="0"/>
            </w:pPr>
            <w:r>
              <w:rPr>
                <w:rFonts w:ascii="Calibri" w:hAnsi="Calibri"/>
                <w:b w:val="0"/>
                <w:i w:val="0"/>
                <w:color w:val="222222"/>
                <w:sz w:val="20"/>
              </w:rPr>
              <w:t>absolute features infer 0.5219 inhibition scale on untreated chips</w:t>
            </w:r>
          </w:p>
        </w:tc>
        <w:tc>
          <w:tcPr>
            <w:tcW w:type="dxa" w:w="3433"/>
            <w:shd w:val="clear" w:color="auto" w:fill="FFFFFF"/>
            <w:vAlign w:val="center"/>
          </w:tcPr>
          <w:p>
            <w:pPr>
              <w:keepNext/>
              <w:spacing w:after="0"/>
            </w:pPr>
            <w:r>
              <w:rPr>
                <w:rFonts w:ascii="Calibri" w:hAnsi="Calibri"/>
                <w:b w:val="0"/>
                <w:i w:val="0"/>
                <w:color w:val="222222"/>
                <w:sz w:val="20"/>
              </w:rPr>
              <w:t>infer from paired deltas against each well's own baseline (§16)</w:t>
            </w:r>
          </w:p>
        </w:tc>
      </w:tr>
      <w:tr>
        <w:trPr>
          <w:cantSplit/>
        </w:trPr>
        <w:tc>
          <w:tcPr>
            <w:tcW w:type="dxa" w:w="312"/>
            <w:shd w:val="clear" w:color="auto" w:fill="F7F9FB"/>
            <w:vAlign w:val="center"/>
          </w:tcPr>
          <w:p>
            <w:pPr>
              <w:keepNext w:val="0"/>
              <w:spacing w:after="0"/>
              <w:jc w:val="center"/>
            </w:pPr>
            <w:r>
              <w:rPr>
                <w:rFonts w:ascii="Calibri" w:hAnsi="Calibri"/>
                <w:b/>
                <w:i w:val="0"/>
                <w:color w:val="222222"/>
                <w:sz w:val="20"/>
              </w:rPr>
              <w:t>8</w:t>
            </w:r>
          </w:p>
        </w:tc>
        <w:tc>
          <w:tcPr>
            <w:tcW w:type="dxa" w:w="2290"/>
            <w:shd w:val="clear" w:color="auto" w:fill="F7F9FB"/>
            <w:vAlign w:val="center"/>
          </w:tcPr>
          <w:p>
            <w:pPr>
              <w:keepNext w:val="0"/>
              <w:spacing w:after="0"/>
            </w:pPr>
            <w:r>
              <w:rPr>
                <w:rFonts w:ascii="Calibri" w:hAnsi="Calibri"/>
                <w:b w:val="0"/>
                <w:i w:val="0"/>
                <w:color w:val="222222"/>
                <w:sz w:val="20"/>
              </w:rPr>
              <w:t>support rejection</w:t>
            </w:r>
          </w:p>
        </w:tc>
        <w:tc>
          <w:tcPr>
            <w:tcW w:type="dxa" w:w="2461"/>
            <w:shd w:val="clear" w:color="auto" w:fill="F7F9FB"/>
            <w:vAlign w:val="center"/>
          </w:tcPr>
          <w:p>
            <w:pPr>
              <w:keepNext w:val="0"/>
              <w:spacing w:after="0"/>
            </w:pPr>
            <w:r>
              <w:rPr>
                <w:rFonts w:ascii="Calibri" w:hAnsi="Calibri"/>
                <w:b w:val="0"/>
                <w:i w:val="0"/>
                <w:color w:val="222222"/>
                <w:sz w:val="20"/>
              </w:rPr>
              <w:t>the calibrated twin cannot sample 9 of 113 real recordings</w:t>
            </w:r>
          </w:p>
        </w:tc>
        <w:tc>
          <w:tcPr>
            <w:tcW w:type="dxa" w:w="3433"/>
            <w:shd w:val="clear" w:color="auto" w:fill="F7F9FB"/>
            <w:vAlign w:val="center"/>
          </w:tcPr>
          <w:p>
            <w:pPr>
              <w:keepNext w:val="0"/>
              <w:spacing w:after="0"/>
            </w:pPr>
            <w:r>
              <w:rPr>
                <w:rFonts w:ascii="Calibri" w:hAnsi="Calibri"/>
                <w:b w:val="0"/>
                <w:i w:val="0"/>
                <w:color w:val="222222"/>
                <w:sz w:val="20"/>
              </w:rPr>
              <w:t>treat a refusal as an out-of-distribution flag and send the recording to a person</w:t>
            </w:r>
          </w:p>
        </w:tc>
      </w:tr>
    </w:tbl>
    <w:p>
      <w:pPr>
        <w:spacing w:after="80"/>
      </w:pPr>
    </w:p>
    <w:p>
      <w:pPr>
        <w:spacing w:after="120"/>
      </w:pPr>
      <w:r>
        <w:rPr>
          <w:rFonts w:ascii="Calibri" w:hAnsi="Calibri"/>
          <w:b/>
          <w:i w:val="0"/>
          <w:color w:val="156082"/>
          <w:sz w:val="21"/>
        </w:rPr>
        <w:t>On the first, which matters most.</w:t>
      </w:r>
      <w:r>
        <w:rPr>
          <w:rFonts w:ascii="Calibri" w:hAnsi="Calibri"/>
          <w:b w:val="0"/>
          <w:i w:val="0"/>
          <w:color w:val="222222"/>
          <w:sz w:val="21"/>
        </w:rPr>
        <w:t xml:space="preserve"> §6 showed that the mechanism classifier had no dose relationship, and §16 showed that the inverse model could not recover dose either. So we asked whether the signal is in the features at all: across 113 bicuculline recordings on 16 devices, does </w:t>
      </w:r>
      <w:r>
        <w:rPr>
          <w:rFonts w:ascii="Calibri" w:hAnsi="Calibri"/>
          <w:b w:val="0"/>
          <w:i/>
          <w:color w:val="222222"/>
          <w:sz w:val="21"/>
        </w:rPr>
        <w:t>any</w:t>
      </w:r>
      <w:r>
        <w:rPr>
          <w:rFonts w:ascii="Calibri" w:hAnsi="Calibri"/>
          <w:b w:val="0"/>
          <w:i w:val="0"/>
          <w:color w:val="222222"/>
          <w:sz w:val="21"/>
        </w:rPr>
        <w:t xml:space="preserve"> feature move monotonically with dose? Seven of the nine had enough points to test; the two burst-shape features, burst duration and spikes per burst, did not. Using raw values, 2 of the 7 do: burst rate (ρ = −0.58) and network burst rate (ρ = −0.60) fall with dose. After subtracting each device's own baseline, the same 2 do, in both cases after a Holm correction for testing seven features at once. The signal is there, and the twin's posterior does not recover it, so the inverse model is the part to fix. An earlier version of this analysis ranked doses without their units, which put the two lowest doses, recorded in nM, among the highest, and concluded the opposite. Another entry in this challenge, NeuroChip Twin, found the trend; tracing that disagreement found our error.</w:t>
      </w:r>
    </w:p>
    <w:p>
      <w:pPr>
        <w:keepNext/>
        <w:spacing w:before="240" w:after="60"/>
      </w:pPr>
      <w:r>
        <w:rPr>
          <w:rFonts w:ascii="Calibri" w:hAnsi="Calibri"/>
          <w:b/>
          <w:i w:val="0"/>
          <w:color w:val="1F4E79"/>
          <w:sz w:val="23"/>
        </w:rPr>
        <w:t>19. What you cannot conclude from this work</w:t>
      </w:r>
    </w:p>
    <w:p>
      <w:pPr>
        <w:spacing w:after="120"/>
        <w:ind w:left="432" w:hanging="259"/>
      </w:pPr>
      <w:r>
        <w:rPr>
          <w:rFonts w:ascii="Calibri" w:hAnsi="Calibri"/>
          <w:b w:val="0"/>
          <w:i w:val="0"/>
          <w:color w:val="222222"/>
          <w:sz w:val="21"/>
        </w:rPr>
        <w:t>•</w:t>
        <w:tab/>
      </w:r>
      <w:r>
        <w:rPr>
          <w:rFonts w:ascii="Calibri" w:hAnsi="Calibri"/>
          <w:b/>
          <w:i w:val="0"/>
          <w:color w:val="156082"/>
          <w:sz w:val="21"/>
        </w:rPr>
        <w:t>No clinical or safety claims.</w:t>
      </w:r>
      <w:r>
        <w:rPr>
          <w:rFonts w:ascii="Calibri" w:hAnsi="Calibri"/>
          <w:b w:val="0"/>
          <w:i w:val="0"/>
          <w:color w:val="222222"/>
          <w:sz w:val="21"/>
        </w:rPr>
        <w:t xml:space="preserve"> NeuroMPS is an exploratory analytical framework. We make no efficacy, diagnostic or clinical claims, and the design could not support them.</w:t>
      </w:r>
    </w:p>
    <w:p>
      <w:pPr>
        <w:spacing w:after="120"/>
        <w:ind w:left="432" w:hanging="259"/>
      </w:pPr>
      <w:r>
        <w:rPr>
          <w:rFonts w:ascii="Calibri" w:hAnsi="Calibri"/>
          <w:b w:val="0"/>
          <w:i w:val="0"/>
          <w:color w:val="222222"/>
          <w:sz w:val="21"/>
        </w:rPr>
        <w:t>•</w:t>
        <w:tab/>
      </w:r>
      <w:r>
        <w:rPr>
          <w:rFonts w:ascii="Calibri" w:hAnsi="Calibri"/>
          <w:b/>
          <w:i w:val="0"/>
          <w:color w:val="156082"/>
          <w:sz w:val="21"/>
        </w:rPr>
        <w:t>It is not a screening tool.</w:t>
      </w:r>
      <w:r>
        <w:rPr>
          <w:rFonts w:ascii="Calibri" w:hAnsi="Calibri"/>
          <w:b w:val="0"/>
          <w:i w:val="0"/>
          <w:color w:val="222222"/>
          <w:sz w:val="21"/>
        </w:rPr>
        <w:t xml:space="preserve"> A within-platform mechanism accuracy of 0.537, with an interval from 0.4216 to 0.6845, and near-chance performance across laboratories do not make a decision instrument.</w:t>
      </w:r>
    </w:p>
    <w:p>
      <w:pPr>
        <w:spacing w:after="120"/>
        <w:ind w:left="432" w:hanging="259"/>
      </w:pPr>
      <w:r>
        <w:rPr>
          <w:rFonts w:ascii="Calibri" w:hAnsi="Calibri"/>
          <w:b w:val="0"/>
          <w:i w:val="0"/>
          <w:color w:val="222222"/>
          <w:sz w:val="21"/>
        </w:rPr>
        <w:t>•</w:t>
        <w:tab/>
      </w:r>
      <w:r>
        <w:rPr>
          <w:rFonts w:ascii="Calibri" w:hAnsi="Calibri"/>
          <w:b/>
          <w:i w:val="0"/>
          <w:color w:val="156082"/>
          <w:sz w:val="21"/>
        </w:rPr>
        <w:t>Interspecies support is narrow.</w:t>
      </w:r>
      <w:r>
        <w:rPr>
          <w:rFonts w:ascii="Calibri" w:hAnsi="Calibri"/>
          <w:b w:val="0"/>
          <w:i w:val="0"/>
          <w:color w:val="222222"/>
          <w:sz w:val="21"/>
        </w:rPr>
        <w:t xml:space="preserve"> Rat-to-human transfer rests on 37 rat training pairs and 32 human testing pairs, which supports the direction of the effect rather than its size.</w:t>
      </w:r>
    </w:p>
    <w:p>
      <w:pPr>
        <w:spacing w:after="120"/>
        <w:ind w:left="432" w:hanging="259"/>
      </w:pPr>
      <w:r>
        <w:rPr>
          <w:rFonts w:ascii="Calibri" w:hAnsi="Calibri"/>
          <w:b w:val="0"/>
          <w:i w:val="0"/>
          <w:color w:val="222222"/>
          <w:sz w:val="21"/>
        </w:rPr>
        <w:t>•</w:t>
        <w:tab/>
      </w:r>
      <w:r>
        <w:rPr>
          <w:rFonts w:ascii="Calibri" w:hAnsi="Calibri"/>
          <w:b/>
          <w:i w:val="0"/>
          <w:color w:val="156082"/>
          <w:sz w:val="21"/>
        </w:rPr>
        <w:t>The simulator is not fully reconciled.</w:t>
      </w:r>
      <w:r>
        <w:rPr>
          <w:rFonts w:ascii="Calibri" w:hAnsi="Calibri"/>
          <w:b w:val="0"/>
          <w:i w:val="0"/>
          <w:color w:val="222222"/>
          <w:sz w:val="21"/>
        </w:rPr>
        <w:t xml:space="preserve"> The twin sits inside the real band on two of five features, varies from seed to seed, and gets GABA-A potentiation mostly wrong.</w:t>
      </w:r>
    </w:p>
    <w:p>
      <w:pPr>
        <w:spacing w:after="120"/>
        <w:ind w:left="432" w:hanging="259"/>
      </w:pPr>
      <w:r>
        <w:rPr>
          <w:rFonts w:ascii="Calibri" w:hAnsi="Calibri"/>
          <w:b w:val="0"/>
          <w:i w:val="0"/>
          <w:color w:val="222222"/>
          <w:sz w:val="21"/>
        </w:rPr>
        <w:t>•</w:t>
        <w:tab/>
      </w:r>
      <w:r>
        <w:rPr>
          <w:rFonts w:ascii="Calibri" w:hAnsi="Calibri"/>
          <w:b/>
          <w:i w:val="0"/>
          <w:color w:val="156082"/>
          <w:sz w:val="21"/>
        </w:rPr>
        <w:t>The twin does not track dose.</w:t>
      </w:r>
      <w:r>
        <w:rPr>
          <w:rFonts w:ascii="Calibri" w:hAnsi="Calibri"/>
          <w:b w:val="0"/>
          <w:i w:val="0"/>
          <w:color w:val="222222"/>
          <w:sz w:val="21"/>
        </w:rPr>
        <w:t xml:space="preserve"> Burst rates fall with bicuculline dose, but the twin's inferred inhibition does not, so its dose inference is not usable yet.</w:t>
      </w:r>
    </w:p>
    <w:p>
      <w:pPr>
        <w:spacing w:after="120"/>
        <w:ind w:left="432" w:hanging="259"/>
      </w:pPr>
      <w:r>
        <w:rPr>
          <w:rFonts w:ascii="Calibri" w:hAnsi="Calibri"/>
          <w:b w:val="0"/>
          <w:i w:val="0"/>
          <w:color w:val="222222"/>
          <w:sz w:val="21"/>
        </w:rPr>
        <w:t>•</w:t>
        <w:tab/>
      </w:r>
      <w:r>
        <w:rPr>
          <w:rFonts w:ascii="Calibri" w:hAnsi="Calibri"/>
          <w:b/>
          <w:i w:val="0"/>
          <w:color w:val="156082"/>
          <w:sz w:val="21"/>
        </w:rPr>
        <w:t>The species balance is severe.</w:t>
      </w:r>
      <w:r>
        <w:rPr>
          <w:rFonts w:ascii="Calibri" w:hAnsi="Calibri"/>
          <w:b w:val="0"/>
          <w:i w:val="0"/>
          <w:color w:val="222222"/>
          <w:sz w:val="21"/>
        </w:rPr>
        <w:t xml:space="preserve"> Our asset holds 21,530 rat against 357 human records — a consequence of open-access licensing, not a design choice.</w:t>
      </w:r>
    </w:p>
    <w:p>
      <w:pPr>
        <w:spacing w:after="120"/>
        <w:ind w:left="432" w:hanging="259"/>
      </w:pPr>
      <w:r>
        <w:rPr>
          <w:rFonts w:ascii="Calibri" w:hAnsi="Calibri"/>
          <w:b w:val="0"/>
          <w:i w:val="0"/>
          <w:color w:val="222222"/>
          <w:sz w:val="21"/>
        </w:rPr>
        <w:t>•</w:t>
        <w:tab/>
      </w:r>
      <w:r>
        <w:rPr>
          <w:rFonts w:ascii="Calibri" w:hAnsi="Calibri"/>
          <w:b/>
          <w:i w:val="0"/>
          <w:color w:val="156082"/>
          <w:sz w:val="21"/>
        </w:rPr>
        <w:t>The samples are small.</w:t>
      </w:r>
      <w:r>
        <w:rPr>
          <w:rFonts w:ascii="Calibri" w:hAnsi="Calibri"/>
          <w:b w:val="0"/>
          <w:i w:val="0"/>
          <w:color w:val="222222"/>
          <w:sz w:val="21"/>
        </w:rPr>
        <w:t xml:space="preserve"> Our primary classification rests on 73 paired recordings from 50 independent cultures.</w:t>
      </w:r>
    </w:p>
    <w:p>
      <w:pPr>
        <w:keepNext/>
        <w:spacing w:before="360" w:after="120"/>
      </w:pPr>
      <w:r>
        <w:rPr>
          <w:rFonts w:ascii="Calibri" w:hAnsi="Calibri"/>
          <w:b/>
          <w:i w:val="0"/>
          <w:color w:val="2F5597"/>
          <w:sz w:val="27"/>
        </w:rPr>
        <w:t>ACT VI: Application value, translation and open verification</w:t>
      </w:r>
    </w:p>
    <w:p>
      <w:pPr>
        <w:keepNext/>
        <w:spacing w:before="240" w:after="60"/>
      </w:pPr>
      <w:r>
        <w:rPr>
          <w:rFonts w:ascii="Calibri" w:hAnsi="Calibri"/>
          <w:b/>
          <w:i w:val="0"/>
          <w:color w:val="1F4E79"/>
          <w:sz w:val="23"/>
        </w:rPr>
        <w:t>20. Application value and translation for neural organ-on-a-chip</w:t>
      </w:r>
    </w:p>
    <w:p>
      <w:pPr>
        <w:spacing w:after="120"/>
      </w:pPr>
      <w:r>
        <w:rPr>
          <w:rFonts w:ascii="Calibri" w:hAnsi="Calibri"/>
          <w:b w:val="0"/>
          <w:i w:val="0"/>
          <w:color w:val="222222"/>
          <w:sz w:val="21"/>
        </w:rPr>
        <w:t>The main bottleneck in making neural organ-on-a-chip systems useful is not microfluidic fabrication; it is making functional electrophysiology interpretable and reproducible. Academic centers and commercial vendors alike produce multi-channel MEA recordings that remain hard to compare across sites. Our results translate into practical guidance in four areas.</w:t>
      </w:r>
    </w:p>
    <w:p>
      <w:pPr>
        <w:spacing w:after="120"/>
      </w:pPr>
      <w:r>
        <w:rPr>
          <w:rFonts w:ascii="Calibri" w:hAnsi="Calibri"/>
          <w:b/>
          <w:i w:val="0"/>
          <w:color w:val="156082"/>
          <w:sz w:val="21"/>
        </w:rPr>
        <w:t>Where this sits.</w:t>
      </w:r>
      <w:r>
        <w:rPr>
          <w:rFonts w:ascii="Calibri" w:hAnsi="Calibri"/>
          <w:b w:val="0"/>
          <w:i w:val="0"/>
          <w:color w:val="222222"/>
          <w:sz w:val="21"/>
        </w:rPr>
        <w:t xml:space="preserve"> The US FDA Modernization Act 2.0 (2022) replaced the statutory reference to animal tests with "nonclinical tests", a category that names cell-based assays, organ chips and microphysiological systems, and computer modeling. That makes comparable, checkable readouts from neural chips more useful, and it is the setting our tools are built for. The provenance chain — license, source URL and a cryptographic checksum recorded for every file, and a build that halts on any mismatch — can serve as an open template for documenting where such data came from. It is a record of traceability, not a qualification process: NeuroMPS has not been qualified or reviewed by any regulator, and nothing in this report is evidence for a submission.</w:t>
      </w:r>
    </w:p>
    <w:p>
      <w:pPr>
        <w:spacing w:after="120"/>
      </w:pPr>
      <w:r>
        <w:rPr>
          <w:rFonts w:ascii="Calibri" w:hAnsi="Calibri"/>
          <w:b/>
          <w:i w:val="0"/>
          <w:color w:val="156082"/>
          <w:sz w:val="21"/>
        </w:rPr>
        <w:t>1. Design guidance for chip hardware.</w:t>
      </w:r>
      <w:r>
        <w:rPr>
          <w:rFonts w:ascii="Calibri" w:hAnsi="Calibri"/>
          <w:b w:val="0"/>
          <w:i w:val="0"/>
          <w:color w:val="222222"/>
          <w:sz w:val="21"/>
        </w:rPr>
        <w:t xml:space="preserve"> Developers often assume they can validate directional connectivity by measuring cross-correlation latencies or coupling asymmetries between open somatic chambers. §15 shows on real devices that this does not work: chamber readouts reached 0.3854 balanced accuracy where chance is 0.5, on a sample that could have detected 0.6438. To show that axons really conduct one way, you need microelectrodes inside the microchannels themselves — and knowing that saves time otherwise spent on measures that cannot answer the question.</w:t>
      </w:r>
    </w:p>
    <w:p>
      <w:pPr>
        <w:spacing w:after="120"/>
      </w:pPr>
      <w:r>
        <w:rPr>
          <w:rFonts w:ascii="Calibri" w:hAnsi="Calibri"/>
          <w:b/>
          <w:i w:val="0"/>
          <w:color w:val="156082"/>
          <w:sz w:val="21"/>
        </w:rPr>
        <w:t>2. A standardization framework for contract research.</w:t>
      </w:r>
      <w:r>
        <w:rPr>
          <w:rFonts w:ascii="Calibri" w:hAnsi="Calibri"/>
          <w:b w:val="0"/>
          <w:i w:val="0"/>
          <w:color w:val="222222"/>
          <w:sz w:val="21"/>
        </w:rPr>
        <w:t xml:space="preserve"> Screening protocols should move away from proprietary vendor summary tables toward standardized processing from raw spikes. Our feature ablation (§8) shows that two rate metrics match the predictive power of the full nine-feature vector, while avoiding the cross-platform variance that plagues burst-structure and synchrony metrics (§3, §11). A smaller, more reliable feature vector is the more reproducible instrument.</w:t>
      </w:r>
    </w:p>
    <w:p>
      <w:pPr>
        <w:spacing w:after="120"/>
      </w:pPr>
      <w:r>
        <w:rPr>
          <w:rFonts w:ascii="Calibri" w:hAnsi="Calibri"/>
          <w:b/>
          <w:i w:val="0"/>
          <w:color w:val="156082"/>
          <w:sz w:val="21"/>
        </w:rPr>
        <w:t>3. Cheaper assay design in silico.</w:t>
      </w:r>
      <w:r>
        <w:rPr>
          <w:rFonts w:ascii="Calibri" w:hAnsi="Calibri"/>
          <w:b w:val="0"/>
          <w:i w:val="0"/>
          <w:color w:val="222222"/>
          <w:sz w:val="21"/>
        </w:rPr>
        <w:t xml:space="preserve"> Plating human iPSCs is expensive and takes weeks. The twin gives you a testbed for pre-registering an assay: the power sweep in §17 sets a minimum electrode count (24 electrodes per compartment, 10-second recordings) for distinguishing wiring regimes, and the listening-radius finding in §13 gives you a way to diagnose electrode catchment overlap in physical recordings.</w:t>
      </w:r>
    </w:p>
    <w:p>
      <w:pPr>
        <w:spacing w:after="120"/>
      </w:pPr>
      <w:r>
        <w:rPr>
          <w:rFonts w:ascii="Calibri" w:hAnsi="Calibri"/>
          <w:b/>
          <w:i w:val="0"/>
          <w:color w:val="156082"/>
          <w:sz w:val="21"/>
        </w:rPr>
        <w:t>4. Paired-delta normalization for analysis pipelines.</w:t>
      </w:r>
      <w:r>
        <w:rPr>
          <w:rFonts w:ascii="Calibri" w:hAnsi="Calibri"/>
          <w:b w:val="0"/>
          <w:i w:val="0"/>
          <w:color w:val="222222"/>
          <w:sz w:val="21"/>
        </w:rPr>
        <w:t xml:space="preserve"> Resting firing rates in primary cultures span an order of magnitude. Expressing screening features as paired log-ratios against each well's own baseline stabilizes the analysis, raises posterior contraction from 0.3 to 0.5375, and removes most of the false-disinhibition artifact described in §16.</w:t>
      </w:r>
    </w:p>
    <w:p>
      <w:pPr>
        <w:keepNext/>
        <w:spacing w:before="240" w:after="60"/>
      </w:pPr>
      <w:r>
        <w:rPr>
          <w:rFonts w:ascii="Calibri" w:hAnsi="Calibri"/>
          <w:b/>
          <w:i w:val="0"/>
          <w:color w:val="1F4E79"/>
          <w:sz w:val="23"/>
        </w:rPr>
        <w:t>21. How to reproduce and check this work</w:t>
      </w:r>
    </w:p>
    <w:p>
      <w:pPr>
        <w:keepNext/>
        <w:spacing w:after="120"/>
      </w:pPr>
      <w:r>
        <w:rPr>
          <w:rFonts w:ascii="Calibri" w:hAnsi="Calibri"/>
          <w:b w:val="0"/>
          <w:i w:val="0"/>
          <w:color w:val="222222"/>
          <w:sz w:val="21"/>
        </w:rPr>
        <w:t xml:space="preserve">Every computed number in this report carries an automated pointer back to the </w:t>
      </w:r>
      <w:r>
        <w:rPr>
          <w:rFonts w:ascii="Consolas" w:hAnsi="Consolas"/>
          <w:b w:val="0"/>
          <w:i w:val="0"/>
          <w:color w:val="222222"/>
          <w:sz w:val="19"/>
        </w:rPr>
        <w:t>outputs/metrics.json</w:t>
      </w:r>
      <w:r>
        <w:rPr>
          <w:rFonts w:ascii="Calibri" w:hAnsi="Calibri"/>
          <w:b w:val="0"/>
          <w:i w:val="0"/>
          <w:color w:val="222222"/>
          <w:sz w:val="21"/>
        </w:rPr>
        <w:t xml:space="preserve"> key that produced it, and a test fails if any number drifts from that file. To reproduce everything from a clean machine, run these steps in a terminal:</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1569"/>
        <w:gridCol w:w="4799"/>
        <w:gridCol w:w="2128"/>
      </w:tblGrid>
      <w:tr>
        <w:trPr>
          <w:cantSplit/>
          <w:tblHeader/>
        </w:trPr>
        <w:tc>
          <w:tcPr>
            <w:tcW w:type="dxa" w:w="1569"/>
            <w:shd w:val="clear" w:color="auto" w:fill="1F4E79"/>
            <w:vAlign w:val="center"/>
          </w:tcPr>
          <w:p>
            <w:pPr>
              <w:keepNext/>
              <w:spacing w:after="0"/>
            </w:pPr>
            <w:r>
              <w:rPr>
                <w:rFonts w:ascii="Calibri" w:hAnsi="Calibri"/>
                <w:b/>
                <w:i w:val="0"/>
                <w:color w:val="FFFFFF"/>
                <w:sz w:val="20"/>
              </w:rPr>
              <w:t>step</w:t>
            </w:r>
          </w:p>
        </w:tc>
        <w:tc>
          <w:tcPr>
            <w:tcW w:type="dxa" w:w="4799"/>
            <w:shd w:val="clear" w:color="auto" w:fill="1F4E79"/>
            <w:vAlign w:val="center"/>
          </w:tcPr>
          <w:p>
            <w:pPr>
              <w:keepNext/>
              <w:spacing w:after="0"/>
            </w:pPr>
            <w:r>
              <w:rPr>
                <w:rFonts w:ascii="Calibri" w:hAnsi="Calibri"/>
                <w:b/>
                <w:i w:val="0"/>
                <w:color w:val="FFFFFF"/>
                <w:sz w:val="20"/>
              </w:rPr>
              <w:t>command</w:t>
            </w:r>
          </w:p>
        </w:tc>
        <w:tc>
          <w:tcPr>
            <w:tcW w:type="dxa" w:w="2128"/>
            <w:shd w:val="clear" w:color="auto" w:fill="1F4E79"/>
            <w:vAlign w:val="center"/>
          </w:tcPr>
          <w:p>
            <w:pPr>
              <w:keepNext/>
              <w:spacing w:after="0"/>
            </w:pPr>
            <w:r>
              <w:rPr>
                <w:rFonts w:ascii="Calibri" w:hAnsi="Calibri"/>
                <w:b/>
                <w:i w:val="0"/>
                <w:color w:val="FFFFFF"/>
                <w:sz w:val="20"/>
              </w:rPr>
              <w:t>what it does</w:t>
            </w:r>
          </w:p>
        </w:tc>
      </w:tr>
      <w:tr>
        <w:trPr>
          <w:cantSplit/>
        </w:trPr>
        <w:tc>
          <w:tcPr>
            <w:tcW w:type="dxa" w:w="1569"/>
            <w:shd w:val="clear" w:color="auto" w:fill="FFFFFF"/>
            <w:vAlign w:val="center"/>
          </w:tcPr>
          <w:p>
            <w:pPr>
              <w:keepNext/>
              <w:spacing w:after="0"/>
            </w:pPr>
            <w:r>
              <w:rPr>
                <w:rFonts w:ascii="Calibri" w:hAnsi="Calibri"/>
                <w:b/>
                <w:i w:val="0"/>
                <w:color w:val="222222"/>
                <w:sz w:val="20"/>
              </w:rPr>
              <w:t>1. get the code</w:t>
            </w:r>
          </w:p>
        </w:tc>
        <w:tc>
          <w:tcPr>
            <w:tcW w:type="dxa" w:w="4799"/>
            <w:shd w:val="clear" w:color="auto" w:fill="FFFFFF"/>
            <w:vAlign w:val="center"/>
          </w:tcPr>
          <w:p>
            <w:pPr>
              <w:keepNext/>
              <w:spacing w:after="0"/>
            </w:pPr>
            <w:r>
              <w:rPr>
                <w:rFonts w:ascii="Consolas" w:hAnsi="Consolas"/>
                <w:b w:val="0"/>
                <w:i w:val="0"/>
                <w:color w:val="222222"/>
                <w:sz w:val="18"/>
              </w:rPr>
              <w:t>git clone https://github.com/Vodolay/AI4S</w:t>
            </w:r>
            <w:r>
              <w:rPr>
                <w:rFonts w:ascii="Calibri" w:hAnsi="Calibri"/>
                <w:b w:val="0"/>
                <w:i w:val="0"/>
                <w:color w:val="222222"/>
                <w:sz w:val="20"/>
              </w:rPr>
              <w:t xml:space="preserve">, then </w:t>
            </w:r>
            <w:r>
              <w:rPr>
                <w:rFonts w:ascii="Consolas" w:hAnsi="Consolas"/>
                <w:b w:val="0"/>
                <w:i w:val="0"/>
                <w:color w:val="222222"/>
                <w:sz w:val="18"/>
              </w:rPr>
              <w:t>cd AI4S</w:t>
            </w:r>
          </w:p>
        </w:tc>
        <w:tc>
          <w:tcPr>
            <w:tcW w:type="dxa" w:w="2128"/>
            <w:shd w:val="clear" w:color="auto" w:fill="FFFFFF"/>
            <w:vAlign w:val="center"/>
          </w:tcPr>
          <w:p>
            <w:pPr>
              <w:keepNext/>
              <w:spacing w:after="0"/>
            </w:pPr>
            <w:r>
              <w:rPr>
                <w:rFonts w:ascii="Calibri" w:hAnsi="Calibri"/>
                <w:b w:val="0"/>
                <w:i w:val="0"/>
                <w:color w:val="222222"/>
                <w:sz w:val="20"/>
              </w:rPr>
              <w:t>downloads the repository</w:t>
            </w:r>
          </w:p>
        </w:tc>
      </w:tr>
      <w:tr>
        <w:trPr>
          <w:cantSplit/>
        </w:trPr>
        <w:tc>
          <w:tcPr>
            <w:tcW w:type="dxa" w:w="1569"/>
            <w:shd w:val="clear" w:color="auto" w:fill="F7F9FB"/>
            <w:vAlign w:val="center"/>
          </w:tcPr>
          <w:p>
            <w:pPr>
              <w:keepNext/>
              <w:spacing w:after="0"/>
            </w:pPr>
            <w:r>
              <w:rPr>
                <w:rFonts w:ascii="Calibri" w:hAnsi="Calibri"/>
                <w:b/>
                <w:i w:val="0"/>
                <w:color w:val="222222"/>
                <w:sz w:val="20"/>
              </w:rPr>
              <w:t>2. create the environment</w:t>
            </w:r>
          </w:p>
        </w:tc>
        <w:tc>
          <w:tcPr>
            <w:tcW w:type="dxa" w:w="4799"/>
            <w:shd w:val="clear" w:color="auto" w:fill="F7F9FB"/>
            <w:vAlign w:val="center"/>
          </w:tcPr>
          <w:p>
            <w:pPr>
              <w:keepNext/>
              <w:spacing w:after="0"/>
            </w:pPr>
            <w:r>
              <w:rPr>
                <w:rFonts w:ascii="Calibri" w:hAnsi="Calibri"/>
                <w:b w:val="0"/>
                <w:i w:val="0"/>
                <w:color w:val="222222"/>
                <w:sz w:val="20"/>
              </w:rPr>
              <w:t xml:space="preserve">install uv as the README shows, then </w:t>
            </w:r>
            <w:r>
              <w:rPr>
                <w:rFonts w:ascii="Consolas" w:hAnsi="Consolas"/>
                <w:b w:val="0"/>
                <w:i w:val="0"/>
                <w:color w:val="222222"/>
                <w:sz w:val="18"/>
              </w:rPr>
              <w:t>uv venv --python 3.11 .venv</w:t>
            </w:r>
          </w:p>
        </w:tc>
        <w:tc>
          <w:tcPr>
            <w:tcW w:type="dxa" w:w="2128"/>
            <w:shd w:val="clear" w:color="auto" w:fill="F7F9FB"/>
            <w:vAlign w:val="center"/>
          </w:tcPr>
          <w:p>
            <w:pPr>
              <w:keepNext/>
              <w:spacing w:after="0"/>
            </w:pPr>
            <w:r>
              <w:rPr>
                <w:rFonts w:ascii="Calibri" w:hAnsi="Calibri"/>
                <w:b w:val="0"/>
                <w:i w:val="0"/>
                <w:color w:val="222222"/>
                <w:sz w:val="20"/>
              </w:rPr>
              <w:t>an isolated environment with the pinned Python</w:t>
            </w:r>
          </w:p>
        </w:tc>
      </w:tr>
      <w:tr>
        <w:trPr>
          <w:cantSplit/>
        </w:trPr>
        <w:tc>
          <w:tcPr>
            <w:tcW w:type="dxa" w:w="1569"/>
            <w:shd w:val="clear" w:color="auto" w:fill="FFFFFF"/>
            <w:vAlign w:val="center"/>
          </w:tcPr>
          <w:p>
            <w:pPr>
              <w:keepNext/>
              <w:spacing w:after="0"/>
            </w:pPr>
            <w:r>
              <w:rPr>
                <w:rFonts w:ascii="Calibri" w:hAnsi="Calibri"/>
                <w:b/>
                <w:i w:val="0"/>
                <w:color w:val="222222"/>
                <w:sz w:val="20"/>
              </w:rPr>
              <w:t>3. install</w:t>
            </w:r>
          </w:p>
        </w:tc>
        <w:tc>
          <w:tcPr>
            <w:tcW w:type="dxa" w:w="4799"/>
            <w:shd w:val="clear" w:color="auto" w:fill="FFFFFF"/>
            <w:vAlign w:val="center"/>
          </w:tcPr>
          <w:p>
            <w:pPr>
              <w:keepNext/>
              <w:spacing w:after="0"/>
            </w:pPr>
            <w:r>
              <w:rPr>
                <w:rFonts w:ascii="Consolas" w:hAnsi="Consolas"/>
                <w:b w:val="0"/>
                <w:i w:val="0"/>
                <w:color w:val="222222"/>
                <w:sz w:val="18"/>
              </w:rPr>
              <w:t>uv pip install --python .venv/bin/python -e ".[dev]"</w:t>
            </w:r>
          </w:p>
        </w:tc>
        <w:tc>
          <w:tcPr>
            <w:tcW w:type="dxa" w:w="2128"/>
            <w:shd w:val="clear" w:color="auto" w:fill="FFFFFF"/>
            <w:vAlign w:val="center"/>
          </w:tcPr>
          <w:p>
            <w:pPr>
              <w:keepNext/>
              <w:spacing w:after="0"/>
            </w:pPr>
            <w:r>
              <w:rPr>
                <w:rFonts w:ascii="Calibri" w:hAnsi="Calibri"/>
                <w:b w:val="0"/>
                <w:i w:val="0"/>
                <w:color w:val="222222"/>
                <w:sz w:val="20"/>
              </w:rPr>
              <w:t>NeuroMPS and its pinned dependencies</w:t>
            </w:r>
          </w:p>
        </w:tc>
      </w:tr>
      <w:tr>
        <w:trPr>
          <w:cantSplit/>
        </w:trPr>
        <w:tc>
          <w:tcPr>
            <w:tcW w:type="dxa" w:w="1569"/>
            <w:shd w:val="clear" w:color="auto" w:fill="F7F9FB"/>
            <w:vAlign w:val="center"/>
          </w:tcPr>
          <w:p>
            <w:pPr>
              <w:keepNext/>
              <w:spacing w:after="0"/>
            </w:pPr>
            <w:r>
              <w:rPr>
                <w:rFonts w:ascii="Calibri" w:hAnsi="Calibri"/>
                <w:b/>
                <w:i w:val="0"/>
                <w:color w:val="222222"/>
                <w:sz w:val="20"/>
              </w:rPr>
              <w:t>4. quick run</w:t>
            </w:r>
          </w:p>
        </w:tc>
        <w:tc>
          <w:tcPr>
            <w:tcW w:type="dxa" w:w="4799"/>
            <w:shd w:val="clear" w:color="auto" w:fill="F7F9FB"/>
            <w:vAlign w:val="center"/>
          </w:tcPr>
          <w:p>
            <w:pPr>
              <w:keepNext/>
              <w:spacing w:after="0"/>
            </w:pPr>
            <w:r>
              <w:rPr>
                <w:rFonts w:ascii="Consolas" w:hAnsi="Consolas"/>
                <w:b w:val="0"/>
                <w:i w:val="0"/>
                <w:color w:val="222222"/>
                <w:sz w:val="18"/>
              </w:rPr>
              <w:t>.venv/bin/python run_all.py --quick</w:t>
            </w:r>
          </w:p>
        </w:tc>
        <w:tc>
          <w:tcPr>
            <w:tcW w:type="dxa" w:w="2128"/>
            <w:shd w:val="clear" w:color="auto" w:fill="F7F9FB"/>
            <w:vAlign w:val="center"/>
          </w:tcPr>
          <w:p>
            <w:pPr>
              <w:keepNext/>
              <w:spacing w:after="0"/>
            </w:pPr>
            <w:r>
              <w:rPr>
                <w:rFonts w:ascii="Calibri" w:hAnsi="Calibri"/>
                <w:b w:val="0"/>
                <w:i w:val="0"/>
                <w:color w:val="222222"/>
                <w:sz w:val="20"/>
              </w:rPr>
              <w:t>every stage end to end on the reduced data tier</w:t>
            </w:r>
          </w:p>
        </w:tc>
      </w:tr>
      <w:tr>
        <w:trPr>
          <w:cantSplit/>
        </w:trPr>
        <w:tc>
          <w:tcPr>
            <w:tcW w:type="dxa" w:w="1569"/>
            <w:shd w:val="clear" w:color="auto" w:fill="FFFFFF"/>
            <w:vAlign w:val="center"/>
          </w:tcPr>
          <w:p>
            <w:pPr>
              <w:keepNext/>
              <w:spacing w:after="0"/>
            </w:pPr>
            <w:r>
              <w:rPr>
                <w:rFonts w:ascii="Calibri" w:hAnsi="Calibri"/>
                <w:b/>
                <w:i w:val="0"/>
                <w:color w:val="222222"/>
                <w:sz w:val="20"/>
              </w:rPr>
              <w:t>5. full run</w:t>
            </w:r>
          </w:p>
        </w:tc>
        <w:tc>
          <w:tcPr>
            <w:tcW w:type="dxa" w:w="4799"/>
            <w:shd w:val="clear" w:color="auto" w:fill="FFFFFF"/>
            <w:vAlign w:val="center"/>
          </w:tcPr>
          <w:p>
            <w:pPr>
              <w:keepNext/>
              <w:spacing w:after="0"/>
            </w:pPr>
            <w:r>
              <w:rPr>
                <w:rFonts w:ascii="Consolas" w:hAnsi="Consolas"/>
                <w:b w:val="0"/>
                <w:i w:val="0"/>
                <w:color w:val="222222"/>
                <w:sz w:val="18"/>
              </w:rPr>
              <w:t>.venv/bin/python run_all.py</w:t>
            </w:r>
          </w:p>
        </w:tc>
        <w:tc>
          <w:tcPr>
            <w:tcW w:type="dxa" w:w="2128"/>
            <w:shd w:val="clear" w:color="auto" w:fill="FFFFFF"/>
            <w:vAlign w:val="center"/>
          </w:tcPr>
          <w:p>
            <w:pPr>
              <w:keepNext/>
              <w:spacing w:after="0"/>
            </w:pPr>
            <w:r>
              <w:rPr>
                <w:rFonts w:ascii="Calibri" w:hAnsi="Calibri"/>
                <w:b w:val="0"/>
                <w:i w:val="0"/>
                <w:color w:val="222222"/>
                <w:sz w:val="20"/>
              </w:rPr>
              <w:t>the full data tier, 3,000 forward simulations, every figure</w:t>
            </w:r>
          </w:p>
        </w:tc>
      </w:tr>
      <w:tr>
        <w:trPr>
          <w:cantSplit/>
        </w:trPr>
        <w:tc>
          <w:tcPr>
            <w:tcW w:type="dxa" w:w="1569"/>
            <w:shd w:val="clear" w:color="auto" w:fill="F7F9FB"/>
            <w:vAlign w:val="center"/>
          </w:tcPr>
          <w:p>
            <w:pPr>
              <w:keepNext/>
              <w:spacing w:after="0"/>
            </w:pPr>
            <w:r>
              <w:rPr>
                <w:rFonts w:ascii="Calibri" w:hAnsi="Calibri"/>
                <w:b/>
                <w:i w:val="0"/>
                <w:color w:val="222222"/>
                <w:sz w:val="20"/>
              </w:rPr>
              <w:t>6. check the numbers</w:t>
            </w:r>
          </w:p>
        </w:tc>
        <w:tc>
          <w:tcPr>
            <w:tcW w:type="dxa" w:w="4799"/>
            <w:shd w:val="clear" w:color="auto" w:fill="F7F9FB"/>
            <w:vAlign w:val="center"/>
          </w:tcPr>
          <w:p>
            <w:pPr>
              <w:keepNext/>
              <w:spacing w:after="0"/>
            </w:pPr>
            <w:r>
              <w:rPr>
                <w:rFonts w:ascii="Consolas" w:hAnsi="Consolas"/>
                <w:b w:val="0"/>
                <w:i w:val="0"/>
                <w:color w:val="222222"/>
                <w:sz w:val="18"/>
              </w:rPr>
              <w:t>.venv/bin/python -m neuromps.report.verify</w:t>
            </w:r>
          </w:p>
        </w:tc>
        <w:tc>
          <w:tcPr>
            <w:tcW w:type="dxa" w:w="2128"/>
            <w:shd w:val="clear" w:color="auto" w:fill="F7F9FB"/>
            <w:vAlign w:val="center"/>
          </w:tcPr>
          <w:p>
            <w:pPr>
              <w:keepNext/>
              <w:spacing w:after="0"/>
            </w:pPr>
            <w:r>
              <w:rPr>
                <w:rFonts w:ascii="Calibri" w:hAnsi="Calibri"/>
                <w:b w:val="0"/>
                <w:i w:val="0"/>
                <w:color w:val="222222"/>
                <w:sz w:val="20"/>
              </w:rPr>
              <w:t>re-reads every citation in this report and fails on any disagreement</w:t>
            </w:r>
          </w:p>
        </w:tc>
      </w:tr>
      <w:tr>
        <w:trPr>
          <w:cantSplit/>
        </w:trPr>
        <w:tc>
          <w:tcPr>
            <w:tcW w:type="dxa" w:w="1569"/>
            <w:shd w:val="clear" w:color="auto" w:fill="FFFFFF"/>
            <w:vAlign w:val="center"/>
          </w:tcPr>
          <w:p>
            <w:pPr>
              <w:keepNext w:val="0"/>
              <w:spacing w:after="0"/>
            </w:pPr>
            <w:r>
              <w:rPr>
                <w:rFonts w:ascii="Calibri" w:hAnsi="Calibri"/>
                <w:b/>
                <w:i w:val="0"/>
                <w:color w:val="222222"/>
                <w:sz w:val="20"/>
              </w:rPr>
              <w:t>7. open the demo</w:t>
            </w:r>
          </w:p>
        </w:tc>
        <w:tc>
          <w:tcPr>
            <w:tcW w:type="dxa" w:w="4799"/>
            <w:shd w:val="clear" w:color="auto" w:fill="FFFFFF"/>
            <w:vAlign w:val="center"/>
          </w:tcPr>
          <w:p>
            <w:pPr>
              <w:keepNext w:val="0"/>
              <w:spacing w:after="0"/>
            </w:pPr>
            <w:r>
              <w:rPr>
                <w:rFonts w:ascii="Consolas" w:hAnsi="Consolas"/>
                <w:b w:val="0"/>
                <w:i w:val="0"/>
                <w:color w:val="222222"/>
                <w:sz w:val="18"/>
              </w:rPr>
              <w:t>.venv/bin/streamlit run app/app.py</w:t>
            </w:r>
          </w:p>
        </w:tc>
        <w:tc>
          <w:tcPr>
            <w:tcW w:type="dxa" w:w="2128"/>
            <w:shd w:val="clear" w:color="auto" w:fill="FFFFFF"/>
            <w:vAlign w:val="center"/>
          </w:tcPr>
          <w:p>
            <w:pPr>
              <w:keepNext w:val="0"/>
              <w:spacing w:after="0"/>
            </w:pPr>
            <w:r>
              <w:rPr>
                <w:rFonts w:ascii="Calibri" w:hAnsi="Calibri"/>
                <w:b w:val="0"/>
                <w:i w:val="0"/>
                <w:color w:val="222222"/>
                <w:sz w:val="20"/>
              </w:rPr>
              <w:t>interactive mechanism prediction, twin sweeps and record browser</w:t>
            </w:r>
          </w:p>
        </w:tc>
      </w:tr>
    </w:tbl>
    <w:p>
      <w:pPr>
        <w:spacing w:after="80"/>
      </w:pPr>
    </w:p>
    <w:p>
      <w:pPr>
        <w:spacing w:after="120"/>
      </w:pPr>
      <w:r>
        <w:rPr>
          <w:rFonts w:ascii="Calibri" w:hAnsi="Calibri"/>
          <w:b w:val="0"/>
          <w:i w:val="0"/>
          <w:color w:val="222222"/>
          <w:sz w:val="21"/>
        </w:rPr>
        <w:t xml:space="preserve">Use the environment's own </w:t>
      </w:r>
      <w:r>
        <w:rPr>
          <w:rFonts w:ascii="Consolas" w:hAnsi="Consolas"/>
          <w:b w:val="0"/>
          <w:i w:val="0"/>
          <w:color w:val="222222"/>
          <w:sz w:val="19"/>
        </w:rPr>
        <w:t>python</w:t>
      </w:r>
      <w:r>
        <w:rPr>
          <w:rFonts w:ascii="Calibri" w:hAnsi="Calibri"/>
          <w:b w:val="0"/>
          <w:i w:val="0"/>
          <w:color w:val="222222"/>
          <w:sz w:val="21"/>
        </w:rPr>
        <w:t xml:space="preserve"> and </w:t>
      </w:r>
      <w:r>
        <w:rPr>
          <w:rFonts w:ascii="Consolas" w:hAnsi="Consolas"/>
          <w:b w:val="0"/>
          <w:i w:val="0"/>
          <w:color w:val="222222"/>
          <w:sz w:val="19"/>
        </w:rPr>
        <w:t>streamlit</w:t>
      </w:r>
      <w:r>
        <w:rPr>
          <w:rFonts w:ascii="Calibri" w:hAnsi="Calibri"/>
          <w:b w:val="0"/>
          <w:i w:val="0"/>
          <w:color w:val="222222"/>
          <w:sz w:val="21"/>
        </w:rPr>
        <w:t xml:space="preserve">, as shown. We ran these steps on a fresh clone, and every cited number reproduced exactly except ten that depend on the machine: the timings, and the counts and intervals from posterior sampling that stops at a time limit (§16). Provenance is guarded throughout: </w:t>
      </w:r>
      <w:r>
        <w:rPr>
          <w:rFonts w:ascii="Consolas" w:hAnsi="Consolas"/>
          <w:b w:val="0"/>
          <w:i w:val="0"/>
          <w:color w:val="222222"/>
          <w:sz w:val="19"/>
        </w:rPr>
        <w:t>data/raw/MANIFEST.json</w:t>
      </w:r>
      <w:r>
        <w:rPr>
          <w:rFonts w:ascii="Calibri" w:hAnsi="Calibri"/>
          <w:b w:val="0"/>
          <w:i w:val="0"/>
          <w:color w:val="222222"/>
          <w:sz w:val="21"/>
        </w:rPr>
        <w:t xml:space="preserve"> records every source's URL, license and checksum.</w:t>
      </w:r>
    </w:p>
    <w:p>
      <w:pPr>
        <w:keepNext/>
        <w:spacing w:before="240" w:after="60"/>
      </w:pPr>
      <w:r>
        <w:rPr>
          <w:rFonts w:ascii="Calibri" w:hAnsi="Calibri"/>
          <w:b/>
          <w:i w:val="0"/>
          <w:color w:val="1F4E79"/>
          <w:sz w:val="23"/>
        </w:rPr>
        <w:t>22. AI assistance disclosure</w:t>
      </w:r>
    </w:p>
    <w:p>
      <w:pPr>
        <w:spacing w:after="120"/>
      </w:pPr>
      <w:r>
        <w:rPr>
          <w:rFonts w:ascii="Calibri" w:hAnsi="Calibri"/>
          <w:b w:val="0"/>
          <w:i w:val="0"/>
          <w:color w:val="222222"/>
          <w:sz w:val="21"/>
        </w:rPr>
        <w:t xml:space="preserve">We built this project in a paired workflow with Anthropic's Claude Code. Claude wrote most of the code and tests under step-by-step human direction: we set the plan and the phase gates, chose the scope, approved each step, and directed the science. We also used it to draft and revise parts of this report, which we then edited ourselves. Three practices kept that collaboration honest. Numbers are emitted into </w:t>
      </w:r>
      <w:r>
        <w:rPr>
          <w:rFonts w:ascii="Consolas" w:hAnsi="Consolas"/>
          <w:b w:val="0"/>
          <w:i w:val="0"/>
          <w:color w:val="222222"/>
          <w:sz w:val="19"/>
        </w:rPr>
        <w:t>metrics.json</w:t>
      </w:r>
      <w:r>
        <w:rPr>
          <w:rFonts w:ascii="Calibri" w:hAnsi="Calibri"/>
          <w:b w:val="0"/>
          <w:i w:val="0"/>
          <w:color w:val="222222"/>
          <w:sz w:val="21"/>
        </w:rPr>
        <w:t xml:space="preserve"> by scripts and re-checked by </w:t>
      </w:r>
      <w:r>
        <w:rPr>
          <w:rFonts w:ascii="Consolas" w:hAnsi="Consolas"/>
          <w:b w:val="0"/>
          <w:i w:val="0"/>
          <w:color w:val="222222"/>
          <w:sz w:val="19"/>
        </w:rPr>
        <w:t>neuromps.report.verify</w:t>
      </w:r>
      <w:r>
        <w:rPr>
          <w:rFonts w:ascii="Calibri" w:hAnsi="Calibri"/>
          <w:b w:val="0"/>
          <w:i w:val="0"/>
          <w:color w:val="222222"/>
          <w:sz w:val="21"/>
        </w:rPr>
        <w:t xml:space="preserve">, never typed by hand. We report results as we observed them, including the ones that failed. And </w:t>
      </w:r>
      <w:r>
        <w:rPr>
          <w:rFonts w:ascii="Consolas" w:hAnsi="Consolas"/>
          <w:b w:val="0"/>
          <w:i w:val="0"/>
          <w:color w:val="222222"/>
          <w:sz w:val="19"/>
        </w:rPr>
        <w:t>report/LAB_NOTEBOOK.md</w:t>
      </w:r>
      <w:r>
        <w:rPr>
          <w:rFonts w:ascii="Calibri" w:hAnsi="Calibri"/>
          <w:b w:val="0"/>
          <w:i w:val="0"/>
          <w:color w:val="222222"/>
          <w:sz w:val="21"/>
        </w:rPr>
        <w:t xml:space="preserve"> records what we tried and abandoned. No AI model is part of the delivered pipeline itself: every statistical model in it is trained from scratch on the data described here.</w:t>
      </w:r>
    </w:p>
    <w:p>
      <w:r>
        <w:br w:type="page"/>
      </w:r>
    </w:p>
    <w:p>
      <w:pPr>
        <w:keepNext/>
        <w:spacing w:before="360" w:after="120"/>
      </w:pPr>
      <w:r>
        <w:rPr>
          <w:rFonts w:ascii="Calibri" w:hAnsi="Calibri"/>
          <w:b/>
          <w:i w:val="0"/>
          <w:color w:val="2F5597"/>
          <w:sz w:val="27"/>
        </w:rPr>
        <w:t>Appendices: consolidated technical reference</w:t>
      </w:r>
    </w:p>
    <w:p>
      <w:pPr>
        <w:keepNext/>
        <w:spacing w:before="240" w:after="60"/>
      </w:pPr>
      <w:r>
        <w:rPr>
          <w:rFonts w:ascii="Calibri" w:hAnsi="Calibri"/>
          <w:b/>
          <w:i w:val="0"/>
          <w:color w:val="1F4E79"/>
          <w:sz w:val="23"/>
        </w:rPr>
        <w:t>Appendix A &amp; B — Record architecture, data levels and ingestion ETL</w:t>
      </w:r>
    </w:p>
    <w:p>
      <w:pPr>
        <w:spacing w:after="120"/>
      </w:pPr>
      <w:r>
        <w:rPr>
          <w:rFonts w:ascii="Calibri" w:hAnsi="Calibri"/>
          <w:b w:val="0"/>
          <w:i w:val="0"/>
          <w:color w:val="222222"/>
          <w:sz w:val="21"/>
        </w:rPr>
        <w:t xml:space="preserve">Every record declares a data level: </w:t>
      </w:r>
      <w:r>
        <w:rPr>
          <w:rFonts w:ascii="Consolas" w:hAnsi="Consolas"/>
          <w:b w:val="0"/>
          <w:i w:val="0"/>
          <w:color w:val="222222"/>
          <w:sz w:val="19"/>
        </w:rPr>
        <w:t>spike_times</w:t>
      </w:r>
      <w:r>
        <w:rPr>
          <w:rFonts w:ascii="Calibri" w:hAnsi="Calibri"/>
          <w:b w:val="0"/>
          <w:i w:val="0"/>
          <w:color w:val="222222"/>
          <w:sz w:val="21"/>
        </w:rPr>
        <w:t xml:space="preserve">, </w:t>
      </w:r>
      <w:r>
        <w:rPr>
          <w:rFonts w:ascii="Consolas" w:hAnsi="Consolas"/>
          <w:b w:val="0"/>
          <w:i w:val="0"/>
          <w:color w:val="222222"/>
          <w:sz w:val="19"/>
        </w:rPr>
        <w:t>per_well_features</w:t>
      </w:r>
      <w:r>
        <w:rPr>
          <w:rFonts w:ascii="Calibri" w:hAnsi="Calibri"/>
          <w:b w:val="0"/>
          <w:i w:val="0"/>
          <w:color w:val="222222"/>
          <w:sz w:val="21"/>
        </w:rPr>
        <w:t xml:space="preserve"> or </w:t>
      </w:r>
      <w:r>
        <w:rPr>
          <w:rFonts w:ascii="Consolas" w:hAnsi="Consolas"/>
          <w:b w:val="0"/>
          <w:i w:val="0"/>
          <w:color w:val="222222"/>
          <w:sz w:val="19"/>
        </w:rPr>
        <w:t>fitted_curve</w:t>
      </w:r>
      <w:r>
        <w:rPr>
          <w:rFonts w:ascii="Calibri" w:hAnsi="Calibri"/>
          <w:b w:val="0"/>
          <w:i w:val="0"/>
          <w:color w:val="222222"/>
          <w:sz w:val="21"/>
        </w:rPr>
        <w:t xml:space="preserve">. The level decides what may be computed from the record, and the build enforces that instead of trusting it — a feature that needs spikes cannot be derived from a record holding only a fitted curve. Records validate against </w:t>
      </w:r>
      <w:r>
        <w:rPr>
          <w:rFonts w:ascii="Consolas" w:hAnsi="Consolas"/>
          <w:b w:val="0"/>
          <w:i w:val="0"/>
          <w:color w:val="222222"/>
          <w:sz w:val="19"/>
        </w:rPr>
        <w:t>schema/neuromps_schema.json</w:t>
      </w:r>
      <w:r>
        <w:rPr>
          <w:rFonts w:ascii="Calibri" w:hAnsi="Calibri"/>
          <w:b w:val="0"/>
          <w:i w:val="0"/>
          <w:color w:val="222222"/>
          <w:sz w:val="21"/>
        </w:rPr>
        <w:t xml:space="preserve"> at three conformance levels, so a partially specified source can still enter the asset as long as it declares what it is missing.</w:t>
      </w:r>
    </w:p>
    <w:p>
      <w:pPr>
        <w:spacing w:after="120"/>
      </w:pPr>
      <w:r>
        <w:rPr>
          <w:rFonts w:ascii="Calibri" w:hAnsi="Calibri"/>
          <w:b w:val="0"/>
          <w:i w:val="0"/>
          <w:color w:val="222222"/>
          <w:sz w:val="21"/>
        </w:rPr>
        <w:t>We record quality-control flags but never apply them silently: 537 of 21,887 records are marked unusable, with the diagnostic reason attached, and the flag travels with the record. Each analysis decides whether to honor it and says which it did; if we dropped flagged records inside the pipeline, the reader could never see the drop.</w:t>
      </w:r>
    </w:p>
    <w:p>
      <w:pPr>
        <w:spacing w:after="120"/>
      </w:pPr>
      <w:r>
        <w:rPr>
          <w:rFonts w:ascii="Calibri" w:hAnsi="Calibri"/>
          <w:b w:val="0"/>
          <w:i w:val="0"/>
          <w:color w:val="222222"/>
          <w:sz w:val="21"/>
        </w:rPr>
        <w:t>Each record also carries the method string that produced its features — the exact burst rule, the synchrony method and the active-electrode threshold — so two records computed under different settings cannot be compared by accident.</w:t>
      </w:r>
    </w:p>
    <w:p>
      <w:pPr>
        <w:spacing w:after="120"/>
      </w:pPr>
      <w:r>
        <w:rPr>
          <w:rFonts w:ascii="Calibri" w:hAnsi="Calibri"/>
          <w:b w:val="0"/>
          <w:i w:val="0"/>
          <w:color w:val="222222"/>
          <w:sz w:val="21"/>
        </w:rPr>
        <w:t xml:space="preserve">Ingestion lives in </w:t>
      </w:r>
      <w:r>
        <w:rPr>
          <w:rFonts w:ascii="Consolas" w:hAnsi="Consolas"/>
          <w:b w:val="0"/>
          <w:i w:val="0"/>
          <w:color w:val="222222"/>
          <w:sz w:val="19"/>
        </w:rPr>
        <w:t>src/neuromps/fetch/</w:t>
      </w:r>
      <w:r>
        <w:rPr>
          <w:rFonts w:ascii="Calibri" w:hAnsi="Calibri"/>
          <w:b w:val="0"/>
          <w:i w:val="0"/>
          <w:color w:val="222222"/>
          <w:sz w:val="21"/>
        </w:rPr>
        <w:t xml:space="preserve">. It uses HTTP range requests against remote ZIP archives to pull only the files we need, instead of downloading multi-gigabyte archives. Two server behaviors needed special handling and now have regression tests: one EPA host returns HTTP 500 for suffix ranges, and the same host, when offered gzip encoding, replies with a plausible </w:t>
      </w:r>
      <w:r>
        <w:rPr>
          <w:rFonts w:ascii="Consolas" w:hAnsi="Consolas"/>
          <w:b w:val="0"/>
          <w:i w:val="0"/>
          <w:color w:val="222222"/>
          <w:sz w:val="19"/>
        </w:rPr>
        <w:t>Content-Range</w:t>
      </w:r>
      <w:r>
        <w:rPr>
          <w:rFonts w:ascii="Calibri" w:hAnsi="Calibri"/>
          <w:b w:val="0"/>
          <w:i w:val="0"/>
          <w:color w:val="222222"/>
          <w:sz w:val="21"/>
        </w:rPr>
        <w:t xml:space="preserve"> while actually streaming the whole 7.5 GB file from byte zero.</w:t>
      </w:r>
    </w:p>
    <w:p>
      <w:pPr>
        <w:keepNext/>
        <w:spacing w:before="240" w:after="60"/>
      </w:pPr>
      <w:r>
        <w:rPr>
          <w:rFonts w:ascii="Calibri" w:hAnsi="Calibri"/>
          <w:b/>
          <w:i w:val="0"/>
          <w:color w:val="1F4E79"/>
          <w:sz w:val="23"/>
        </w:rPr>
        <w:t>Appendix C — Data sources and licenses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426"/>
        <w:gridCol w:w="1540"/>
        <w:gridCol w:w="906"/>
        <w:gridCol w:w="1721"/>
        <w:gridCol w:w="816"/>
        <w:gridCol w:w="1087"/>
      </w:tblGrid>
      <w:tr>
        <w:trPr>
          <w:cantSplit/>
          <w:tblHeader/>
        </w:trPr>
        <w:tc>
          <w:tcPr>
            <w:tcW w:type="dxa" w:w="2426"/>
            <w:shd w:val="clear" w:color="auto" w:fill="1F4E79"/>
            <w:vAlign w:val="center"/>
          </w:tcPr>
          <w:p>
            <w:pPr>
              <w:keepNext/>
              <w:spacing w:after="0"/>
            </w:pPr>
            <w:r>
              <w:rPr>
                <w:rFonts w:ascii="Calibri" w:hAnsi="Calibri"/>
                <w:b/>
                <w:i w:val="0"/>
                <w:color w:val="FFFFFF"/>
                <w:sz w:val="20"/>
              </w:rPr>
              <w:t>dataset</w:t>
            </w:r>
          </w:p>
        </w:tc>
        <w:tc>
          <w:tcPr>
            <w:tcW w:type="dxa" w:w="1540"/>
            <w:shd w:val="clear" w:color="auto" w:fill="1F4E79"/>
            <w:vAlign w:val="center"/>
          </w:tcPr>
          <w:p>
            <w:pPr>
              <w:keepNext/>
              <w:spacing w:after="0"/>
            </w:pPr>
            <w:r>
              <w:rPr>
                <w:rFonts w:ascii="Calibri" w:hAnsi="Calibri"/>
                <w:b/>
                <w:i w:val="0"/>
                <w:color w:val="FFFFFF"/>
                <w:sz w:val="20"/>
              </w:rPr>
              <w:t>platform format</w:t>
            </w:r>
          </w:p>
        </w:tc>
        <w:tc>
          <w:tcPr>
            <w:tcW w:type="dxa" w:w="906"/>
            <w:shd w:val="clear" w:color="auto" w:fill="1F4E79"/>
            <w:vAlign w:val="center"/>
          </w:tcPr>
          <w:p>
            <w:pPr>
              <w:keepNext/>
              <w:spacing w:after="0"/>
            </w:pPr>
            <w:r>
              <w:rPr>
                <w:rFonts w:ascii="Calibri" w:hAnsi="Calibri"/>
                <w:b/>
                <w:i w:val="0"/>
                <w:color w:val="FFFFFF"/>
                <w:sz w:val="20"/>
              </w:rPr>
              <w:t>species</w:t>
            </w:r>
          </w:p>
        </w:tc>
        <w:tc>
          <w:tcPr>
            <w:tcW w:type="dxa" w:w="1721"/>
            <w:shd w:val="clear" w:color="auto" w:fill="1F4E79"/>
            <w:vAlign w:val="center"/>
          </w:tcPr>
          <w:p>
            <w:pPr>
              <w:keepNext/>
              <w:spacing w:after="0"/>
            </w:pPr>
            <w:r>
              <w:rPr>
                <w:rFonts w:ascii="Calibri" w:hAnsi="Calibri"/>
                <w:b/>
                <w:i w:val="0"/>
                <w:color w:val="FFFFFF"/>
                <w:sz w:val="20"/>
              </w:rPr>
              <w:t>experimental role</w:t>
            </w:r>
          </w:p>
        </w:tc>
        <w:tc>
          <w:tcPr>
            <w:tcW w:type="dxa" w:w="816"/>
            <w:shd w:val="clear" w:color="auto" w:fill="1F4E79"/>
            <w:vAlign w:val="center"/>
          </w:tcPr>
          <w:p>
            <w:pPr>
              <w:keepNext/>
              <w:spacing w:after="0"/>
            </w:pPr>
            <w:r>
              <w:rPr>
                <w:rFonts w:ascii="Calibri" w:hAnsi="Calibri"/>
                <w:b/>
                <w:i w:val="0"/>
                <w:color w:val="FFFFFF"/>
                <w:sz w:val="20"/>
              </w:rPr>
              <w:t>records</w:t>
            </w:r>
          </w:p>
        </w:tc>
        <w:tc>
          <w:tcPr>
            <w:tcW w:type="dxa" w:w="1087"/>
            <w:shd w:val="clear" w:color="auto" w:fill="1F4E79"/>
            <w:vAlign w:val="center"/>
          </w:tcPr>
          <w:p>
            <w:pPr>
              <w:keepNext/>
              <w:spacing w:after="0"/>
            </w:pPr>
            <w:r>
              <w:rPr>
                <w:rFonts w:ascii="Calibri" w:hAnsi="Calibri"/>
                <w:b/>
                <w:i w:val="0"/>
                <w:color w:val="FFFFFF"/>
                <w:sz w:val="20"/>
              </w:rPr>
              <w:t>status</w:t>
            </w:r>
          </w:p>
        </w:tc>
      </w:tr>
      <w:tr>
        <w:trPr>
          <w:cantSplit/>
        </w:trPr>
        <w:tc>
          <w:tcPr>
            <w:tcW w:type="dxa" w:w="2426"/>
            <w:shd w:val="clear" w:color="auto" w:fill="FFFFFF"/>
            <w:vAlign w:val="center"/>
          </w:tcPr>
          <w:p>
            <w:pPr>
              <w:keepNext/>
              <w:spacing w:after="0"/>
            </w:pPr>
            <w:r>
              <w:rPr>
                <w:rFonts w:ascii="Consolas" w:hAnsi="Consolas"/>
                <w:b/>
                <w:i w:val="0"/>
                <w:color w:val="222222"/>
                <w:sz w:val="18"/>
              </w:rPr>
              <w:t>toxcast_mea</w:t>
            </w:r>
          </w:p>
        </w:tc>
        <w:tc>
          <w:tcPr>
            <w:tcW w:type="dxa" w:w="1540"/>
            <w:shd w:val="clear" w:color="auto" w:fill="FFFFFF"/>
            <w:vAlign w:val="center"/>
          </w:tcPr>
          <w:p>
            <w:pPr>
              <w:keepNext/>
              <w:spacing w:after="0"/>
            </w:pPr>
            <w:r>
              <w:rPr>
                <w:rFonts w:ascii="Calibri" w:hAnsi="Calibri"/>
                <w:b w:val="0"/>
                <w:i w:val="0"/>
                <w:color w:val="222222"/>
                <w:sz w:val="20"/>
              </w:rPr>
              <w:t>screening MEA</w:t>
            </w:r>
          </w:p>
        </w:tc>
        <w:tc>
          <w:tcPr>
            <w:tcW w:type="dxa" w:w="906"/>
            <w:shd w:val="clear" w:color="auto" w:fill="FFFFFF"/>
            <w:vAlign w:val="center"/>
          </w:tcPr>
          <w:p>
            <w:pPr>
              <w:keepNext/>
              <w:spacing w:after="0"/>
            </w:pPr>
            <w:r>
              <w:rPr>
                <w:rFonts w:ascii="Calibri" w:hAnsi="Calibri"/>
                <w:b w:val="0"/>
                <w:i w:val="0"/>
                <w:color w:val="222222"/>
                <w:sz w:val="20"/>
              </w:rPr>
              <w:t>rat</w:t>
            </w:r>
          </w:p>
        </w:tc>
        <w:tc>
          <w:tcPr>
            <w:tcW w:type="dxa" w:w="1721"/>
            <w:shd w:val="clear" w:color="auto" w:fill="FFFFFF"/>
            <w:vAlign w:val="center"/>
          </w:tcPr>
          <w:p>
            <w:pPr>
              <w:keepNext/>
              <w:spacing w:after="0"/>
            </w:pPr>
            <w:r>
              <w:rPr>
                <w:rFonts w:ascii="Calibri" w:hAnsi="Calibri"/>
                <w:b w:val="0"/>
                <w:i w:val="0"/>
                <w:color w:val="222222"/>
                <w:sz w:val="20"/>
              </w:rPr>
              <w:t>high-throughput reference, fitted curves</w:t>
            </w:r>
          </w:p>
        </w:tc>
        <w:tc>
          <w:tcPr>
            <w:tcW w:type="dxa" w:w="816"/>
            <w:shd w:val="clear" w:color="auto" w:fill="FFFFFF"/>
            <w:vAlign w:val="center"/>
          </w:tcPr>
          <w:p>
            <w:pPr>
              <w:keepNext/>
              <w:spacing w:after="0"/>
              <w:jc w:val="center"/>
            </w:pPr>
            <w:r>
              <w:rPr>
                <w:rFonts w:ascii="Calibri" w:hAnsi="Calibri"/>
                <w:b w:val="0"/>
                <w:i w:val="0"/>
                <w:color w:val="222222"/>
                <w:sz w:val="20"/>
              </w:rPr>
              <w:t>20,375</w:t>
            </w:r>
          </w:p>
        </w:tc>
        <w:tc>
          <w:tcPr>
            <w:tcW w:type="dxa" w:w="1087"/>
            <w:shd w:val="clear" w:color="auto" w:fill="FFFFFF"/>
            <w:vAlign w:val="center"/>
          </w:tcPr>
          <w:p>
            <w:pPr>
              <w:keepNext/>
              <w:spacing w:after="0"/>
            </w:pPr>
            <w:r>
              <w:rPr>
                <w:rFonts w:ascii="Calibri" w:hAnsi="Calibri"/>
                <w:b w:val="0"/>
                <w:i w:val="0"/>
                <w:color w:val="222222"/>
                <w:sz w:val="20"/>
              </w:rPr>
              <w:t>ingested</w:t>
            </w:r>
          </w:p>
        </w:tc>
      </w:tr>
      <w:tr>
        <w:trPr>
          <w:cantSplit/>
        </w:trPr>
        <w:tc>
          <w:tcPr>
            <w:tcW w:type="dxa" w:w="2426"/>
            <w:shd w:val="clear" w:color="auto" w:fill="F7F9FB"/>
            <w:vAlign w:val="center"/>
          </w:tcPr>
          <w:p>
            <w:pPr>
              <w:keepNext/>
              <w:spacing w:after="0"/>
            </w:pPr>
            <w:r>
              <w:rPr>
                <w:rFonts w:ascii="Consolas" w:hAnsi="Consolas"/>
                <w:b/>
                <w:i w:val="0"/>
                <w:color w:val="222222"/>
                <w:sz w:val="18"/>
              </w:rPr>
              <w:t>screenneuropharm_bic</w:t>
            </w:r>
          </w:p>
        </w:tc>
        <w:tc>
          <w:tcPr>
            <w:tcW w:type="dxa" w:w="1540"/>
            <w:shd w:val="clear" w:color="auto" w:fill="F7F9FB"/>
            <w:vAlign w:val="center"/>
          </w:tcPr>
          <w:p>
            <w:pPr>
              <w:keepNext/>
              <w:spacing w:after="0"/>
            </w:pPr>
            <w:r>
              <w:rPr>
                <w:rFonts w:ascii="Calibri" w:hAnsi="Calibri"/>
                <w:b w:val="0"/>
                <w:i w:val="0"/>
                <w:color w:val="222222"/>
                <w:sz w:val="20"/>
              </w:rPr>
              <w:t>two-compartment chip</w:t>
            </w:r>
          </w:p>
        </w:tc>
        <w:tc>
          <w:tcPr>
            <w:tcW w:type="dxa" w:w="906"/>
            <w:shd w:val="clear" w:color="auto" w:fill="F7F9FB"/>
            <w:vAlign w:val="center"/>
          </w:tcPr>
          <w:p>
            <w:pPr>
              <w:keepNext/>
              <w:spacing w:after="0"/>
            </w:pPr>
            <w:r>
              <w:rPr>
                <w:rFonts w:ascii="Calibri" w:hAnsi="Calibri"/>
                <w:b w:val="0"/>
                <w:i w:val="0"/>
                <w:color w:val="222222"/>
                <w:sz w:val="20"/>
              </w:rPr>
              <w:t>rat</w:t>
            </w:r>
          </w:p>
        </w:tc>
        <w:tc>
          <w:tcPr>
            <w:tcW w:type="dxa" w:w="1721"/>
            <w:shd w:val="clear" w:color="auto" w:fill="F7F9FB"/>
            <w:vAlign w:val="center"/>
          </w:tcPr>
          <w:p>
            <w:pPr>
              <w:keepNext/>
              <w:spacing w:after="0"/>
            </w:pPr>
            <w:r>
              <w:rPr>
                <w:rFonts w:ascii="Calibri" w:hAnsi="Calibri"/>
                <w:b w:val="0"/>
                <w:i w:val="0"/>
                <w:color w:val="222222"/>
                <w:sz w:val="20"/>
              </w:rPr>
              <w:t>directionality and twin calibration</w:t>
            </w:r>
          </w:p>
        </w:tc>
        <w:tc>
          <w:tcPr>
            <w:tcW w:type="dxa" w:w="816"/>
            <w:shd w:val="clear" w:color="auto" w:fill="F7F9FB"/>
            <w:vAlign w:val="center"/>
          </w:tcPr>
          <w:p>
            <w:pPr>
              <w:keepNext/>
              <w:spacing w:after="0"/>
              <w:jc w:val="center"/>
            </w:pPr>
            <w:r>
              <w:rPr>
                <w:rFonts w:ascii="Calibri" w:hAnsi="Calibri"/>
                <w:b w:val="0"/>
                <w:i w:val="0"/>
                <w:color w:val="222222"/>
                <w:sz w:val="20"/>
              </w:rPr>
              <w:t>580</w:t>
            </w:r>
          </w:p>
        </w:tc>
        <w:tc>
          <w:tcPr>
            <w:tcW w:type="dxa" w:w="1087"/>
            <w:shd w:val="clear" w:color="auto" w:fill="F7F9FB"/>
            <w:vAlign w:val="center"/>
          </w:tcPr>
          <w:p>
            <w:pPr>
              <w:keepNext/>
              <w:spacing w:after="0"/>
            </w:pPr>
            <w:r>
              <w:rPr>
                <w:rFonts w:ascii="Calibri" w:hAnsi="Calibri"/>
                <w:b w:val="0"/>
                <w:i w:val="0"/>
                <w:color w:val="222222"/>
                <w:sz w:val="20"/>
              </w:rPr>
              <w:t>ingested</w:t>
            </w:r>
          </w:p>
        </w:tc>
      </w:tr>
      <w:tr>
        <w:trPr>
          <w:cantSplit/>
        </w:trPr>
        <w:tc>
          <w:tcPr>
            <w:tcW w:type="dxa" w:w="2426"/>
            <w:shd w:val="clear" w:color="auto" w:fill="FFFFFF"/>
            <w:vAlign w:val="center"/>
          </w:tcPr>
          <w:p>
            <w:pPr>
              <w:keepNext/>
              <w:spacing w:after="0"/>
            </w:pPr>
            <w:r>
              <w:rPr>
                <w:rFonts w:ascii="Consolas" w:hAnsi="Consolas"/>
                <w:b/>
                <w:i w:val="0"/>
                <w:color w:val="222222"/>
                <w:sz w:val="18"/>
              </w:rPr>
              <w:t>kapucu2022</w:t>
            </w:r>
          </w:p>
        </w:tc>
        <w:tc>
          <w:tcPr>
            <w:tcW w:type="dxa" w:w="1540"/>
            <w:shd w:val="clear" w:color="auto" w:fill="FFFFFF"/>
            <w:vAlign w:val="center"/>
          </w:tcPr>
          <w:p>
            <w:pPr>
              <w:keepNext/>
              <w:spacing w:after="0"/>
            </w:pPr>
            <w:r>
              <w:rPr>
                <w:rFonts w:ascii="Calibri" w:hAnsi="Calibri"/>
                <w:b w:val="0"/>
                <w:i w:val="0"/>
                <w:color w:val="222222"/>
                <w:sz w:val="20"/>
              </w:rPr>
              <w:t>planar 48-well MEA</w:t>
            </w:r>
          </w:p>
        </w:tc>
        <w:tc>
          <w:tcPr>
            <w:tcW w:type="dxa" w:w="906"/>
            <w:shd w:val="clear" w:color="auto" w:fill="FFFFFF"/>
            <w:vAlign w:val="center"/>
          </w:tcPr>
          <w:p>
            <w:pPr>
              <w:keepNext/>
              <w:spacing w:after="0"/>
            </w:pPr>
            <w:r>
              <w:rPr>
                <w:rFonts w:ascii="Calibri" w:hAnsi="Calibri"/>
                <w:b w:val="0"/>
                <w:i w:val="0"/>
                <w:color w:val="222222"/>
                <w:sz w:val="20"/>
              </w:rPr>
              <w:t>rat / human</w:t>
            </w:r>
          </w:p>
        </w:tc>
        <w:tc>
          <w:tcPr>
            <w:tcW w:type="dxa" w:w="1721"/>
            <w:shd w:val="clear" w:color="auto" w:fill="FFFFFF"/>
            <w:vAlign w:val="center"/>
          </w:tcPr>
          <w:p>
            <w:pPr>
              <w:keepNext/>
              <w:spacing w:after="0"/>
            </w:pPr>
            <w:r>
              <w:rPr>
                <w:rFonts w:ascii="Calibri" w:hAnsi="Calibri"/>
                <w:b w:val="0"/>
                <w:i w:val="0"/>
                <w:color w:val="222222"/>
                <w:sz w:val="20"/>
              </w:rPr>
              <w:t>primary ML benchmark and transfer</w:t>
            </w:r>
          </w:p>
        </w:tc>
        <w:tc>
          <w:tcPr>
            <w:tcW w:type="dxa" w:w="816"/>
            <w:shd w:val="clear" w:color="auto" w:fill="FFFFFF"/>
            <w:vAlign w:val="center"/>
          </w:tcPr>
          <w:p>
            <w:pPr>
              <w:keepNext/>
              <w:spacing w:after="0"/>
              <w:jc w:val="center"/>
            </w:pPr>
            <w:r>
              <w:rPr>
                <w:rFonts w:ascii="Calibri" w:hAnsi="Calibri"/>
                <w:b w:val="0"/>
                <w:i w:val="0"/>
                <w:color w:val="222222"/>
                <w:sz w:val="20"/>
              </w:rPr>
              <w:t>288</w:t>
            </w:r>
          </w:p>
        </w:tc>
        <w:tc>
          <w:tcPr>
            <w:tcW w:type="dxa" w:w="1087"/>
            <w:shd w:val="clear" w:color="auto" w:fill="FFFFFF"/>
            <w:vAlign w:val="center"/>
          </w:tcPr>
          <w:p>
            <w:pPr>
              <w:keepNext/>
              <w:spacing w:after="0"/>
            </w:pPr>
            <w:r>
              <w:rPr>
                <w:rFonts w:ascii="Calibri" w:hAnsi="Calibri"/>
                <w:b w:val="0"/>
                <w:i w:val="0"/>
                <w:color w:val="222222"/>
                <w:sz w:val="20"/>
              </w:rPr>
              <w:t>ingested</w:t>
            </w:r>
          </w:p>
        </w:tc>
      </w:tr>
      <w:tr>
        <w:trPr>
          <w:cantSplit/>
        </w:trPr>
        <w:tc>
          <w:tcPr>
            <w:tcW w:type="dxa" w:w="2426"/>
            <w:shd w:val="clear" w:color="auto" w:fill="F7F9FB"/>
            <w:vAlign w:val="center"/>
          </w:tcPr>
          <w:p>
            <w:pPr>
              <w:keepNext/>
              <w:spacing w:after="0"/>
            </w:pPr>
            <w:r>
              <w:rPr>
                <w:rFonts w:ascii="Consolas" w:hAnsi="Consolas"/>
                <w:b/>
                <w:i w:val="0"/>
                <w:color w:val="222222"/>
                <w:sz w:val="18"/>
              </w:rPr>
              <w:t>vassallo2017</w:t>
            </w:r>
          </w:p>
        </w:tc>
        <w:tc>
          <w:tcPr>
            <w:tcW w:type="dxa" w:w="1540"/>
            <w:shd w:val="clear" w:color="auto" w:fill="F7F9FB"/>
            <w:vAlign w:val="center"/>
          </w:tcPr>
          <w:p>
            <w:pPr>
              <w:keepNext/>
              <w:spacing w:after="0"/>
            </w:pPr>
            <w:r>
              <w:rPr>
                <w:rFonts w:ascii="Calibri" w:hAnsi="Calibri"/>
                <w:b w:val="0"/>
                <w:i w:val="0"/>
                <w:color w:val="222222"/>
                <w:sz w:val="20"/>
              </w:rPr>
              <w:t>planar MEA</w:t>
            </w:r>
          </w:p>
        </w:tc>
        <w:tc>
          <w:tcPr>
            <w:tcW w:type="dxa" w:w="906"/>
            <w:shd w:val="clear" w:color="auto" w:fill="F7F9FB"/>
            <w:vAlign w:val="center"/>
          </w:tcPr>
          <w:p>
            <w:pPr>
              <w:keepNext/>
              <w:spacing w:after="0"/>
            </w:pPr>
            <w:r>
              <w:rPr>
                <w:rFonts w:ascii="Calibri" w:hAnsi="Calibri"/>
                <w:b w:val="0"/>
                <w:i w:val="0"/>
                <w:color w:val="222222"/>
                <w:sz w:val="20"/>
              </w:rPr>
              <w:t>rat</w:t>
            </w:r>
          </w:p>
        </w:tc>
        <w:tc>
          <w:tcPr>
            <w:tcW w:type="dxa" w:w="1721"/>
            <w:shd w:val="clear" w:color="auto" w:fill="F7F9FB"/>
            <w:vAlign w:val="center"/>
          </w:tcPr>
          <w:p>
            <w:pPr>
              <w:keepNext/>
              <w:spacing w:after="0"/>
            </w:pPr>
            <w:r>
              <w:rPr>
                <w:rFonts w:ascii="Calibri" w:hAnsi="Calibri"/>
                <w:b w:val="0"/>
                <w:i w:val="0"/>
                <w:color w:val="222222"/>
                <w:sz w:val="20"/>
              </w:rPr>
              <w:t>second within-platform benchmark</w:t>
            </w:r>
          </w:p>
        </w:tc>
        <w:tc>
          <w:tcPr>
            <w:tcW w:type="dxa" w:w="816"/>
            <w:shd w:val="clear" w:color="auto" w:fill="F7F9FB"/>
            <w:vAlign w:val="center"/>
          </w:tcPr>
          <w:p>
            <w:pPr>
              <w:keepNext/>
              <w:spacing w:after="0"/>
              <w:jc w:val="center"/>
            </w:pPr>
            <w:r>
              <w:rPr>
                <w:rFonts w:ascii="Calibri" w:hAnsi="Calibri"/>
                <w:b w:val="0"/>
                <w:i w:val="0"/>
                <w:color w:val="222222"/>
                <w:sz w:val="20"/>
              </w:rPr>
              <w:t>283</w:t>
            </w:r>
          </w:p>
        </w:tc>
        <w:tc>
          <w:tcPr>
            <w:tcW w:type="dxa" w:w="1087"/>
            <w:shd w:val="clear" w:color="auto" w:fill="F7F9FB"/>
            <w:vAlign w:val="center"/>
          </w:tcPr>
          <w:p>
            <w:pPr>
              <w:keepNext/>
              <w:spacing w:after="0"/>
            </w:pPr>
            <w:r>
              <w:rPr>
                <w:rFonts w:ascii="Calibri" w:hAnsi="Calibri"/>
                <w:b w:val="0"/>
                <w:i w:val="0"/>
                <w:color w:val="222222"/>
                <w:sz w:val="20"/>
              </w:rPr>
              <w:t>ingested</w:t>
            </w:r>
          </w:p>
        </w:tc>
      </w:tr>
      <w:tr>
        <w:trPr>
          <w:cantSplit/>
        </w:trPr>
        <w:tc>
          <w:tcPr>
            <w:tcW w:type="dxa" w:w="2426"/>
            <w:shd w:val="clear" w:color="auto" w:fill="FFFFFF"/>
            <w:vAlign w:val="center"/>
          </w:tcPr>
          <w:p>
            <w:pPr>
              <w:keepNext/>
              <w:spacing w:after="0"/>
            </w:pPr>
            <w:r>
              <w:rPr>
                <w:rFonts w:ascii="Consolas" w:hAnsi="Consolas"/>
                <w:b/>
                <w:i w:val="0"/>
                <w:color w:val="222222"/>
                <w:sz w:val="18"/>
              </w:rPr>
              <w:t>trujillo2019</w:t>
            </w:r>
          </w:p>
        </w:tc>
        <w:tc>
          <w:tcPr>
            <w:tcW w:type="dxa" w:w="1540"/>
            <w:shd w:val="clear" w:color="auto" w:fill="FFFFFF"/>
            <w:vAlign w:val="center"/>
          </w:tcPr>
          <w:p>
            <w:pPr>
              <w:keepNext/>
              <w:spacing w:after="0"/>
            </w:pPr>
            <w:r>
              <w:rPr>
                <w:rFonts w:ascii="Calibri" w:hAnsi="Calibri"/>
                <w:b w:val="0"/>
                <w:i w:val="0"/>
                <w:color w:val="222222"/>
                <w:sz w:val="20"/>
              </w:rPr>
              <w:t>planar MEA</w:t>
            </w:r>
          </w:p>
        </w:tc>
        <w:tc>
          <w:tcPr>
            <w:tcW w:type="dxa" w:w="906"/>
            <w:shd w:val="clear" w:color="auto" w:fill="FFFFFF"/>
            <w:vAlign w:val="center"/>
          </w:tcPr>
          <w:p>
            <w:pPr>
              <w:keepNext/>
              <w:spacing w:after="0"/>
            </w:pPr>
            <w:r>
              <w:rPr>
                <w:rFonts w:ascii="Calibri" w:hAnsi="Calibri"/>
                <w:b w:val="0"/>
                <w:i w:val="0"/>
                <w:color w:val="222222"/>
                <w:sz w:val="20"/>
              </w:rPr>
              <w:t>human organoid</w:t>
            </w:r>
          </w:p>
        </w:tc>
        <w:tc>
          <w:tcPr>
            <w:tcW w:type="dxa" w:w="1721"/>
            <w:shd w:val="clear" w:color="auto" w:fill="FFFFFF"/>
            <w:vAlign w:val="center"/>
          </w:tcPr>
          <w:p>
            <w:pPr>
              <w:keepNext/>
              <w:spacing w:after="0"/>
            </w:pPr>
            <w:r>
              <w:rPr>
                <w:rFonts w:ascii="Calibri" w:hAnsi="Calibri"/>
                <w:b w:val="0"/>
                <w:i w:val="0"/>
                <w:color w:val="222222"/>
                <w:sz w:val="20"/>
              </w:rPr>
              <w:t>baseline electrophysiology</w:t>
            </w:r>
          </w:p>
        </w:tc>
        <w:tc>
          <w:tcPr>
            <w:tcW w:type="dxa" w:w="816"/>
            <w:shd w:val="clear" w:color="auto" w:fill="FFFFFF"/>
            <w:vAlign w:val="center"/>
          </w:tcPr>
          <w:p>
            <w:pPr>
              <w:keepNext/>
              <w:spacing w:after="0"/>
              <w:jc w:val="center"/>
            </w:pPr>
            <w:r>
              <w:rPr>
                <w:rFonts w:ascii="Calibri" w:hAnsi="Calibri"/>
                <w:b w:val="0"/>
                <w:i w:val="0"/>
                <w:color w:val="222222"/>
                <w:sz w:val="20"/>
              </w:rPr>
              <w:t>184</w:t>
            </w:r>
          </w:p>
        </w:tc>
        <w:tc>
          <w:tcPr>
            <w:tcW w:type="dxa" w:w="1087"/>
            <w:shd w:val="clear" w:color="auto" w:fill="FFFFFF"/>
            <w:vAlign w:val="center"/>
          </w:tcPr>
          <w:p>
            <w:pPr>
              <w:keepNext/>
              <w:spacing w:after="0"/>
            </w:pPr>
            <w:r>
              <w:rPr>
                <w:rFonts w:ascii="Calibri" w:hAnsi="Calibri"/>
                <w:b w:val="0"/>
                <w:i w:val="0"/>
                <w:color w:val="222222"/>
                <w:sz w:val="20"/>
              </w:rPr>
              <w:t>ingested</w:t>
            </w:r>
          </w:p>
        </w:tc>
      </w:tr>
      <w:tr>
        <w:trPr>
          <w:cantSplit/>
        </w:trPr>
        <w:tc>
          <w:tcPr>
            <w:tcW w:type="dxa" w:w="2426"/>
            <w:shd w:val="clear" w:color="auto" w:fill="F7F9FB"/>
            <w:vAlign w:val="center"/>
          </w:tcPr>
          <w:p>
            <w:pPr>
              <w:keepNext/>
              <w:spacing w:after="0"/>
            </w:pPr>
            <w:r>
              <w:rPr>
                <w:rFonts w:ascii="Consolas" w:hAnsi="Consolas"/>
                <w:b/>
                <w:i w:val="0"/>
                <w:color w:val="222222"/>
                <w:sz w:val="18"/>
              </w:rPr>
              <w:t>mateus2024</w:t>
            </w:r>
          </w:p>
        </w:tc>
        <w:tc>
          <w:tcPr>
            <w:tcW w:type="dxa" w:w="1540"/>
            <w:shd w:val="clear" w:color="auto" w:fill="F7F9FB"/>
            <w:vAlign w:val="center"/>
          </w:tcPr>
          <w:p>
            <w:pPr>
              <w:keepNext/>
              <w:spacing w:after="0"/>
            </w:pPr>
            <w:r>
              <w:rPr>
                <w:rFonts w:ascii="Calibri" w:hAnsi="Calibri"/>
                <w:b w:val="0"/>
                <w:i w:val="0"/>
                <w:color w:val="222222"/>
                <w:sz w:val="20"/>
              </w:rPr>
              <w:t>microchannel MEA</w:t>
            </w:r>
          </w:p>
        </w:tc>
        <w:tc>
          <w:tcPr>
            <w:tcW w:type="dxa" w:w="906"/>
            <w:shd w:val="clear" w:color="auto" w:fill="F7F9FB"/>
            <w:vAlign w:val="center"/>
          </w:tcPr>
          <w:p>
            <w:pPr>
              <w:keepNext/>
              <w:spacing w:after="0"/>
            </w:pPr>
            <w:r>
              <w:rPr>
                <w:rFonts w:ascii="Calibri" w:hAnsi="Calibri"/>
                <w:b w:val="0"/>
                <w:i w:val="0"/>
                <w:color w:val="222222"/>
                <w:sz w:val="20"/>
              </w:rPr>
              <w:t>rat</w:t>
            </w:r>
          </w:p>
        </w:tc>
        <w:tc>
          <w:tcPr>
            <w:tcW w:type="dxa" w:w="1721"/>
            <w:shd w:val="clear" w:color="auto" w:fill="F7F9FB"/>
            <w:vAlign w:val="center"/>
          </w:tcPr>
          <w:p>
            <w:pPr>
              <w:keepNext/>
              <w:spacing w:after="0"/>
            </w:pPr>
            <w:r>
              <w:rPr>
                <w:rFonts w:ascii="Calibri" w:hAnsi="Calibri"/>
                <w:b w:val="0"/>
                <w:i w:val="0"/>
                <w:color w:val="222222"/>
                <w:sz w:val="20"/>
              </w:rPr>
              <w:t>microchannel propagation asymmetry</w:t>
            </w:r>
          </w:p>
        </w:tc>
        <w:tc>
          <w:tcPr>
            <w:tcW w:type="dxa" w:w="816"/>
            <w:shd w:val="clear" w:color="auto" w:fill="F7F9FB"/>
            <w:vAlign w:val="center"/>
          </w:tcPr>
          <w:p>
            <w:pPr>
              <w:keepNext/>
              <w:spacing w:after="0"/>
              <w:jc w:val="center"/>
            </w:pPr>
            <w:r>
              <w:rPr>
                <w:rFonts w:ascii="Calibri" w:hAnsi="Calibri"/>
                <w:b w:val="0"/>
                <w:i w:val="0"/>
                <w:color w:val="222222"/>
                <w:sz w:val="20"/>
              </w:rPr>
              <w:t>108</w:t>
            </w:r>
          </w:p>
        </w:tc>
        <w:tc>
          <w:tcPr>
            <w:tcW w:type="dxa" w:w="1087"/>
            <w:shd w:val="clear" w:color="auto" w:fill="F7F9FB"/>
            <w:vAlign w:val="center"/>
          </w:tcPr>
          <w:p>
            <w:pPr>
              <w:keepNext/>
              <w:spacing w:after="0"/>
            </w:pPr>
            <w:r>
              <w:rPr>
                <w:rFonts w:ascii="Calibri" w:hAnsi="Calibri"/>
                <w:b w:val="0"/>
                <w:i w:val="0"/>
                <w:color w:val="222222"/>
                <w:sz w:val="20"/>
              </w:rPr>
              <w:t>ingested</w:t>
            </w:r>
          </w:p>
        </w:tc>
      </w:tr>
      <w:tr>
        <w:trPr>
          <w:cantSplit/>
        </w:trPr>
        <w:tc>
          <w:tcPr>
            <w:tcW w:type="dxa" w:w="2426"/>
            <w:shd w:val="clear" w:color="auto" w:fill="FFFFFF"/>
            <w:vAlign w:val="center"/>
          </w:tcPr>
          <w:p>
            <w:pPr>
              <w:keepNext/>
              <w:spacing w:after="0"/>
            </w:pPr>
            <w:r>
              <w:rPr>
                <w:rFonts w:ascii="Consolas" w:hAnsi="Consolas"/>
                <w:b/>
                <w:i w:val="0"/>
                <w:color w:val="222222"/>
                <w:sz w:val="18"/>
              </w:rPr>
              <w:t>brewer2021</w:t>
            </w:r>
          </w:p>
        </w:tc>
        <w:tc>
          <w:tcPr>
            <w:tcW w:type="dxa" w:w="1540"/>
            <w:shd w:val="clear" w:color="auto" w:fill="FFFFFF"/>
            <w:vAlign w:val="center"/>
          </w:tcPr>
          <w:p>
            <w:pPr>
              <w:keepNext/>
              <w:spacing w:after="0"/>
            </w:pPr>
            <w:r>
              <w:rPr>
                <w:rFonts w:ascii="Calibri" w:hAnsi="Calibri"/>
                <w:b w:val="0"/>
                <w:i w:val="0"/>
                <w:color w:val="222222"/>
                <w:sz w:val="20"/>
              </w:rPr>
              <w:t>microchannel MEA</w:t>
            </w:r>
          </w:p>
        </w:tc>
        <w:tc>
          <w:tcPr>
            <w:tcW w:type="dxa" w:w="906"/>
            <w:shd w:val="clear" w:color="auto" w:fill="FFFFFF"/>
            <w:vAlign w:val="center"/>
          </w:tcPr>
          <w:p>
            <w:pPr>
              <w:keepNext/>
              <w:spacing w:after="0"/>
            </w:pPr>
            <w:r>
              <w:rPr>
                <w:rFonts w:ascii="Calibri" w:hAnsi="Calibri"/>
                <w:b w:val="0"/>
                <w:i w:val="0"/>
                <w:color w:val="222222"/>
                <w:sz w:val="20"/>
              </w:rPr>
              <w:t>rat</w:t>
            </w:r>
          </w:p>
        </w:tc>
        <w:tc>
          <w:tcPr>
            <w:tcW w:type="dxa" w:w="1721"/>
            <w:shd w:val="clear" w:color="auto" w:fill="FFFFFF"/>
            <w:vAlign w:val="center"/>
          </w:tcPr>
          <w:p>
            <w:pPr>
              <w:keepNext/>
              <w:spacing w:after="0"/>
            </w:pPr>
            <w:r>
              <w:rPr>
                <w:rFonts w:ascii="Calibri" w:hAnsi="Calibri"/>
                <w:b w:val="0"/>
                <w:i w:val="0"/>
                <w:color w:val="222222"/>
                <w:sz w:val="20"/>
              </w:rPr>
              <w:t>axonal propagation ground truth</w:t>
            </w:r>
          </w:p>
        </w:tc>
        <w:tc>
          <w:tcPr>
            <w:tcW w:type="dxa" w:w="816"/>
            <w:shd w:val="clear" w:color="auto" w:fill="FFFFFF"/>
            <w:vAlign w:val="center"/>
          </w:tcPr>
          <w:p>
            <w:pPr>
              <w:keepNext/>
              <w:spacing w:after="0"/>
              <w:jc w:val="center"/>
            </w:pPr>
            <w:r>
              <w:rPr>
                <w:rFonts w:ascii="Calibri" w:hAnsi="Calibri"/>
                <w:b w:val="0"/>
                <w:i w:val="0"/>
                <w:color w:val="222222"/>
                <w:sz w:val="20"/>
              </w:rPr>
              <w:t>40</w:t>
            </w:r>
          </w:p>
        </w:tc>
        <w:tc>
          <w:tcPr>
            <w:tcW w:type="dxa" w:w="1087"/>
            <w:shd w:val="clear" w:color="auto" w:fill="FFFFFF"/>
            <w:vAlign w:val="center"/>
          </w:tcPr>
          <w:p>
            <w:pPr>
              <w:keepNext/>
              <w:spacing w:after="0"/>
            </w:pPr>
            <w:r>
              <w:rPr>
                <w:rFonts w:ascii="Calibri" w:hAnsi="Calibri"/>
                <w:b w:val="0"/>
                <w:i w:val="0"/>
                <w:color w:val="222222"/>
                <w:sz w:val="20"/>
              </w:rPr>
              <w:t>ingested</w:t>
            </w:r>
          </w:p>
        </w:tc>
      </w:tr>
      <w:tr>
        <w:trPr>
          <w:cantSplit/>
        </w:trPr>
        <w:tc>
          <w:tcPr>
            <w:tcW w:type="dxa" w:w="2426"/>
            <w:shd w:val="clear" w:color="auto" w:fill="F7F9FB"/>
            <w:vAlign w:val="center"/>
          </w:tcPr>
          <w:p>
            <w:pPr>
              <w:keepNext/>
              <w:spacing w:after="0"/>
            </w:pPr>
            <w:r>
              <w:rPr>
                <w:rFonts w:ascii="Consolas" w:hAnsi="Consolas"/>
                <w:b/>
                <w:i w:val="0"/>
                <w:color w:val="222222"/>
                <w:sz w:val="18"/>
              </w:rPr>
              <w:t>sharf2022</w:t>
            </w:r>
          </w:p>
        </w:tc>
        <w:tc>
          <w:tcPr>
            <w:tcW w:type="dxa" w:w="1540"/>
            <w:shd w:val="clear" w:color="auto" w:fill="F7F9FB"/>
            <w:vAlign w:val="center"/>
          </w:tcPr>
          <w:p>
            <w:pPr>
              <w:keepNext/>
              <w:spacing w:after="0"/>
            </w:pPr>
            <w:r>
              <w:rPr>
                <w:rFonts w:ascii="Calibri" w:hAnsi="Calibri"/>
                <w:b w:val="0"/>
                <w:i w:val="0"/>
                <w:color w:val="222222"/>
                <w:sz w:val="20"/>
              </w:rPr>
              <w:t>high-density MEA</w:t>
            </w:r>
          </w:p>
        </w:tc>
        <w:tc>
          <w:tcPr>
            <w:tcW w:type="dxa" w:w="906"/>
            <w:shd w:val="clear" w:color="auto" w:fill="F7F9FB"/>
            <w:vAlign w:val="center"/>
          </w:tcPr>
          <w:p>
            <w:pPr>
              <w:keepNext/>
              <w:spacing w:after="0"/>
            </w:pPr>
            <w:r>
              <w:rPr>
                <w:rFonts w:ascii="Calibri" w:hAnsi="Calibri"/>
                <w:b w:val="0"/>
                <w:i w:val="0"/>
                <w:color w:val="222222"/>
                <w:sz w:val="20"/>
              </w:rPr>
              <w:t>human organoid</w:t>
            </w:r>
          </w:p>
        </w:tc>
        <w:tc>
          <w:tcPr>
            <w:tcW w:type="dxa" w:w="1721"/>
            <w:shd w:val="clear" w:color="auto" w:fill="F7F9FB"/>
            <w:vAlign w:val="center"/>
          </w:tcPr>
          <w:p>
            <w:pPr>
              <w:keepNext/>
              <w:spacing w:after="0"/>
            </w:pPr>
            <w:r>
              <w:rPr>
                <w:rFonts w:ascii="Calibri" w:hAnsi="Calibri"/>
                <w:b w:val="0"/>
                <w:i w:val="0"/>
                <w:color w:val="222222"/>
                <w:sz w:val="20"/>
              </w:rPr>
              <w:t>negative-control screening (diazepam)</w:t>
            </w:r>
          </w:p>
        </w:tc>
        <w:tc>
          <w:tcPr>
            <w:tcW w:type="dxa" w:w="816"/>
            <w:shd w:val="clear" w:color="auto" w:fill="F7F9FB"/>
            <w:vAlign w:val="center"/>
          </w:tcPr>
          <w:p>
            <w:pPr>
              <w:keepNext/>
              <w:spacing w:after="0"/>
              <w:jc w:val="center"/>
            </w:pPr>
            <w:r>
              <w:rPr>
                <w:rFonts w:ascii="Calibri" w:hAnsi="Calibri"/>
                <w:b w:val="0"/>
                <w:i w:val="0"/>
                <w:color w:val="222222"/>
                <w:sz w:val="20"/>
              </w:rPr>
              <w:t>29</w:t>
            </w:r>
          </w:p>
        </w:tc>
        <w:tc>
          <w:tcPr>
            <w:tcW w:type="dxa" w:w="1087"/>
            <w:shd w:val="clear" w:color="auto" w:fill="F7F9FB"/>
            <w:vAlign w:val="center"/>
          </w:tcPr>
          <w:p>
            <w:pPr>
              <w:keepNext/>
              <w:spacing w:after="0"/>
            </w:pPr>
            <w:r>
              <w:rPr>
                <w:rFonts w:ascii="Calibri" w:hAnsi="Calibri"/>
                <w:b w:val="0"/>
                <w:i w:val="0"/>
                <w:color w:val="222222"/>
                <w:sz w:val="20"/>
              </w:rPr>
              <w:t>ingested</w:t>
            </w:r>
          </w:p>
        </w:tc>
      </w:tr>
      <w:tr>
        <w:trPr>
          <w:cantSplit/>
        </w:trPr>
        <w:tc>
          <w:tcPr>
            <w:tcW w:type="dxa" w:w="2426"/>
            <w:shd w:val="clear" w:color="auto" w:fill="FFFFFF"/>
            <w:vAlign w:val="center"/>
          </w:tcPr>
          <w:p>
            <w:pPr>
              <w:keepNext/>
              <w:spacing w:after="0"/>
            </w:pPr>
            <w:r>
              <w:rPr>
                <w:rFonts w:ascii="Consolas" w:hAnsi="Consolas"/>
                <w:b/>
                <w:i w:val="0"/>
                <w:color w:val="222222"/>
                <w:sz w:val="18"/>
              </w:rPr>
              <w:t>fofie2025</w:t>
            </w:r>
          </w:p>
        </w:tc>
        <w:tc>
          <w:tcPr>
            <w:tcW w:type="dxa" w:w="1540"/>
            <w:shd w:val="clear" w:color="auto" w:fill="FFFFFF"/>
            <w:vAlign w:val="center"/>
          </w:tcPr>
          <w:p>
            <w:pPr>
              <w:keepNext/>
              <w:spacing w:after="0"/>
            </w:pPr>
            <w:r>
              <w:rPr>
                <w:rFonts w:ascii="Calibri" w:hAnsi="Calibri"/>
                <w:b w:val="0"/>
                <w:i w:val="0"/>
                <w:color w:val="222222"/>
                <w:sz w:val="20"/>
              </w:rPr>
              <w:t>multi-well MEA</w:t>
            </w:r>
          </w:p>
        </w:tc>
        <w:tc>
          <w:tcPr>
            <w:tcW w:type="dxa" w:w="906"/>
            <w:shd w:val="clear" w:color="auto" w:fill="FFFFFF"/>
            <w:vAlign w:val="center"/>
          </w:tcPr>
          <w:p>
            <w:pPr>
              <w:keepNext/>
              <w:spacing w:after="0"/>
            </w:pPr>
            <w:r>
              <w:rPr>
                <w:rFonts w:ascii="Calibri" w:hAnsi="Calibri"/>
                <w:b w:val="0"/>
                <w:i w:val="0"/>
                <w:color w:val="222222"/>
                <w:sz w:val="20"/>
              </w:rPr>
              <w:t>human sensory</w:t>
            </w:r>
          </w:p>
        </w:tc>
        <w:tc>
          <w:tcPr>
            <w:tcW w:type="dxa" w:w="1721"/>
            <w:shd w:val="clear" w:color="auto" w:fill="FFFFFF"/>
            <w:vAlign w:val="center"/>
          </w:tcPr>
          <w:p>
            <w:pPr>
              <w:keepNext/>
              <w:spacing w:after="0"/>
            </w:pPr>
            <w:r>
              <w:rPr>
                <w:rFonts w:ascii="Calibri" w:hAnsi="Calibri"/>
                <w:b w:val="0"/>
                <w:i w:val="0"/>
                <w:color w:val="222222"/>
                <w:sz w:val="20"/>
              </w:rPr>
              <w:t>rate-only validation arm (§8)</w:t>
            </w:r>
          </w:p>
        </w:tc>
        <w:tc>
          <w:tcPr>
            <w:tcW w:type="dxa" w:w="816"/>
            <w:shd w:val="clear" w:color="auto" w:fill="FFFFFF"/>
            <w:vAlign w:val="center"/>
          </w:tcPr>
          <w:p>
            <w:pPr>
              <w:keepNext/>
              <w:spacing w:after="0"/>
            </w:pPr>
            <w:r>
              <w:rPr>
                <w:rFonts w:ascii="Calibri" w:hAnsi="Calibri"/>
                <w:b w:val="0"/>
                <w:i w:val="0"/>
                <w:color w:val="222222"/>
                <w:sz w:val="20"/>
              </w:rPr>
              <w:t>291 pairs</w:t>
            </w:r>
          </w:p>
        </w:tc>
        <w:tc>
          <w:tcPr>
            <w:tcW w:type="dxa" w:w="1087"/>
            <w:shd w:val="clear" w:color="auto" w:fill="FFFFFF"/>
            <w:vAlign w:val="center"/>
          </w:tcPr>
          <w:p>
            <w:pPr>
              <w:keepNext/>
              <w:spacing w:after="0"/>
            </w:pPr>
            <w:r>
              <w:rPr>
                <w:rFonts w:ascii="Calibri" w:hAnsi="Calibri"/>
                <w:b w:val="0"/>
                <w:i w:val="0"/>
                <w:color w:val="222222"/>
                <w:sz w:val="20"/>
              </w:rPr>
              <w:t>rate-only, outside the record asset</w:t>
            </w:r>
          </w:p>
        </w:tc>
      </w:tr>
      <w:tr>
        <w:trPr>
          <w:cantSplit/>
        </w:trPr>
        <w:tc>
          <w:tcPr>
            <w:tcW w:type="dxa" w:w="2426"/>
            <w:shd w:val="clear" w:color="auto" w:fill="F7F9FB"/>
            <w:vAlign w:val="center"/>
          </w:tcPr>
          <w:p>
            <w:pPr>
              <w:keepNext w:val="0"/>
              <w:spacing w:after="0"/>
            </w:pPr>
            <w:r>
              <w:rPr>
                <w:rFonts w:ascii="Consolas" w:hAnsi="Consolas"/>
                <w:b/>
                <w:i w:val="0"/>
                <w:color w:val="222222"/>
                <w:sz w:val="18"/>
              </w:rPr>
              <w:t>tukker2020</w:t>
            </w:r>
          </w:p>
        </w:tc>
        <w:tc>
          <w:tcPr>
            <w:tcW w:type="dxa" w:w="1540"/>
            <w:shd w:val="clear" w:color="auto" w:fill="F7F9FB"/>
            <w:vAlign w:val="center"/>
          </w:tcPr>
          <w:p>
            <w:pPr>
              <w:keepNext w:val="0"/>
              <w:spacing w:after="0"/>
            </w:pPr>
            <w:r>
              <w:rPr>
                <w:rFonts w:ascii="Calibri" w:hAnsi="Calibri"/>
                <w:b w:val="0"/>
                <w:i w:val="0"/>
                <w:color w:val="222222"/>
                <w:sz w:val="20"/>
              </w:rPr>
              <w:t>planar MEA</w:t>
            </w:r>
          </w:p>
        </w:tc>
        <w:tc>
          <w:tcPr>
            <w:tcW w:type="dxa" w:w="906"/>
            <w:shd w:val="clear" w:color="auto" w:fill="F7F9FB"/>
            <w:vAlign w:val="center"/>
          </w:tcPr>
          <w:p>
            <w:pPr>
              <w:keepNext w:val="0"/>
              <w:spacing w:after="0"/>
            </w:pPr>
            <w:r>
              <w:rPr>
                <w:rFonts w:ascii="Calibri" w:hAnsi="Calibri"/>
                <w:b w:val="0"/>
                <w:i w:val="0"/>
                <w:color w:val="222222"/>
                <w:sz w:val="20"/>
              </w:rPr>
              <w:t>rat / human</w:t>
            </w:r>
          </w:p>
        </w:tc>
        <w:tc>
          <w:tcPr>
            <w:tcW w:type="dxa" w:w="1721"/>
            <w:shd w:val="clear" w:color="auto" w:fill="F7F9FB"/>
            <w:vAlign w:val="center"/>
          </w:tcPr>
          <w:p>
            <w:pPr>
              <w:keepNext w:val="0"/>
              <w:spacing w:after="0"/>
            </w:pPr>
            <w:r>
              <w:rPr>
                <w:rFonts w:ascii="Calibri" w:hAnsi="Calibri"/>
                <w:b w:val="0"/>
                <w:i w:val="0"/>
                <w:color w:val="222222"/>
                <w:sz w:val="20"/>
              </w:rPr>
              <w:t>neurotoxicity screening</w:t>
            </w:r>
          </w:p>
        </w:tc>
        <w:tc>
          <w:tcPr>
            <w:tcW w:type="dxa" w:w="816"/>
            <w:shd w:val="clear" w:color="auto" w:fill="F7F9FB"/>
            <w:vAlign w:val="center"/>
          </w:tcPr>
          <w:p>
            <w:pPr>
              <w:keepNext w:val="0"/>
              <w:spacing w:after="0"/>
              <w:jc w:val="center"/>
            </w:pPr>
            <w:r>
              <w:rPr>
                <w:rFonts w:ascii="Calibri" w:hAnsi="Calibri"/>
                <w:b w:val="0"/>
                <w:i w:val="0"/>
                <w:color w:val="222222"/>
                <w:sz w:val="20"/>
              </w:rPr>
              <w:t>—</w:t>
            </w:r>
          </w:p>
        </w:tc>
        <w:tc>
          <w:tcPr>
            <w:tcW w:type="dxa" w:w="1087"/>
            <w:shd w:val="clear" w:color="auto" w:fill="F7F9FB"/>
            <w:vAlign w:val="center"/>
          </w:tcPr>
          <w:p>
            <w:pPr>
              <w:keepNext w:val="0"/>
              <w:spacing w:after="0"/>
            </w:pPr>
            <w:r>
              <w:rPr>
                <w:rFonts w:ascii="Calibri" w:hAnsi="Calibri"/>
                <w:b/>
                <w:i w:val="0"/>
                <w:color w:val="222222"/>
                <w:sz w:val="20"/>
              </w:rPr>
              <w:t>excluded, CC BY-NC</w:t>
            </w:r>
          </w:p>
        </w:tc>
      </w:tr>
    </w:tbl>
    <w:p>
      <w:pPr>
        <w:spacing w:after="80"/>
      </w:pPr>
    </w:p>
    <w:p>
      <w:pPr>
        <w:spacing w:after="120"/>
      </w:pPr>
      <w:r>
        <w:rPr>
          <w:rFonts w:ascii="Consolas" w:hAnsi="Consolas"/>
          <w:b w:val="0"/>
          <w:i w:val="0"/>
          <w:color w:val="222222"/>
          <w:sz w:val="19"/>
        </w:rPr>
        <w:t>fofie2025</w:t>
      </w:r>
      <w:r>
        <w:rPr>
          <w:rFonts w:ascii="Calibri" w:hAnsi="Calibri"/>
          <w:b w:val="0"/>
          <w:i w:val="0"/>
          <w:color w:val="222222"/>
          <w:sz w:val="21"/>
        </w:rPr>
        <w:t xml:space="preserve"> reports total spike counts rather than spike times, so it supports firing-rate features only and is not part of the 21,887-record asset; we use it solely for the cross-source rate-only arm. We record </w:t>
      </w:r>
      <w:r>
        <w:rPr>
          <w:rFonts w:ascii="Consolas" w:hAnsi="Consolas"/>
          <w:b w:val="0"/>
          <w:i w:val="0"/>
          <w:color w:val="222222"/>
          <w:sz w:val="19"/>
        </w:rPr>
        <w:t>tukker2020</w:t>
      </w:r>
      <w:r>
        <w:rPr>
          <w:rFonts w:ascii="Calibri" w:hAnsi="Calibri"/>
          <w:b w:val="0"/>
          <w:i w:val="0"/>
          <w:color w:val="222222"/>
          <w:sz w:val="21"/>
        </w:rPr>
        <w:t xml:space="preserve"> as a skipped source, with its reason, rather than silently leaving it out.</w:t>
      </w:r>
    </w:p>
    <w:p>
      <w:pPr>
        <w:keepNext/>
        <w:spacing w:before="240" w:after="60"/>
      </w:pPr>
      <w:r>
        <w:rPr>
          <w:rFonts w:ascii="Calibri" w:hAnsi="Calibri"/>
          <w:b/>
          <w:i w:val="0"/>
          <w:color w:val="1F4E79"/>
          <w:sz w:val="23"/>
        </w:rPr>
        <w:t>Appendix D &amp; E — The nine-feature vector, and enforced repository invariants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4339"/>
        <w:gridCol w:w="4157"/>
      </w:tblGrid>
      <w:tr>
        <w:trPr>
          <w:cantSplit/>
          <w:tblHeader/>
        </w:trPr>
        <w:tc>
          <w:tcPr>
            <w:tcW w:type="dxa" w:w="4339"/>
            <w:shd w:val="clear" w:color="auto" w:fill="1F4E79"/>
            <w:vAlign w:val="center"/>
          </w:tcPr>
          <w:p>
            <w:pPr>
              <w:keepNext/>
              <w:spacing w:after="0"/>
            </w:pPr>
            <w:r>
              <w:rPr>
                <w:rFonts w:ascii="Calibri" w:hAnsi="Calibri"/>
                <w:b/>
                <w:i w:val="0"/>
                <w:color w:val="FFFFFF"/>
                <w:sz w:val="20"/>
              </w:rPr>
              <w:t>feature</w:t>
            </w:r>
          </w:p>
        </w:tc>
        <w:tc>
          <w:tcPr>
            <w:tcW w:type="dxa" w:w="4157"/>
            <w:shd w:val="clear" w:color="auto" w:fill="1F4E79"/>
            <w:vAlign w:val="center"/>
          </w:tcPr>
          <w:p>
            <w:pPr>
              <w:keepNext/>
              <w:spacing w:after="0"/>
            </w:pPr>
            <w:r>
              <w:rPr>
                <w:rFonts w:ascii="Calibri" w:hAnsi="Calibri"/>
                <w:b/>
                <w:i w:val="0"/>
                <w:color w:val="FFFFFF"/>
                <w:sz w:val="20"/>
              </w:rPr>
              <w:t xml:space="preserve">formal definition as computed in </w:t>
            </w:r>
            <w:r>
              <w:rPr>
                <w:rFonts w:ascii="Consolas" w:hAnsi="Consolas"/>
                <w:b/>
                <w:i w:val="0"/>
                <w:color w:val="FFFFFF"/>
                <w:sz w:val="18"/>
              </w:rPr>
              <w:t>features/mea.py</w:t>
            </w:r>
          </w:p>
        </w:tc>
      </w:tr>
      <w:tr>
        <w:trPr>
          <w:cantSplit/>
        </w:trPr>
        <w:tc>
          <w:tcPr>
            <w:tcW w:type="dxa" w:w="4339"/>
            <w:shd w:val="clear" w:color="auto" w:fill="FFFFFF"/>
            <w:vAlign w:val="center"/>
          </w:tcPr>
          <w:p>
            <w:pPr>
              <w:keepNext/>
              <w:spacing w:after="0"/>
            </w:pPr>
            <w:r>
              <w:rPr>
                <w:rFonts w:ascii="Consolas" w:hAnsi="Consolas"/>
                <w:b/>
                <w:i w:val="0"/>
                <w:color w:val="222222"/>
                <w:sz w:val="18"/>
              </w:rPr>
              <w:t>mfr_hz</w:t>
            </w:r>
          </w:p>
        </w:tc>
        <w:tc>
          <w:tcPr>
            <w:tcW w:type="dxa" w:w="4157"/>
            <w:shd w:val="clear" w:color="auto" w:fill="FFFFFF"/>
            <w:vAlign w:val="center"/>
          </w:tcPr>
          <w:p>
            <w:pPr>
              <w:keepNext/>
              <w:spacing w:after="0"/>
            </w:pPr>
            <w:r>
              <w:rPr>
                <w:rFonts w:ascii="Calibri" w:hAnsi="Calibri"/>
                <w:b w:val="0"/>
                <w:i w:val="0"/>
                <w:color w:val="222222"/>
                <w:sz w:val="20"/>
              </w:rPr>
              <w:t>spikes per second per active electrode</w:t>
            </w:r>
          </w:p>
        </w:tc>
      </w:tr>
      <w:tr>
        <w:trPr>
          <w:cantSplit/>
        </w:trPr>
        <w:tc>
          <w:tcPr>
            <w:tcW w:type="dxa" w:w="4339"/>
            <w:shd w:val="clear" w:color="auto" w:fill="F7F9FB"/>
            <w:vAlign w:val="center"/>
          </w:tcPr>
          <w:p>
            <w:pPr>
              <w:keepNext/>
              <w:spacing w:after="0"/>
            </w:pPr>
            <w:r>
              <w:rPr>
                <w:rFonts w:ascii="Consolas" w:hAnsi="Consolas"/>
                <w:b/>
                <w:i w:val="0"/>
                <w:color w:val="222222"/>
                <w:sz w:val="18"/>
              </w:rPr>
              <w:t>burst_rate_per_min</w:t>
            </w:r>
          </w:p>
        </w:tc>
        <w:tc>
          <w:tcPr>
            <w:tcW w:type="dxa" w:w="4157"/>
            <w:shd w:val="clear" w:color="auto" w:fill="F7F9FB"/>
            <w:vAlign w:val="center"/>
          </w:tcPr>
          <w:p>
            <w:pPr>
              <w:keepNext/>
              <w:spacing w:after="0"/>
            </w:pPr>
            <w:r>
              <w:rPr>
                <w:rFonts w:ascii="Calibri" w:hAnsi="Calibri"/>
                <w:b w:val="0"/>
                <w:i w:val="0"/>
                <w:color w:val="222222"/>
                <w:sz w:val="20"/>
              </w:rPr>
              <w:t>bursts per minute per active electrode (≥ 5 spikes, ISI &lt; 100 ms)</w:t>
            </w:r>
          </w:p>
        </w:tc>
      </w:tr>
      <w:tr>
        <w:trPr>
          <w:cantSplit/>
        </w:trPr>
        <w:tc>
          <w:tcPr>
            <w:tcW w:type="dxa" w:w="4339"/>
            <w:shd w:val="clear" w:color="auto" w:fill="FFFFFF"/>
            <w:vAlign w:val="center"/>
          </w:tcPr>
          <w:p>
            <w:pPr>
              <w:keepNext/>
              <w:spacing w:after="0"/>
            </w:pPr>
            <w:r>
              <w:rPr>
                <w:rFonts w:ascii="Consolas" w:hAnsi="Consolas"/>
                <w:b/>
                <w:i w:val="0"/>
                <w:color w:val="222222"/>
                <w:sz w:val="18"/>
              </w:rPr>
              <w:t>burst_duration_s</w:t>
            </w:r>
          </w:p>
        </w:tc>
        <w:tc>
          <w:tcPr>
            <w:tcW w:type="dxa" w:w="4157"/>
            <w:shd w:val="clear" w:color="auto" w:fill="FFFFFF"/>
            <w:vAlign w:val="center"/>
          </w:tcPr>
          <w:p>
            <w:pPr>
              <w:keepNext/>
              <w:spacing w:after="0"/>
            </w:pPr>
            <w:r>
              <w:rPr>
                <w:rFonts w:ascii="Calibri" w:hAnsi="Calibri"/>
                <w:b w:val="0"/>
                <w:i w:val="0"/>
                <w:color w:val="222222"/>
                <w:sz w:val="20"/>
              </w:rPr>
              <w:t>mean duration from first to final spike across identified bursts</w:t>
            </w:r>
          </w:p>
        </w:tc>
      </w:tr>
      <w:tr>
        <w:trPr>
          <w:cantSplit/>
        </w:trPr>
        <w:tc>
          <w:tcPr>
            <w:tcW w:type="dxa" w:w="4339"/>
            <w:shd w:val="clear" w:color="auto" w:fill="F7F9FB"/>
            <w:vAlign w:val="center"/>
          </w:tcPr>
          <w:p>
            <w:pPr>
              <w:keepNext/>
              <w:spacing w:after="0"/>
            </w:pPr>
            <w:r>
              <w:rPr>
                <w:rFonts w:ascii="Consolas" w:hAnsi="Consolas"/>
                <w:b/>
                <w:i w:val="0"/>
                <w:color w:val="222222"/>
                <w:sz w:val="18"/>
              </w:rPr>
              <w:t>spikes_per_burst</w:t>
            </w:r>
          </w:p>
        </w:tc>
        <w:tc>
          <w:tcPr>
            <w:tcW w:type="dxa" w:w="4157"/>
            <w:shd w:val="clear" w:color="auto" w:fill="F7F9FB"/>
            <w:vAlign w:val="center"/>
          </w:tcPr>
          <w:p>
            <w:pPr>
              <w:keepNext/>
              <w:spacing w:after="0"/>
            </w:pPr>
            <w:r>
              <w:rPr>
                <w:rFonts w:ascii="Calibri" w:hAnsi="Calibri"/>
                <w:b w:val="0"/>
                <w:i w:val="0"/>
                <w:color w:val="222222"/>
                <w:sz w:val="20"/>
              </w:rPr>
              <w:t>mean count of spikes participating in a burst</w:t>
            </w:r>
          </w:p>
        </w:tc>
      </w:tr>
      <w:tr>
        <w:trPr>
          <w:cantSplit/>
        </w:trPr>
        <w:tc>
          <w:tcPr>
            <w:tcW w:type="dxa" w:w="4339"/>
            <w:shd w:val="clear" w:color="auto" w:fill="FFFFFF"/>
            <w:vAlign w:val="center"/>
          </w:tcPr>
          <w:p>
            <w:pPr>
              <w:keepNext/>
              <w:spacing w:after="0"/>
            </w:pPr>
            <w:r>
              <w:rPr>
                <w:rFonts w:ascii="Consolas" w:hAnsi="Consolas"/>
                <w:b/>
                <w:i w:val="0"/>
                <w:color w:val="222222"/>
                <w:sz w:val="18"/>
              </w:rPr>
              <w:t>pct_spikes_in_bursts</w:t>
            </w:r>
          </w:p>
        </w:tc>
        <w:tc>
          <w:tcPr>
            <w:tcW w:type="dxa" w:w="4157"/>
            <w:shd w:val="clear" w:color="auto" w:fill="FFFFFF"/>
            <w:vAlign w:val="center"/>
          </w:tcPr>
          <w:p>
            <w:pPr>
              <w:keepNext/>
              <w:spacing w:after="0"/>
            </w:pPr>
            <w:r>
              <w:rPr>
                <w:rFonts w:ascii="Calibri" w:hAnsi="Calibri"/>
                <w:b w:val="0"/>
                <w:i w:val="0"/>
                <w:color w:val="222222"/>
                <w:sz w:val="20"/>
              </w:rPr>
              <w:t>share of all spikes occurring inside bursts</w:t>
            </w:r>
          </w:p>
        </w:tc>
      </w:tr>
      <w:tr>
        <w:trPr>
          <w:cantSplit/>
        </w:trPr>
        <w:tc>
          <w:tcPr>
            <w:tcW w:type="dxa" w:w="4339"/>
            <w:shd w:val="clear" w:color="auto" w:fill="F7F9FB"/>
            <w:vAlign w:val="center"/>
          </w:tcPr>
          <w:p>
            <w:pPr>
              <w:keepNext/>
              <w:spacing w:after="0"/>
            </w:pPr>
            <w:r>
              <w:rPr>
                <w:rFonts w:ascii="Consolas" w:hAnsi="Consolas"/>
                <w:b/>
                <w:i w:val="0"/>
                <w:color w:val="222222"/>
                <w:sz w:val="18"/>
              </w:rPr>
              <w:t>network_burst_rate_per_min</w:t>
            </w:r>
          </w:p>
        </w:tc>
        <w:tc>
          <w:tcPr>
            <w:tcW w:type="dxa" w:w="4157"/>
            <w:shd w:val="clear" w:color="auto" w:fill="F7F9FB"/>
            <w:vAlign w:val="center"/>
          </w:tcPr>
          <w:p>
            <w:pPr>
              <w:keepNext/>
              <w:spacing w:after="0"/>
            </w:pPr>
            <w:r>
              <w:rPr>
                <w:rFonts w:ascii="Calibri" w:hAnsi="Calibri"/>
                <w:b w:val="0"/>
                <w:i w:val="0"/>
                <w:color w:val="222222"/>
                <w:sz w:val="20"/>
              </w:rPr>
              <w:t>synchronous population events per minute, clearing chance participation</w:t>
            </w:r>
          </w:p>
        </w:tc>
      </w:tr>
      <w:tr>
        <w:trPr>
          <w:cantSplit/>
        </w:trPr>
        <w:tc>
          <w:tcPr>
            <w:tcW w:type="dxa" w:w="4339"/>
            <w:shd w:val="clear" w:color="auto" w:fill="FFFFFF"/>
            <w:vAlign w:val="center"/>
          </w:tcPr>
          <w:p>
            <w:pPr>
              <w:keepNext/>
              <w:spacing w:after="0"/>
            </w:pPr>
            <w:r>
              <w:rPr>
                <w:rFonts w:ascii="Consolas" w:hAnsi="Consolas"/>
                <w:b/>
                <w:i w:val="0"/>
                <w:color w:val="222222"/>
                <w:sz w:val="18"/>
              </w:rPr>
              <w:t>synchrony_index</w:t>
            </w:r>
          </w:p>
        </w:tc>
        <w:tc>
          <w:tcPr>
            <w:tcW w:type="dxa" w:w="4157"/>
            <w:shd w:val="clear" w:color="auto" w:fill="FFFFFF"/>
            <w:vAlign w:val="center"/>
          </w:tcPr>
          <w:p>
            <w:pPr>
              <w:keepNext/>
              <w:spacing w:after="0"/>
            </w:pPr>
            <w:r>
              <w:rPr>
                <w:rFonts w:ascii="Calibri" w:hAnsi="Calibri"/>
                <w:b w:val="0"/>
                <w:i w:val="0"/>
                <w:color w:val="222222"/>
                <w:sz w:val="20"/>
              </w:rPr>
              <w:t>mean pairwise spike-time tiling coefficient, coincidence window Δt = 50 ms</w:t>
            </w:r>
          </w:p>
        </w:tc>
      </w:tr>
      <w:tr>
        <w:trPr>
          <w:cantSplit/>
        </w:trPr>
        <w:tc>
          <w:tcPr>
            <w:tcW w:type="dxa" w:w="4339"/>
            <w:shd w:val="clear" w:color="auto" w:fill="F7F9FB"/>
            <w:vAlign w:val="center"/>
          </w:tcPr>
          <w:p>
            <w:pPr>
              <w:keepNext/>
              <w:spacing w:after="0"/>
            </w:pPr>
            <w:r>
              <w:rPr>
                <w:rFonts w:ascii="Consolas" w:hAnsi="Consolas"/>
                <w:b/>
                <w:i w:val="0"/>
                <w:color w:val="222222"/>
                <w:sz w:val="18"/>
              </w:rPr>
              <w:t>isi_cv</w:t>
            </w:r>
          </w:p>
        </w:tc>
        <w:tc>
          <w:tcPr>
            <w:tcW w:type="dxa" w:w="4157"/>
            <w:shd w:val="clear" w:color="auto" w:fill="F7F9FB"/>
            <w:vAlign w:val="center"/>
          </w:tcPr>
          <w:p>
            <w:pPr>
              <w:keepNext/>
              <w:spacing w:after="0"/>
            </w:pPr>
            <w:r>
              <w:rPr>
                <w:rFonts w:ascii="Calibri" w:hAnsi="Calibri"/>
                <w:b w:val="0"/>
                <w:i w:val="0"/>
                <w:color w:val="222222"/>
                <w:sz w:val="20"/>
              </w:rPr>
              <w:t>coefficient of variation of inter-spike intervals</w:t>
            </w:r>
          </w:p>
        </w:tc>
      </w:tr>
      <w:tr>
        <w:trPr>
          <w:cantSplit/>
        </w:trPr>
        <w:tc>
          <w:tcPr>
            <w:tcW w:type="dxa" w:w="4339"/>
            <w:shd w:val="clear" w:color="auto" w:fill="FFFFFF"/>
            <w:vAlign w:val="center"/>
          </w:tcPr>
          <w:p>
            <w:pPr>
              <w:keepNext w:val="0"/>
              <w:spacing w:after="0"/>
            </w:pPr>
            <w:r>
              <w:rPr>
                <w:rFonts w:ascii="Consolas" w:hAnsi="Consolas"/>
                <w:b/>
                <w:i w:val="0"/>
                <w:color w:val="222222"/>
                <w:sz w:val="18"/>
              </w:rPr>
              <w:t>active_electrodes</w:t>
            </w:r>
          </w:p>
        </w:tc>
        <w:tc>
          <w:tcPr>
            <w:tcW w:type="dxa" w:w="4157"/>
            <w:shd w:val="clear" w:color="auto" w:fill="FFFFFF"/>
            <w:vAlign w:val="center"/>
          </w:tcPr>
          <w:p>
            <w:pPr>
              <w:keepNext w:val="0"/>
              <w:spacing w:after="0"/>
            </w:pPr>
            <w:r>
              <w:rPr>
                <w:rFonts w:ascii="Calibri" w:hAnsi="Calibri"/>
                <w:b w:val="0"/>
                <w:i w:val="0"/>
                <w:color w:val="222222"/>
                <w:sz w:val="20"/>
              </w:rPr>
              <w:t>electrodes clearing 5 spikes per minute</w:t>
            </w:r>
          </w:p>
        </w:tc>
      </w:tr>
    </w:tbl>
    <w:p>
      <w:pPr>
        <w:spacing w:after="80"/>
      </w:pPr>
    </w:p>
    <w:p>
      <w:pPr>
        <w:spacing w:after="120"/>
      </w:pPr>
      <w:r>
        <w:rPr>
          <w:rFonts w:ascii="Calibri" w:hAnsi="Calibri"/>
          <w:b w:val="0"/>
          <w:i w:val="0"/>
          <w:color w:val="222222"/>
          <w:sz w:val="21"/>
        </w:rPr>
        <w:t>Each of the following is a test that fails, not a convention we merely follow.</w:t>
      </w:r>
    </w:p>
    <w:p>
      <w:pPr>
        <w:spacing w:after="120"/>
        <w:ind w:left="432" w:hanging="259"/>
      </w:pPr>
      <w:r>
        <w:rPr>
          <w:rFonts w:ascii="Calibri" w:hAnsi="Calibri"/>
          <w:b w:val="0"/>
          <w:i w:val="0"/>
          <w:color w:val="222222"/>
          <w:sz w:val="21"/>
        </w:rPr>
        <w:t>•</w:t>
        <w:tab/>
      </w:r>
      <w:r>
        <w:rPr>
          <w:rFonts w:ascii="Calibri" w:hAnsi="Calibri"/>
          <w:b/>
          <w:i w:val="0"/>
          <w:color w:val="156082"/>
          <w:sz w:val="21"/>
        </w:rPr>
        <w:t>Provenance.</w:t>
      </w:r>
      <w:r>
        <w:rPr>
          <w:rFonts w:ascii="Calibri" w:hAnsi="Calibri"/>
          <w:b w:val="0"/>
          <w:i w:val="0"/>
          <w:color w:val="222222"/>
          <w:sz w:val="21"/>
        </w:rPr>
        <w:t xml:space="preserve"> The asset build fails if any record's provenance hash disagrees with the manifest.</w:t>
      </w:r>
    </w:p>
    <w:p>
      <w:pPr>
        <w:spacing w:after="120"/>
        <w:ind w:left="432" w:hanging="259"/>
      </w:pPr>
      <w:r>
        <w:rPr>
          <w:rFonts w:ascii="Calibri" w:hAnsi="Calibri"/>
          <w:b w:val="0"/>
          <w:i w:val="0"/>
          <w:color w:val="222222"/>
          <w:sz w:val="21"/>
        </w:rPr>
        <w:t>•</w:t>
        <w:tab/>
      </w:r>
      <w:r>
        <w:rPr>
          <w:rFonts w:ascii="Calibri" w:hAnsi="Calibri"/>
          <w:b/>
          <w:i w:val="0"/>
          <w:color w:val="156082"/>
          <w:sz w:val="21"/>
        </w:rPr>
        <w:t>One feature extractor.</w:t>
      </w:r>
      <w:r>
        <w:rPr>
          <w:rFonts w:ascii="Calibri" w:hAnsi="Calibri"/>
          <w:b w:val="0"/>
          <w:i w:val="0"/>
          <w:color w:val="222222"/>
          <w:sz w:val="21"/>
        </w:rPr>
        <w:t xml:space="preserve"> The twin computes features through the same </w:t>
      </w:r>
      <w:r>
        <w:rPr>
          <w:rFonts w:ascii="Consolas" w:hAnsi="Consolas"/>
          <w:b w:val="0"/>
          <w:i w:val="0"/>
          <w:color w:val="222222"/>
          <w:sz w:val="19"/>
        </w:rPr>
        <w:t>features/mea.py</w:t>
      </w:r>
      <w:r>
        <w:rPr>
          <w:rFonts w:ascii="Calibri" w:hAnsi="Calibri"/>
          <w:b w:val="0"/>
          <w:i w:val="0"/>
          <w:color w:val="222222"/>
          <w:sz w:val="21"/>
        </w:rPr>
        <w:t xml:space="preserve"> as the real recordings and — after a defect that survived several phases — through the same coupling measure on the same per-electrode input.</w:t>
      </w:r>
    </w:p>
    <w:p>
      <w:pPr>
        <w:spacing w:after="120"/>
        <w:ind w:left="432" w:hanging="259"/>
      </w:pPr>
      <w:r>
        <w:rPr>
          <w:rFonts w:ascii="Calibri" w:hAnsi="Calibri"/>
          <w:b w:val="0"/>
          <w:i w:val="0"/>
          <w:color w:val="222222"/>
          <w:sz w:val="21"/>
        </w:rPr>
        <w:t>•</w:t>
        <w:tab/>
      </w:r>
      <w:r>
        <w:rPr>
          <w:rFonts w:ascii="Calibri" w:hAnsi="Calibri"/>
          <w:b/>
          <w:i w:val="0"/>
          <w:color w:val="156082"/>
          <w:sz w:val="21"/>
        </w:rPr>
        <w:t>Interval discipline.</w:t>
      </w:r>
      <w:r>
        <w:rPr>
          <w:rFonts w:ascii="Calibri" w:hAnsi="Calibri"/>
          <w:b w:val="0"/>
          <w:i w:val="0"/>
          <w:color w:val="222222"/>
          <w:sz w:val="21"/>
        </w:rPr>
        <w:t xml:space="preserve"> A contract test fails if any headline metric loses its confidence interval, and the resample count sits next to every estimate.</w:t>
      </w:r>
    </w:p>
    <w:p>
      <w:pPr>
        <w:spacing w:after="120"/>
        <w:ind w:left="432" w:hanging="259"/>
      </w:pPr>
      <w:r>
        <w:rPr>
          <w:rFonts w:ascii="Calibri" w:hAnsi="Calibri"/>
          <w:b w:val="0"/>
          <w:i w:val="0"/>
          <w:color w:val="222222"/>
          <w:sz w:val="21"/>
        </w:rPr>
        <w:t>•</w:t>
        <w:tab/>
      </w:r>
      <w:r>
        <w:rPr>
          <w:rFonts w:ascii="Calibri" w:hAnsi="Calibri"/>
          <w:b/>
          <w:i w:val="0"/>
          <w:color w:val="156082"/>
          <w:sz w:val="21"/>
        </w:rPr>
        <w:t>Cache meaning.</w:t>
      </w:r>
      <w:r>
        <w:rPr>
          <w:rFonts w:ascii="Calibri" w:hAnsi="Calibri"/>
          <w:b w:val="0"/>
          <w:i w:val="0"/>
          <w:color w:val="222222"/>
          <w:sz w:val="21"/>
        </w:rPr>
        <w:t xml:space="preserve"> The simulation cache stores its summary names, electrode count, a hash of the code that defines every summary, and the calibration it was generated under; it refuses to load across a change in any of them.</w:t>
      </w:r>
    </w:p>
    <w:p>
      <w:pPr>
        <w:spacing w:after="120"/>
        <w:ind w:left="432" w:hanging="259"/>
      </w:pPr>
      <w:r>
        <w:rPr>
          <w:rFonts w:ascii="Calibri" w:hAnsi="Calibri"/>
          <w:b w:val="0"/>
          <w:i w:val="0"/>
          <w:color w:val="222222"/>
          <w:sz w:val="21"/>
        </w:rPr>
        <w:t>•</w:t>
        <w:tab/>
      </w:r>
      <w:r>
        <w:rPr>
          <w:rFonts w:ascii="Calibri" w:hAnsi="Calibri"/>
          <w:b/>
          <w:i w:val="0"/>
          <w:color w:val="156082"/>
          <w:sz w:val="21"/>
        </w:rPr>
        <w:t>Report numbers.</w:t>
      </w:r>
      <w:r>
        <w:rPr>
          <w:rFonts w:ascii="Calibri" w:hAnsi="Calibri"/>
          <w:b w:val="0"/>
          <w:i w:val="0"/>
          <w:color w:val="222222"/>
          <w:sz w:val="21"/>
        </w:rPr>
        <w:t xml:space="preserve"> </w:t>
      </w:r>
      <w:r>
        <w:rPr>
          <w:rFonts w:ascii="Consolas" w:hAnsi="Consolas"/>
          <w:b w:val="0"/>
          <w:i w:val="0"/>
          <w:color w:val="222222"/>
          <w:sz w:val="19"/>
        </w:rPr>
        <w:t>neuromps.report.verify</w:t>
      </w:r>
      <w:r>
        <w:rPr>
          <w:rFonts w:ascii="Calibri" w:hAnsi="Calibri"/>
          <w:b w:val="0"/>
          <w:i w:val="0"/>
          <w:color w:val="222222"/>
          <w:sz w:val="21"/>
        </w:rPr>
        <w:t xml:space="preserve"> re-reads every citation in this report and fails on any disagreement.</w:t>
      </w:r>
    </w:p>
    <w:p>
      <w:pPr>
        <w:spacing w:after="120"/>
        <w:ind w:left="432" w:hanging="259"/>
      </w:pPr>
      <w:r>
        <w:rPr>
          <w:rFonts w:ascii="Calibri" w:hAnsi="Calibri"/>
          <w:b w:val="0"/>
          <w:i w:val="0"/>
          <w:color w:val="222222"/>
          <w:sz w:val="21"/>
        </w:rPr>
        <w:t>•</w:t>
        <w:tab/>
      </w:r>
      <w:r>
        <w:rPr>
          <w:rFonts w:ascii="Calibri" w:hAnsi="Calibri"/>
          <w:b/>
          <w:i w:val="0"/>
          <w:color w:val="156082"/>
          <w:sz w:val="21"/>
        </w:rPr>
        <w:t>No clinical claims.</w:t>
      </w:r>
      <w:r>
        <w:rPr>
          <w:rFonts w:ascii="Calibri" w:hAnsi="Calibri"/>
          <w:b w:val="0"/>
          <w:i w:val="0"/>
          <w:color w:val="222222"/>
          <w:sz w:val="21"/>
        </w:rPr>
        <w:t xml:space="preserve"> A test scans the reports for efficacy, diagnostic and treatment language and fails unless the line is a disclaimer ruling it out.</w:t>
      </w:r>
    </w:p>
    <w:p>
      <w:pPr>
        <w:keepNext/>
        <w:spacing w:before="240" w:after="60"/>
      </w:pPr>
      <w:r>
        <w:rPr>
          <w:rFonts w:ascii="Calibri" w:hAnsi="Calibri"/>
          <w:b/>
          <w:i w:val="0"/>
          <w:color w:val="1F4E79"/>
          <w:sz w:val="23"/>
        </w:rPr>
        <w:t>Appendix F &amp; G — Coupling asymmetry proof, and posterior calibration diagnostics</w:t>
      </w:r>
    </w:p>
    <w:p>
      <w:pPr>
        <w:spacing w:after="120"/>
      </w:pPr>
      <w:r>
        <w:rPr>
          <w:rFonts w:ascii="Calibri" w:hAnsi="Calibri"/>
          <w:b/>
          <w:i w:val="0"/>
          <w:color w:val="156082"/>
          <w:sz w:val="21"/>
        </w:rPr>
        <w:t>Appendix F.</w:t>
      </w:r>
      <w:r>
        <w:rPr>
          <w:rFonts w:ascii="Calibri" w:hAnsi="Calibri"/>
          <w:b w:val="0"/>
          <w:i w:val="0"/>
          <w:color w:val="222222"/>
          <w:sz w:val="21"/>
        </w:rPr>
        <w:t xml:space="preserve"> The measure the twin exists to use reports relative firing rate as much as pathway direction. The cleanest demonstration holds the wiring </w:t>
      </w:r>
      <w:r>
        <w:rPr>
          <w:rFonts w:ascii="Calibri" w:hAnsi="Calibri"/>
          <w:b/>
          <w:i w:val="0"/>
          <w:color w:val="222222"/>
          <w:sz w:val="21"/>
        </w:rPr>
        <w:t>fixed</w:t>
      </w:r>
      <w:r>
        <w:rPr>
          <w:rFonts w:ascii="Calibri" w:hAnsi="Calibri"/>
          <w:b w:val="0"/>
          <w:i w:val="0"/>
          <w:color w:val="222222"/>
          <w:sz w:val="21"/>
        </w:rPr>
        <w:t xml:space="preserve"> and changes only the drive: lowering the receiving chamber's background drive moves asymmetry from 0.109 to 0.681 with the pathway unchanged. Across the whole sweep, drive moves the measure further than wiring does: a span of 0.671 against 0.109. Until something rules it out, an open-chamber asymmetry is a statement about which chamber is busier.</w:t>
      </w:r>
    </w:p>
    <w:p>
      <w:pPr>
        <w:keepNext/>
        <w:spacing w:after="120"/>
      </w:pPr>
      <w:r>
        <w:rPr>
          <w:rFonts w:ascii="Calibri" w:hAnsi="Calibri"/>
          <w:b/>
          <w:i w:val="0"/>
          <w:color w:val="156082"/>
          <w:sz w:val="21"/>
        </w:rPr>
        <w:t>Appendix G.</w:t>
      </w:r>
      <w:r>
        <w:rPr>
          <w:rFonts w:ascii="Calibri" w:hAnsi="Calibri"/>
          <w:b w:val="0"/>
          <w:i w:val="0"/>
          <w:color w:val="222222"/>
          <w:sz w:val="21"/>
        </w:rPr>
        <w:t xml:space="preserve"> We trained on 3,000 simulations at the calibrated density, of which 0 produced no spikes. The two parameters that fail rank uniformity are the connectivity parameter and the inhibitory knob — the latter being the one §16 depends on, which is why we do not quote its intervals as calibrated.</w:t>
      </w:r>
    </w:p>
    <w:p>
      <w:pPr>
        <w:keepNext/>
        <w:spacing w:before="120" w:after="40"/>
        <w:jc w:val="center"/>
      </w:pPr>
      <w:r>
        <w:drawing>
          <wp:inline xmlns:a="http://schemas.openxmlformats.org/drawingml/2006/main" xmlns:pic="http://schemas.openxmlformats.org/drawingml/2006/picture">
            <wp:extent cx="5394960" cy="1161991"/>
            <wp:docPr id="14" name="Picture 14"/>
            <wp:cNvGraphicFramePr>
              <a:graphicFrameLocks noChangeAspect="1"/>
            </wp:cNvGraphicFramePr>
            <a:graphic>
              <a:graphicData uri="http://schemas.openxmlformats.org/drawingml/2006/picture">
                <pic:pic>
                  <pic:nvPicPr>
                    <pic:cNvPr id="0" name="hd14_posterior_ranks_simulated.png"/>
                    <pic:cNvPicPr/>
                  </pic:nvPicPr>
                  <pic:blipFill>
                    <a:blip r:embed="rId26"/>
                    <a:stretch>
                      <a:fillRect/>
                    </a:stretch>
                  </pic:blipFill>
                  <pic:spPr>
                    <a:xfrm>
                      <a:off x="0" y="0"/>
                      <a:ext cx="5394960" cy="1161991"/>
                    </a:xfrm>
                    <a:prstGeom prst="rect"/>
                  </pic:spPr>
                </pic:pic>
              </a:graphicData>
            </a:graphic>
          </wp:inline>
        </w:drawing>
      </w:r>
    </w:p>
    <w:p>
      <w:pPr>
        <w:spacing w:after="200"/>
        <w:jc w:val="center"/>
      </w:pPr>
      <w:r>
        <w:rPr>
          <w:rFonts w:ascii="Calibri" w:hAnsi="Calibri"/>
          <w:b/>
          <w:i/>
          <w:color w:val="222222"/>
          <w:sz w:val="17"/>
        </w:rPr>
        <w:t xml:space="preserve">Figure 14. </w:t>
      </w:r>
      <w:r>
        <w:rPr>
          <w:rFonts w:ascii="Calibri" w:hAnsi="Calibri"/>
          <w:b w:val="0"/>
          <w:i/>
          <w:color w:val="222222"/>
          <w:sz w:val="17"/>
        </w:rPr>
        <w:t>SIMULATED posterior calibration: the rank of the true parameter among posterior samples. Flat would be calibrated; these are not.</w:t>
      </w:r>
    </w:p>
    <w:p>
      <w:pPr>
        <w:keepNext/>
        <w:spacing w:before="240" w:after="60"/>
      </w:pPr>
      <w:r>
        <w:rPr>
          <w:rFonts w:ascii="Calibri" w:hAnsi="Calibri"/>
          <w:b/>
          <w:i w:val="0"/>
          <w:color w:val="1F4E79"/>
          <w:sz w:val="23"/>
        </w:rPr>
        <w:t>Appendix H — Quality-control flag registry</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3546"/>
        <w:gridCol w:w="1128"/>
        <w:gridCol w:w="2074"/>
        <w:gridCol w:w="1748"/>
      </w:tblGrid>
      <w:tr>
        <w:trPr>
          <w:cantSplit/>
          <w:tblHeader/>
        </w:trPr>
        <w:tc>
          <w:tcPr>
            <w:tcW w:type="dxa" w:w="3546"/>
            <w:shd w:val="clear" w:color="auto" w:fill="1F4E79"/>
            <w:vAlign w:val="center"/>
          </w:tcPr>
          <w:p>
            <w:pPr>
              <w:keepNext/>
              <w:spacing w:after="0"/>
            </w:pPr>
            <w:r>
              <w:rPr>
                <w:rFonts w:ascii="Calibri" w:hAnsi="Calibri"/>
                <w:b/>
                <w:i w:val="0"/>
                <w:color w:val="FFFFFF"/>
                <w:sz w:val="20"/>
              </w:rPr>
              <w:t>QC flag</w:t>
            </w:r>
          </w:p>
        </w:tc>
        <w:tc>
          <w:tcPr>
            <w:tcW w:type="dxa" w:w="1128"/>
            <w:shd w:val="clear" w:color="auto" w:fill="1F4E79"/>
            <w:vAlign w:val="center"/>
          </w:tcPr>
          <w:p>
            <w:pPr>
              <w:keepNext/>
              <w:spacing w:after="0"/>
              <w:jc w:val="center"/>
            </w:pPr>
            <w:r>
              <w:rPr>
                <w:rFonts w:ascii="Calibri" w:hAnsi="Calibri"/>
                <w:b/>
                <w:i w:val="0"/>
                <w:color w:val="FFFFFF"/>
                <w:sz w:val="20"/>
              </w:rPr>
              <w:t>affected records</w:t>
            </w:r>
          </w:p>
        </w:tc>
        <w:tc>
          <w:tcPr>
            <w:tcW w:type="dxa" w:w="2074"/>
            <w:shd w:val="clear" w:color="auto" w:fill="1F4E79"/>
            <w:vAlign w:val="center"/>
          </w:tcPr>
          <w:p>
            <w:pPr>
              <w:keepNext/>
              <w:spacing w:after="0"/>
            </w:pPr>
            <w:r>
              <w:rPr>
                <w:rFonts w:ascii="Calibri" w:hAnsi="Calibri"/>
                <w:b/>
                <w:i w:val="0"/>
                <w:color w:val="FFFFFF"/>
                <w:sz w:val="20"/>
              </w:rPr>
              <w:t>identification criteria</w:t>
            </w:r>
          </w:p>
        </w:tc>
        <w:tc>
          <w:tcPr>
            <w:tcW w:type="dxa" w:w="1748"/>
            <w:shd w:val="clear" w:color="auto" w:fill="1F4E79"/>
            <w:vAlign w:val="center"/>
          </w:tcPr>
          <w:p>
            <w:pPr>
              <w:keepNext/>
              <w:spacing w:after="0"/>
            </w:pPr>
            <w:r>
              <w:rPr>
                <w:rFonts w:ascii="Calibri" w:hAnsi="Calibri"/>
                <w:b/>
                <w:i w:val="0"/>
                <w:color w:val="FFFFFF"/>
                <w:sz w:val="20"/>
              </w:rPr>
              <w:t>analytical handling</w:t>
            </w:r>
          </w:p>
        </w:tc>
      </w:tr>
      <w:tr>
        <w:trPr>
          <w:cantSplit/>
        </w:trPr>
        <w:tc>
          <w:tcPr>
            <w:tcW w:type="dxa" w:w="3546"/>
            <w:shd w:val="clear" w:color="auto" w:fill="FFFFFF"/>
            <w:vAlign w:val="center"/>
          </w:tcPr>
          <w:p>
            <w:pPr>
              <w:keepNext/>
              <w:spacing w:after="0"/>
            </w:pPr>
            <w:r>
              <w:rPr>
                <w:rFonts w:ascii="Consolas" w:hAnsi="Consolas"/>
                <w:b/>
                <w:i w:val="0"/>
                <w:color w:val="222222"/>
                <w:sz w:val="18"/>
              </w:rPr>
              <w:t>incomplete_dose_series</w:t>
            </w:r>
          </w:p>
        </w:tc>
        <w:tc>
          <w:tcPr>
            <w:tcW w:type="dxa" w:w="1128"/>
            <w:shd w:val="clear" w:color="auto" w:fill="FFFFFF"/>
            <w:vAlign w:val="center"/>
          </w:tcPr>
          <w:p>
            <w:pPr>
              <w:keepNext/>
              <w:spacing w:after="0"/>
              <w:jc w:val="center"/>
            </w:pPr>
            <w:r>
              <w:rPr>
                <w:rFonts w:ascii="Calibri" w:hAnsi="Calibri"/>
                <w:b w:val="0"/>
                <w:i w:val="0"/>
                <w:color w:val="222222"/>
                <w:sz w:val="20"/>
              </w:rPr>
              <w:t>272</w:t>
            </w:r>
          </w:p>
        </w:tc>
        <w:tc>
          <w:tcPr>
            <w:tcW w:type="dxa" w:w="2074"/>
            <w:shd w:val="clear" w:color="auto" w:fill="FFFFFF"/>
            <w:vAlign w:val="center"/>
          </w:tcPr>
          <w:p>
            <w:pPr>
              <w:keepNext/>
              <w:spacing w:after="0"/>
            </w:pPr>
            <w:r>
              <w:rPr>
                <w:rFonts w:ascii="Calibri" w:hAnsi="Calibri"/>
                <w:b w:val="0"/>
                <w:i w:val="0"/>
                <w:color w:val="222222"/>
                <w:sz w:val="20"/>
              </w:rPr>
              <w:t>concentration series missing intermediate dilution steps</w:t>
            </w:r>
          </w:p>
        </w:tc>
        <w:tc>
          <w:tcPr>
            <w:tcW w:type="dxa" w:w="1748"/>
            <w:shd w:val="clear" w:color="auto" w:fill="FFFFFF"/>
            <w:vAlign w:val="center"/>
          </w:tcPr>
          <w:p>
            <w:pPr>
              <w:keepNext/>
              <w:spacing w:after="0"/>
            </w:pPr>
            <w:r>
              <w:rPr>
                <w:rFonts w:ascii="Calibri" w:hAnsi="Calibri"/>
                <w:b w:val="0"/>
                <w:i w:val="0"/>
                <w:color w:val="222222"/>
                <w:sz w:val="20"/>
              </w:rPr>
              <w:t>flagged; excluded from monotonic dose sweeps</w:t>
            </w:r>
          </w:p>
        </w:tc>
      </w:tr>
      <w:tr>
        <w:trPr>
          <w:cantSplit/>
        </w:trPr>
        <w:tc>
          <w:tcPr>
            <w:tcW w:type="dxa" w:w="3546"/>
            <w:shd w:val="clear" w:color="auto" w:fill="F7F9FB"/>
            <w:vAlign w:val="center"/>
          </w:tcPr>
          <w:p>
            <w:pPr>
              <w:keepNext/>
              <w:spacing w:after="0"/>
            </w:pPr>
            <w:r>
              <w:rPr>
                <w:rFonts w:ascii="Consolas" w:hAnsi="Consolas"/>
                <w:b/>
                <w:i w:val="0"/>
                <w:color w:val="222222"/>
                <w:sz w:val="18"/>
              </w:rPr>
              <w:t>too_few_active_electrodes</w:t>
            </w:r>
          </w:p>
        </w:tc>
        <w:tc>
          <w:tcPr>
            <w:tcW w:type="dxa" w:w="1128"/>
            <w:shd w:val="clear" w:color="auto" w:fill="F7F9FB"/>
            <w:vAlign w:val="center"/>
          </w:tcPr>
          <w:p>
            <w:pPr>
              <w:keepNext/>
              <w:spacing w:after="0"/>
              <w:jc w:val="center"/>
            </w:pPr>
            <w:r>
              <w:rPr>
                <w:rFonts w:ascii="Calibri" w:hAnsi="Calibri"/>
                <w:b w:val="0"/>
                <w:i w:val="0"/>
                <w:color w:val="222222"/>
                <w:sz w:val="20"/>
              </w:rPr>
              <w:t>265</w:t>
            </w:r>
          </w:p>
        </w:tc>
        <w:tc>
          <w:tcPr>
            <w:tcW w:type="dxa" w:w="2074"/>
            <w:shd w:val="clear" w:color="auto" w:fill="F7F9FB"/>
            <w:vAlign w:val="center"/>
          </w:tcPr>
          <w:p>
            <w:pPr>
              <w:keepNext/>
              <w:spacing w:after="0"/>
            </w:pPr>
            <w:r>
              <w:rPr>
                <w:rFonts w:ascii="Calibri" w:hAnsi="Calibri"/>
                <w:b w:val="0"/>
                <w:i w:val="0"/>
                <w:color w:val="222222"/>
                <w:sz w:val="20"/>
              </w:rPr>
              <w:t>fewer than 10 electrodes clearing 5 spikes/min</w:t>
            </w:r>
          </w:p>
        </w:tc>
        <w:tc>
          <w:tcPr>
            <w:tcW w:type="dxa" w:w="1748"/>
            <w:shd w:val="clear" w:color="auto" w:fill="F7F9FB"/>
            <w:vAlign w:val="center"/>
          </w:tcPr>
          <w:p>
            <w:pPr>
              <w:keepNext/>
              <w:spacing w:after="0"/>
            </w:pPr>
            <w:r>
              <w:rPr>
                <w:rFonts w:ascii="Calibri" w:hAnsi="Calibri"/>
                <w:b w:val="0"/>
                <w:i w:val="0"/>
                <w:color w:val="222222"/>
                <w:sz w:val="20"/>
              </w:rPr>
              <w:t>flagged; preserved in the data asset</w:t>
            </w:r>
          </w:p>
        </w:tc>
      </w:tr>
      <w:tr>
        <w:trPr>
          <w:cantSplit/>
        </w:trPr>
        <w:tc>
          <w:tcPr>
            <w:tcW w:type="dxa" w:w="3546"/>
            <w:shd w:val="clear" w:color="auto" w:fill="FFFFFF"/>
            <w:vAlign w:val="center"/>
          </w:tcPr>
          <w:p>
            <w:pPr>
              <w:keepNext/>
              <w:spacing w:after="0"/>
            </w:pPr>
            <w:r>
              <w:rPr>
                <w:rFonts w:ascii="Consolas" w:hAnsi="Consolas"/>
                <w:b/>
                <w:i w:val="0"/>
                <w:color w:val="222222"/>
                <w:sz w:val="18"/>
              </w:rPr>
              <w:t>replicate_divergence</w:t>
            </w:r>
          </w:p>
        </w:tc>
        <w:tc>
          <w:tcPr>
            <w:tcW w:type="dxa" w:w="1128"/>
            <w:shd w:val="clear" w:color="auto" w:fill="FFFFFF"/>
            <w:vAlign w:val="center"/>
          </w:tcPr>
          <w:p>
            <w:pPr>
              <w:keepNext/>
              <w:spacing w:after="0"/>
              <w:jc w:val="center"/>
            </w:pPr>
            <w:r>
              <w:rPr>
                <w:rFonts w:ascii="Calibri" w:hAnsi="Calibri"/>
                <w:b w:val="0"/>
                <w:i w:val="0"/>
                <w:color w:val="222222"/>
                <w:sz w:val="20"/>
              </w:rPr>
              <w:t>221</w:t>
            </w:r>
          </w:p>
        </w:tc>
        <w:tc>
          <w:tcPr>
            <w:tcW w:type="dxa" w:w="2074"/>
            <w:shd w:val="clear" w:color="auto" w:fill="FFFFFF"/>
            <w:vAlign w:val="center"/>
          </w:tcPr>
          <w:p>
            <w:pPr>
              <w:keepNext/>
              <w:spacing w:after="0"/>
            </w:pPr>
            <w:r>
              <w:rPr>
                <w:rFonts w:ascii="Calibri" w:hAnsi="Calibri"/>
                <w:b w:val="0"/>
                <w:i w:val="0"/>
                <w:color w:val="222222"/>
                <w:sz w:val="20"/>
              </w:rPr>
              <w:t>well deviates more than 3σ from its culture replicate cohort</w:t>
            </w:r>
          </w:p>
        </w:tc>
        <w:tc>
          <w:tcPr>
            <w:tcW w:type="dxa" w:w="1748"/>
            <w:shd w:val="clear" w:color="auto" w:fill="FFFFFF"/>
            <w:vAlign w:val="center"/>
          </w:tcPr>
          <w:p>
            <w:pPr>
              <w:keepNext/>
              <w:spacing w:after="0"/>
            </w:pPr>
            <w:r>
              <w:rPr>
                <w:rFonts w:ascii="Calibri" w:hAnsi="Calibri"/>
                <w:b w:val="0"/>
                <w:i w:val="0"/>
                <w:color w:val="222222"/>
                <w:sz w:val="20"/>
              </w:rPr>
              <w:t>flagged; logged in metadata</w:t>
            </w:r>
          </w:p>
        </w:tc>
      </w:tr>
      <w:tr>
        <w:trPr>
          <w:cantSplit/>
        </w:trPr>
        <w:tc>
          <w:tcPr>
            <w:tcW w:type="dxa" w:w="3546"/>
            <w:shd w:val="clear" w:color="auto" w:fill="F7F9FB"/>
            <w:vAlign w:val="center"/>
          </w:tcPr>
          <w:p>
            <w:pPr>
              <w:keepNext/>
              <w:spacing w:after="0"/>
            </w:pPr>
            <w:r>
              <w:rPr>
                <w:rFonts w:ascii="Consolas" w:hAnsi="Consolas"/>
                <w:b/>
                <w:i w:val="0"/>
                <w:color w:val="222222"/>
                <w:sz w:val="18"/>
              </w:rPr>
              <w:t>outlier_feature_value</w:t>
            </w:r>
          </w:p>
        </w:tc>
        <w:tc>
          <w:tcPr>
            <w:tcW w:type="dxa" w:w="1128"/>
            <w:shd w:val="clear" w:color="auto" w:fill="F7F9FB"/>
            <w:vAlign w:val="center"/>
          </w:tcPr>
          <w:p>
            <w:pPr>
              <w:keepNext/>
              <w:spacing w:after="0"/>
              <w:jc w:val="center"/>
            </w:pPr>
            <w:r>
              <w:rPr>
                <w:rFonts w:ascii="Calibri" w:hAnsi="Calibri"/>
                <w:b w:val="0"/>
                <w:i w:val="0"/>
                <w:color w:val="222222"/>
                <w:sz w:val="20"/>
              </w:rPr>
              <w:t>221</w:t>
            </w:r>
          </w:p>
        </w:tc>
        <w:tc>
          <w:tcPr>
            <w:tcW w:type="dxa" w:w="2074"/>
            <w:shd w:val="clear" w:color="auto" w:fill="F7F9FB"/>
            <w:vAlign w:val="center"/>
          </w:tcPr>
          <w:p>
            <w:pPr>
              <w:keepNext/>
              <w:spacing w:after="0"/>
            </w:pPr>
            <w:r>
              <w:rPr>
                <w:rFonts w:ascii="Calibri" w:hAnsi="Calibri"/>
                <w:b w:val="0"/>
                <w:i w:val="0"/>
                <w:color w:val="222222"/>
                <w:sz w:val="20"/>
              </w:rPr>
              <w:t>feature value outside the acceptable biological distribution</w:t>
            </w:r>
          </w:p>
        </w:tc>
        <w:tc>
          <w:tcPr>
            <w:tcW w:type="dxa" w:w="1748"/>
            <w:shd w:val="clear" w:color="auto" w:fill="F7F9FB"/>
            <w:vAlign w:val="center"/>
          </w:tcPr>
          <w:p>
            <w:pPr>
              <w:keepNext/>
              <w:spacing w:after="0"/>
            </w:pPr>
            <w:r>
              <w:rPr>
                <w:rFonts w:ascii="Calibri" w:hAnsi="Calibri"/>
                <w:b w:val="0"/>
                <w:i w:val="0"/>
                <w:color w:val="222222"/>
                <w:sz w:val="20"/>
              </w:rPr>
              <w:t>flagged; excluded from density fitting</w:t>
            </w:r>
          </w:p>
        </w:tc>
      </w:tr>
      <w:tr>
        <w:trPr>
          <w:cantSplit/>
        </w:trPr>
        <w:tc>
          <w:tcPr>
            <w:tcW w:type="dxa" w:w="3546"/>
            <w:shd w:val="clear" w:color="auto" w:fill="FFFFFF"/>
            <w:vAlign w:val="center"/>
          </w:tcPr>
          <w:p>
            <w:pPr>
              <w:keepNext/>
              <w:spacing w:after="0"/>
            </w:pPr>
            <w:r>
              <w:rPr>
                <w:rFonts w:ascii="Consolas" w:hAnsi="Consolas"/>
                <w:b/>
                <w:i w:val="0"/>
                <w:color w:val="222222"/>
                <w:sz w:val="18"/>
              </w:rPr>
              <w:t>excluded_well_upstream</w:t>
            </w:r>
          </w:p>
        </w:tc>
        <w:tc>
          <w:tcPr>
            <w:tcW w:type="dxa" w:w="1128"/>
            <w:shd w:val="clear" w:color="auto" w:fill="FFFFFF"/>
            <w:vAlign w:val="center"/>
          </w:tcPr>
          <w:p>
            <w:pPr>
              <w:keepNext/>
              <w:spacing w:after="0"/>
              <w:jc w:val="center"/>
            </w:pPr>
            <w:r>
              <w:rPr>
                <w:rFonts w:ascii="Calibri" w:hAnsi="Calibri"/>
                <w:b w:val="0"/>
                <w:i w:val="0"/>
                <w:color w:val="222222"/>
                <w:sz w:val="20"/>
              </w:rPr>
              <w:t>90</w:t>
            </w:r>
          </w:p>
        </w:tc>
        <w:tc>
          <w:tcPr>
            <w:tcW w:type="dxa" w:w="2074"/>
            <w:shd w:val="clear" w:color="auto" w:fill="FFFFFF"/>
            <w:vAlign w:val="center"/>
          </w:tcPr>
          <w:p>
            <w:pPr>
              <w:keepNext/>
              <w:spacing w:after="0"/>
            </w:pPr>
            <w:r>
              <w:rPr>
                <w:rFonts w:ascii="Calibri" w:hAnsi="Calibri"/>
                <w:b w:val="0"/>
                <w:i w:val="0"/>
                <w:color w:val="222222"/>
                <w:sz w:val="20"/>
              </w:rPr>
              <w:t>source laboratory marked the well defective</w:t>
            </w:r>
          </w:p>
        </w:tc>
        <w:tc>
          <w:tcPr>
            <w:tcW w:type="dxa" w:w="1748"/>
            <w:shd w:val="clear" w:color="auto" w:fill="FFFFFF"/>
            <w:vAlign w:val="center"/>
          </w:tcPr>
          <w:p>
            <w:pPr>
              <w:keepNext/>
              <w:spacing w:after="0"/>
            </w:pPr>
            <w:r>
              <w:rPr>
                <w:rFonts w:ascii="Calibri" w:hAnsi="Calibri"/>
                <w:b w:val="0"/>
                <w:i w:val="0"/>
                <w:color w:val="222222"/>
                <w:sz w:val="20"/>
              </w:rPr>
              <w:t>flagged; excluded from benchmarks</w:t>
            </w:r>
          </w:p>
        </w:tc>
      </w:tr>
      <w:tr>
        <w:trPr>
          <w:cantSplit/>
        </w:trPr>
        <w:tc>
          <w:tcPr>
            <w:tcW w:type="dxa" w:w="3546"/>
            <w:shd w:val="clear" w:color="auto" w:fill="F7F9FB"/>
            <w:vAlign w:val="center"/>
          </w:tcPr>
          <w:p>
            <w:pPr>
              <w:keepNext/>
              <w:spacing w:after="0"/>
            </w:pPr>
            <w:r>
              <w:rPr>
                <w:rFonts w:ascii="Consolas" w:hAnsi="Consolas"/>
                <w:b/>
                <w:i w:val="0"/>
                <w:color w:val="222222"/>
                <w:sz w:val="18"/>
              </w:rPr>
              <w:t>missing_baseline_pair</w:t>
            </w:r>
          </w:p>
        </w:tc>
        <w:tc>
          <w:tcPr>
            <w:tcW w:type="dxa" w:w="1128"/>
            <w:shd w:val="clear" w:color="auto" w:fill="F7F9FB"/>
            <w:vAlign w:val="center"/>
          </w:tcPr>
          <w:p>
            <w:pPr>
              <w:keepNext/>
              <w:spacing w:after="0"/>
              <w:jc w:val="center"/>
            </w:pPr>
            <w:r>
              <w:rPr>
                <w:rFonts w:ascii="Calibri" w:hAnsi="Calibri"/>
                <w:b w:val="0"/>
                <w:i w:val="0"/>
                <w:color w:val="222222"/>
                <w:sz w:val="20"/>
              </w:rPr>
              <w:t>24</w:t>
            </w:r>
          </w:p>
        </w:tc>
        <w:tc>
          <w:tcPr>
            <w:tcW w:type="dxa" w:w="2074"/>
            <w:shd w:val="clear" w:color="auto" w:fill="F7F9FB"/>
            <w:vAlign w:val="center"/>
          </w:tcPr>
          <w:p>
            <w:pPr>
              <w:keepNext/>
              <w:spacing w:after="0"/>
            </w:pPr>
            <w:r>
              <w:rPr>
                <w:rFonts w:ascii="Calibri" w:hAnsi="Calibri"/>
                <w:b w:val="0"/>
                <w:i w:val="0"/>
                <w:color w:val="222222"/>
                <w:sz w:val="20"/>
              </w:rPr>
              <w:t>no baseline recording on the same well</w:t>
            </w:r>
          </w:p>
        </w:tc>
        <w:tc>
          <w:tcPr>
            <w:tcW w:type="dxa" w:w="1748"/>
            <w:shd w:val="clear" w:color="auto" w:fill="F7F9FB"/>
            <w:vAlign w:val="center"/>
          </w:tcPr>
          <w:p>
            <w:pPr>
              <w:keepNext/>
              <w:spacing w:after="0"/>
            </w:pPr>
            <w:r>
              <w:rPr>
                <w:rFonts w:ascii="Calibri" w:hAnsi="Calibri"/>
                <w:b w:val="0"/>
                <w:i w:val="0"/>
                <w:color w:val="222222"/>
                <w:sz w:val="20"/>
              </w:rPr>
              <w:t>flagged; cannot enter a paired-delta model</w:t>
            </w:r>
          </w:p>
        </w:tc>
      </w:tr>
      <w:tr>
        <w:trPr>
          <w:cantSplit/>
        </w:trPr>
        <w:tc>
          <w:tcPr>
            <w:tcW w:type="dxa" w:w="3546"/>
            <w:shd w:val="clear" w:color="auto" w:fill="FFFFFF"/>
            <w:vAlign w:val="center"/>
          </w:tcPr>
          <w:p>
            <w:pPr>
              <w:keepNext/>
              <w:spacing w:after="0"/>
            </w:pPr>
            <w:r>
              <w:rPr>
                <w:rFonts w:ascii="Consolas" w:hAnsi="Consolas"/>
                <w:b/>
                <w:i w:val="0"/>
                <w:color w:val="222222"/>
                <w:sz w:val="18"/>
              </w:rPr>
              <w:t>noisy_electrodes_present</w:t>
            </w:r>
          </w:p>
        </w:tc>
        <w:tc>
          <w:tcPr>
            <w:tcW w:type="dxa" w:w="1128"/>
            <w:shd w:val="clear" w:color="auto" w:fill="FFFFFF"/>
            <w:vAlign w:val="center"/>
          </w:tcPr>
          <w:p>
            <w:pPr>
              <w:keepNext/>
              <w:spacing w:after="0"/>
              <w:jc w:val="center"/>
            </w:pPr>
            <w:r>
              <w:rPr>
                <w:rFonts w:ascii="Calibri" w:hAnsi="Calibri"/>
                <w:b w:val="0"/>
                <w:i w:val="0"/>
                <w:color w:val="222222"/>
                <w:sz w:val="20"/>
              </w:rPr>
              <w:t>11</w:t>
            </w:r>
          </w:p>
        </w:tc>
        <w:tc>
          <w:tcPr>
            <w:tcW w:type="dxa" w:w="2074"/>
            <w:shd w:val="clear" w:color="auto" w:fill="FFFFFF"/>
            <w:vAlign w:val="center"/>
          </w:tcPr>
          <w:p>
            <w:pPr>
              <w:keepNext/>
              <w:spacing w:after="0"/>
            </w:pPr>
            <w:r>
              <w:rPr>
                <w:rFonts w:ascii="Calibri" w:hAnsi="Calibri"/>
                <w:b w:val="0"/>
                <w:i w:val="0"/>
                <w:color w:val="222222"/>
                <w:sz w:val="20"/>
              </w:rPr>
              <w:t>significant mechanical or electrical artifact</w:t>
            </w:r>
          </w:p>
        </w:tc>
        <w:tc>
          <w:tcPr>
            <w:tcW w:type="dxa" w:w="1748"/>
            <w:shd w:val="clear" w:color="auto" w:fill="FFFFFF"/>
            <w:vAlign w:val="center"/>
          </w:tcPr>
          <w:p>
            <w:pPr>
              <w:keepNext/>
              <w:spacing w:after="0"/>
            </w:pPr>
            <w:r>
              <w:rPr>
                <w:rFonts w:ascii="Calibri" w:hAnsi="Calibri"/>
                <w:b w:val="0"/>
                <w:i w:val="0"/>
                <w:color w:val="222222"/>
                <w:sz w:val="20"/>
              </w:rPr>
              <w:t>flagged; isolated during ingestion</w:t>
            </w:r>
          </w:p>
        </w:tc>
      </w:tr>
      <w:tr>
        <w:trPr>
          <w:cantSplit/>
        </w:trPr>
        <w:tc>
          <w:tcPr>
            <w:tcW w:type="dxa" w:w="3546"/>
            <w:shd w:val="clear" w:color="auto" w:fill="F7F9FB"/>
            <w:vAlign w:val="center"/>
          </w:tcPr>
          <w:p>
            <w:pPr>
              <w:keepNext w:val="0"/>
              <w:spacing w:after="0"/>
            </w:pPr>
            <w:r>
              <w:rPr>
                <w:rFonts w:ascii="Consolas" w:hAnsi="Consolas"/>
                <w:b/>
                <w:i w:val="0"/>
                <w:color w:val="222222"/>
                <w:sz w:val="18"/>
              </w:rPr>
              <w:t>unreadable_channels</w:t>
            </w:r>
          </w:p>
        </w:tc>
        <w:tc>
          <w:tcPr>
            <w:tcW w:type="dxa" w:w="1128"/>
            <w:shd w:val="clear" w:color="auto" w:fill="F7F9FB"/>
            <w:vAlign w:val="center"/>
          </w:tcPr>
          <w:p>
            <w:pPr>
              <w:keepNext w:val="0"/>
              <w:spacing w:after="0"/>
              <w:jc w:val="center"/>
            </w:pPr>
            <w:r>
              <w:rPr>
                <w:rFonts w:ascii="Calibri" w:hAnsi="Calibri"/>
                <w:b w:val="0"/>
                <w:i w:val="0"/>
                <w:color w:val="222222"/>
                <w:sz w:val="20"/>
              </w:rPr>
              <w:t>2</w:t>
            </w:r>
          </w:p>
        </w:tc>
        <w:tc>
          <w:tcPr>
            <w:tcW w:type="dxa" w:w="2074"/>
            <w:shd w:val="clear" w:color="auto" w:fill="F7F9FB"/>
            <w:vAlign w:val="center"/>
          </w:tcPr>
          <w:p>
            <w:pPr>
              <w:keepNext w:val="0"/>
              <w:spacing w:after="0"/>
            </w:pPr>
            <w:r>
              <w:rPr>
                <w:rFonts w:ascii="Calibri" w:hAnsi="Calibri"/>
                <w:b w:val="0"/>
                <w:i w:val="0"/>
                <w:color w:val="222222"/>
                <w:sz w:val="20"/>
              </w:rPr>
              <w:t>channel could not be decoded from the deposit</w:t>
            </w:r>
          </w:p>
        </w:tc>
        <w:tc>
          <w:tcPr>
            <w:tcW w:type="dxa" w:w="1748"/>
            <w:shd w:val="clear" w:color="auto" w:fill="F7F9FB"/>
            <w:vAlign w:val="center"/>
          </w:tcPr>
          <w:p>
            <w:pPr>
              <w:keepNext w:val="0"/>
              <w:spacing w:after="0"/>
            </w:pPr>
            <w:r>
              <w:rPr>
                <w:rFonts w:ascii="Calibri" w:hAnsi="Calibri"/>
                <w:b w:val="0"/>
                <w:i w:val="0"/>
                <w:color w:val="222222"/>
                <w:sz w:val="20"/>
              </w:rPr>
              <w:t>flagged; channel dropped</w:t>
            </w:r>
          </w:p>
        </w:tc>
      </w:tr>
    </w:tbl>
    <w:p>
      <w:pPr>
        <w:spacing w:after="80"/>
      </w:pPr>
    </w:p>
    <w:p>
      <w:pPr>
        <w:keepNext/>
        <w:spacing w:before="240" w:after="60"/>
      </w:pPr>
      <w:r>
        <w:rPr>
          <w:rFonts w:ascii="Calibri" w:hAnsi="Calibri"/>
          <w:b/>
          <w:i w:val="0"/>
          <w:color w:val="1F4E79"/>
          <w:sz w:val="23"/>
        </w:rPr>
        <w:t>Appendix I — Digital twin forward-model parameters</w:t>
      </w:r>
    </w:p>
    <w:p>
      <w:pPr>
        <w:keepNext/>
        <w:spacing w:after="120"/>
      </w:pPr>
      <w:r>
        <w:rPr>
          <w:rFonts w:ascii="Calibri" w:hAnsi="Calibri"/>
          <w:b w:val="0"/>
          <w:i w:val="0"/>
          <w:color w:val="222222"/>
          <w:sz w:val="21"/>
        </w:rPr>
        <w:t>Calibrated values are the chosen draw from the §13 search; held values were fixed and not searched.</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882"/>
        <w:gridCol w:w="2244"/>
        <w:gridCol w:w="1276"/>
        <w:gridCol w:w="2094"/>
      </w:tblGrid>
      <w:tr>
        <w:trPr>
          <w:cantSplit/>
          <w:tblHeader/>
        </w:trPr>
        <w:tc>
          <w:tcPr>
            <w:tcW w:type="dxa" w:w="2882"/>
            <w:shd w:val="clear" w:color="auto" w:fill="1F4E79"/>
            <w:vAlign w:val="center"/>
          </w:tcPr>
          <w:p>
            <w:pPr>
              <w:keepNext/>
              <w:spacing w:after="0"/>
            </w:pPr>
            <w:r>
              <w:rPr>
                <w:rFonts w:ascii="Calibri" w:hAnsi="Calibri"/>
                <w:b/>
                <w:i w:val="0"/>
                <w:color w:val="FFFFFF"/>
                <w:sz w:val="20"/>
              </w:rPr>
              <w:t>parameter</w:t>
            </w:r>
          </w:p>
        </w:tc>
        <w:tc>
          <w:tcPr>
            <w:tcW w:type="dxa" w:w="2244"/>
            <w:shd w:val="clear" w:color="auto" w:fill="1F4E79"/>
            <w:vAlign w:val="center"/>
          </w:tcPr>
          <w:p>
            <w:pPr>
              <w:keepNext/>
              <w:spacing w:after="0"/>
            </w:pPr>
            <w:r>
              <w:rPr>
                <w:rFonts w:ascii="Calibri" w:hAnsi="Calibri"/>
                <w:b/>
                <w:i w:val="0"/>
                <w:color w:val="FFFFFF"/>
                <w:sz w:val="20"/>
              </w:rPr>
              <w:t>role</w:t>
            </w:r>
          </w:p>
        </w:tc>
        <w:tc>
          <w:tcPr>
            <w:tcW w:type="dxa" w:w="1276"/>
            <w:shd w:val="clear" w:color="auto" w:fill="1F4E79"/>
            <w:vAlign w:val="center"/>
          </w:tcPr>
          <w:p>
            <w:pPr>
              <w:keepNext/>
              <w:spacing w:after="0"/>
            </w:pPr>
            <w:r>
              <w:rPr>
                <w:rFonts w:ascii="Calibri" w:hAnsi="Calibri"/>
                <w:b/>
                <w:i w:val="0"/>
                <w:color w:val="FFFFFF"/>
                <w:sz w:val="20"/>
              </w:rPr>
              <w:t>calibrated value</w:t>
            </w:r>
          </w:p>
        </w:tc>
        <w:tc>
          <w:tcPr>
            <w:tcW w:type="dxa" w:w="2094"/>
            <w:shd w:val="clear" w:color="auto" w:fill="1F4E79"/>
            <w:vAlign w:val="center"/>
          </w:tcPr>
          <w:p>
            <w:pPr>
              <w:keepNext/>
              <w:spacing w:after="0"/>
            </w:pPr>
            <w:r>
              <w:rPr>
                <w:rFonts w:ascii="Calibri" w:hAnsi="Calibri"/>
                <w:b/>
                <w:i w:val="0"/>
                <w:color w:val="FFFFFF"/>
                <w:sz w:val="20"/>
              </w:rPr>
              <w:t>how it was set</w:t>
            </w:r>
          </w:p>
        </w:tc>
      </w:tr>
      <w:tr>
        <w:trPr>
          <w:cantSplit/>
        </w:trPr>
        <w:tc>
          <w:tcPr>
            <w:tcW w:type="dxa" w:w="2882"/>
            <w:shd w:val="clear" w:color="auto" w:fill="FFFFFF"/>
            <w:vAlign w:val="center"/>
          </w:tcPr>
          <w:p>
            <w:pPr>
              <w:keepNext/>
              <w:spacing w:after="0"/>
            </w:pPr>
            <w:r>
              <w:rPr>
                <w:rFonts w:ascii="Consolas" w:hAnsi="Consolas"/>
                <w:b/>
                <w:i w:val="0"/>
                <w:color w:val="222222"/>
                <w:sz w:val="18"/>
              </w:rPr>
              <w:t>n_per_compartment</w:t>
            </w:r>
          </w:p>
        </w:tc>
        <w:tc>
          <w:tcPr>
            <w:tcW w:type="dxa" w:w="2244"/>
            <w:shd w:val="clear" w:color="auto" w:fill="FFFFFF"/>
            <w:vAlign w:val="center"/>
          </w:tcPr>
          <w:p>
            <w:pPr>
              <w:keepNext/>
              <w:spacing w:after="0"/>
            </w:pPr>
            <w:r>
              <w:rPr>
                <w:rFonts w:ascii="Calibri" w:hAnsi="Calibri"/>
                <w:b w:val="0"/>
                <w:i w:val="0"/>
                <w:color w:val="222222"/>
                <w:sz w:val="20"/>
              </w:rPr>
              <w:t>plating cell density per chamber</w:t>
            </w:r>
          </w:p>
        </w:tc>
        <w:tc>
          <w:tcPr>
            <w:tcW w:type="dxa" w:w="1276"/>
            <w:shd w:val="clear" w:color="auto" w:fill="FFFFFF"/>
            <w:vAlign w:val="center"/>
          </w:tcPr>
          <w:p>
            <w:pPr>
              <w:keepNext/>
              <w:spacing w:after="0"/>
            </w:pPr>
            <w:r>
              <w:rPr>
                <w:rFonts w:ascii="Calibri" w:hAnsi="Calibri"/>
                <w:b w:val="0"/>
                <w:i w:val="0"/>
                <w:color w:val="222222"/>
                <w:sz w:val="20"/>
              </w:rPr>
              <w:t>967 neurons</w:t>
            </w:r>
          </w:p>
        </w:tc>
        <w:tc>
          <w:tcPr>
            <w:tcW w:type="dxa" w:w="2094"/>
            <w:shd w:val="clear" w:color="auto" w:fill="FFFFFF"/>
            <w:vAlign w:val="center"/>
          </w:tcPr>
          <w:p>
            <w:pPr>
              <w:keepNext/>
              <w:spacing w:after="0"/>
            </w:pPr>
            <w:r>
              <w:rPr>
                <w:rFonts w:ascii="Calibri" w:hAnsi="Calibri"/>
                <w:b w:val="0"/>
                <w:i w:val="0"/>
                <w:color w:val="222222"/>
                <w:sz w:val="20"/>
              </w:rPr>
              <w:t>calibrated, searched over 250–1500</w:t>
            </w:r>
          </w:p>
        </w:tc>
      </w:tr>
      <w:tr>
        <w:trPr>
          <w:cantSplit/>
        </w:trPr>
        <w:tc>
          <w:tcPr>
            <w:tcW w:type="dxa" w:w="2882"/>
            <w:shd w:val="clear" w:color="auto" w:fill="F7F9FB"/>
            <w:vAlign w:val="center"/>
          </w:tcPr>
          <w:p>
            <w:pPr>
              <w:keepNext/>
              <w:spacing w:after="0"/>
            </w:pPr>
            <w:r>
              <w:rPr>
                <w:rFonts w:ascii="Consolas" w:hAnsi="Consolas"/>
                <w:b/>
                <w:i w:val="0"/>
                <w:color w:val="222222"/>
                <w:sz w:val="18"/>
              </w:rPr>
              <w:t>detection_radius_um</w:t>
            </w:r>
          </w:p>
        </w:tc>
        <w:tc>
          <w:tcPr>
            <w:tcW w:type="dxa" w:w="2244"/>
            <w:shd w:val="clear" w:color="auto" w:fill="F7F9FB"/>
            <w:vAlign w:val="center"/>
          </w:tcPr>
          <w:p>
            <w:pPr>
              <w:keepNext/>
              <w:spacing w:after="0"/>
            </w:pPr>
            <w:r>
              <w:rPr>
                <w:rFonts w:ascii="Calibri" w:hAnsi="Calibri"/>
                <w:b w:val="0"/>
                <w:i w:val="0"/>
                <w:color w:val="222222"/>
                <w:sz w:val="20"/>
              </w:rPr>
              <w:t>virtual electrode listening catchment</w:t>
            </w:r>
          </w:p>
        </w:tc>
        <w:tc>
          <w:tcPr>
            <w:tcW w:type="dxa" w:w="1276"/>
            <w:shd w:val="clear" w:color="auto" w:fill="F7F9FB"/>
            <w:vAlign w:val="center"/>
          </w:tcPr>
          <w:p>
            <w:pPr>
              <w:keepNext/>
              <w:spacing w:after="0"/>
            </w:pPr>
            <w:r>
              <w:rPr>
                <w:rFonts w:ascii="Calibri" w:hAnsi="Calibri"/>
                <w:b w:val="0"/>
                <w:i w:val="0"/>
                <w:color w:val="222222"/>
                <w:sz w:val="20"/>
              </w:rPr>
              <w:t>92.5135 µm</w:t>
            </w:r>
          </w:p>
        </w:tc>
        <w:tc>
          <w:tcPr>
            <w:tcW w:type="dxa" w:w="2094"/>
            <w:shd w:val="clear" w:color="auto" w:fill="F7F9FB"/>
            <w:vAlign w:val="center"/>
          </w:tcPr>
          <w:p>
            <w:pPr>
              <w:keepNext/>
              <w:spacing w:after="0"/>
            </w:pPr>
            <w:r>
              <w:rPr>
                <w:rFonts w:ascii="Calibri" w:hAnsi="Calibri"/>
                <w:b w:val="0"/>
                <w:i w:val="0"/>
                <w:color w:val="222222"/>
                <w:sz w:val="20"/>
              </w:rPr>
              <w:t>calibrated, searched over 40–100 µm, capped at half the electrode pitch</w:t>
            </w:r>
          </w:p>
        </w:tc>
      </w:tr>
      <w:tr>
        <w:trPr>
          <w:cantSplit/>
        </w:trPr>
        <w:tc>
          <w:tcPr>
            <w:tcW w:type="dxa" w:w="2882"/>
            <w:shd w:val="clear" w:color="auto" w:fill="FFFFFF"/>
            <w:vAlign w:val="center"/>
          </w:tcPr>
          <w:p>
            <w:pPr>
              <w:keepNext/>
              <w:spacing w:after="0"/>
            </w:pPr>
            <w:r>
              <w:rPr>
                <w:rFonts w:ascii="Consolas" w:hAnsi="Consolas"/>
                <w:b/>
                <w:i w:val="0"/>
                <w:color w:val="222222"/>
                <w:sz w:val="18"/>
              </w:rPr>
              <w:t>intra_in_degree</w:t>
            </w:r>
          </w:p>
        </w:tc>
        <w:tc>
          <w:tcPr>
            <w:tcW w:type="dxa" w:w="2244"/>
            <w:shd w:val="clear" w:color="auto" w:fill="FFFFFF"/>
            <w:vAlign w:val="center"/>
          </w:tcPr>
          <w:p>
            <w:pPr>
              <w:keepNext/>
              <w:spacing w:after="0"/>
            </w:pPr>
            <w:r>
              <w:rPr>
                <w:rFonts w:ascii="Calibri" w:hAnsi="Calibri"/>
                <w:b w:val="0"/>
                <w:i w:val="0"/>
                <w:color w:val="222222"/>
                <w:sz w:val="20"/>
              </w:rPr>
              <w:t>recurrent local synaptic inputs</w:t>
            </w:r>
          </w:p>
        </w:tc>
        <w:tc>
          <w:tcPr>
            <w:tcW w:type="dxa" w:w="1276"/>
            <w:shd w:val="clear" w:color="auto" w:fill="FFFFFF"/>
            <w:vAlign w:val="center"/>
          </w:tcPr>
          <w:p>
            <w:pPr>
              <w:keepNext/>
              <w:spacing w:after="0"/>
            </w:pPr>
            <w:r>
              <w:rPr>
                <w:rFonts w:ascii="Calibri" w:hAnsi="Calibri"/>
                <w:b w:val="0"/>
                <w:i w:val="0"/>
                <w:color w:val="222222"/>
                <w:sz w:val="20"/>
              </w:rPr>
              <w:t>18.4929 per neuron</w:t>
            </w:r>
          </w:p>
        </w:tc>
        <w:tc>
          <w:tcPr>
            <w:tcW w:type="dxa" w:w="2094"/>
            <w:shd w:val="clear" w:color="auto" w:fill="FFFFFF"/>
            <w:vAlign w:val="center"/>
          </w:tcPr>
          <w:p>
            <w:pPr>
              <w:keepNext/>
              <w:spacing w:after="0"/>
            </w:pPr>
            <w:r>
              <w:rPr>
                <w:rFonts w:ascii="Calibri" w:hAnsi="Calibri"/>
                <w:b w:val="0"/>
                <w:i w:val="0"/>
                <w:color w:val="222222"/>
                <w:sz w:val="20"/>
              </w:rPr>
              <w:t>calibrated, searched over 10–35</w:t>
            </w:r>
          </w:p>
        </w:tc>
      </w:tr>
      <w:tr>
        <w:trPr>
          <w:cantSplit/>
        </w:trPr>
        <w:tc>
          <w:tcPr>
            <w:tcW w:type="dxa" w:w="2882"/>
            <w:shd w:val="clear" w:color="auto" w:fill="F7F9FB"/>
            <w:vAlign w:val="center"/>
          </w:tcPr>
          <w:p>
            <w:pPr>
              <w:keepNext/>
              <w:spacing w:after="0"/>
            </w:pPr>
            <w:r>
              <w:rPr>
                <w:rFonts w:ascii="Consolas" w:hAnsi="Consolas"/>
                <w:b/>
                <w:i w:val="0"/>
                <w:color w:val="222222"/>
                <w:sz w:val="18"/>
              </w:rPr>
              <w:t>background_rate_hz</w:t>
            </w:r>
          </w:p>
        </w:tc>
        <w:tc>
          <w:tcPr>
            <w:tcW w:type="dxa" w:w="2244"/>
            <w:shd w:val="clear" w:color="auto" w:fill="F7F9FB"/>
            <w:vAlign w:val="center"/>
          </w:tcPr>
          <w:p>
            <w:pPr>
              <w:keepNext/>
              <w:spacing w:after="0"/>
            </w:pPr>
            <w:r>
              <w:rPr>
                <w:rFonts w:ascii="Calibri" w:hAnsi="Calibri"/>
                <w:b w:val="0"/>
                <w:i w:val="0"/>
                <w:color w:val="222222"/>
                <w:sz w:val="20"/>
              </w:rPr>
              <w:t>Poisson drive frequency</w:t>
            </w:r>
          </w:p>
        </w:tc>
        <w:tc>
          <w:tcPr>
            <w:tcW w:type="dxa" w:w="1276"/>
            <w:shd w:val="clear" w:color="auto" w:fill="F7F9FB"/>
            <w:vAlign w:val="center"/>
          </w:tcPr>
          <w:p>
            <w:pPr>
              <w:keepNext/>
              <w:spacing w:after="0"/>
            </w:pPr>
            <w:r>
              <w:rPr>
                <w:rFonts w:ascii="Calibri" w:hAnsi="Calibri"/>
                <w:b w:val="0"/>
                <w:i w:val="0"/>
                <w:color w:val="222222"/>
                <w:sz w:val="20"/>
              </w:rPr>
              <w:t>3.3596 Hz</w:t>
            </w:r>
          </w:p>
        </w:tc>
        <w:tc>
          <w:tcPr>
            <w:tcW w:type="dxa" w:w="2094"/>
            <w:shd w:val="clear" w:color="auto" w:fill="F7F9FB"/>
            <w:vAlign w:val="center"/>
          </w:tcPr>
          <w:p>
            <w:pPr>
              <w:keepNext/>
              <w:spacing w:after="0"/>
            </w:pPr>
            <w:r>
              <w:rPr>
                <w:rFonts w:ascii="Calibri" w:hAnsi="Calibri"/>
                <w:b w:val="0"/>
                <w:i w:val="0"/>
                <w:color w:val="222222"/>
                <w:sz w:val="20"/>
              </w:rPr>
              <w:t>calibrated, searched over 1–40 Hz</w:t>
            </w:r>
          </w:p>
        </w:tc>
      </w:tr>
      <w:tr>
        <w:trPr>
          <w:cantSplit/>
        </w:trPr>
        <w:tc>
          <w:tcPr>
            <w:tcW w:type="dxa" w:w="2882"/>
            <w:shd w:val="clear" w:color="auto" w:fill="FFFFFF"/>
            <w:vAlign w:val="center"/>
          </w:tcPr>
          <w:p>
            <w:pPr>
              <w:keepNext/>
              <w:spacing w:after="0"/>
            </w:pPr>
            <w:r>
              <w:rPr>
                <w:rFonts w:ascii="Consolas" w:hAnsi="Consolas"/>
                <w:b/>
                <w:i w:val="0"/>
                <w:color w:val="222222"/>
                <w:sz w:val="18"/>
              </w:rPr>
              <w:t>background_weight</w:t>
            </w:r>
          </w:p>
        </w:tc>
        <w:tc>
          <w:tcPr>
            <w:tcW w:type="dxa" w:w="2244"/>
            <w:shd w:val="clear" w:color="auto" w:fill="FFFFFF"/>
            <w:vAlign w:val="center"/>
          </w:tcPr>
          <w:p>
            <w:pPr>
              <w:keepNext/>
              <w:spacing w:after="0"/>
            </w:pPr>
            <w:r>
              <w:rPr>
                <w:rFonts w:ascii="Calibri" w:hAnsi="Calibri"/>
                <w:b w:val="0"/>
                <w:i w:val="0"/>
                <w:color w:val="222222"/>
                <w:sz w:val="20"/>
              </w:rPr>
              <w:t>Poisson drive conductance step</w:t>
            </w:r>
          </w:p>
        </w:tc>
        <w:tc>
          <w:tcPr>
            <w:tcW w:type="dxa" w:w="1276"/>
            <w:shd w:val="clear" w:color="auto" w:fill="FFFFFF"/>
            <w:vAlign w:val="center"/>
          </w:tcPr>
          <w:p>
            <w:pPr>
              <w:keepNext/>
              <w:spacing w:after="0"/>
              <w:jc w:val="center"/>
            </w:pPr>
            <w:r>
              <w:rPr>
                <w:rFonts w:ascii="Calibri" w:hAnsi="Calibri"/>
                <w:b w:val="0"/>
                <w:i w:val="0"/>
                <w:color w:val="222222"/>
                <w:sz w:val="20"/>
              </w:rPr>
              <w:t>0.0692</w:t>
            </w:r>
          </w:p>
        </w:tc>
        <w:tc>
          <w:tcPr>
            <w:tcW w:type="dxa" w:w="2094"/>
            <w:shd w:val="clear" w:color="auto" w:fill="FFFFFF"/>
            <w:vAlign w:val="center"/>
          </w:tcPr>
          <w:p>
            <w:pPr>
              <w:keepNext/>
              <w:spacing w:after="0"/>
            </w:pPr>
            <w:r>
              <w:rPr>
                <w:rFonts w:ascii="Calibri" w:hAnsi="Calibri"/>
                <w:b w:val="0"/>
                <w:i w:val="0"/>
                <w:color w:val="222222"/>
                <w:sz w:val="20"/>
              </w:rPr>
              <w:t>calibrated, searched over 0.005–0.12</w:t>
            </w:r>
          </w:p>
        </w:tc>
      </w:tr>
      <w:tr>
        <w:trPr>
          <w:cantSplit/>
        </w:trPr>
        <w:tc>
          <w:tcPr>
            <w:tcW w:type="dxa" w:w="2882"/>
            <w:shd w:val="clear" w:color="auto" w:fill="F7F9FB"/>
            <w:vAlign w:val="center"/>
          </w:tcPr>
          <w:p>
            <w:pPr>
              <w:keepNext/>
              <w:spacing w:after="0"/>
            </w:pPr>
            <w:r>
              <w:rPr>
                <w:rFonts w:ascii="Consolas" w:hAnsi="Consolas"/>
                <w:b/>
                <w:i w:val="0"/>
                <w:color w:val="222222"/>
                <w:sz w:val="18"/>
              </w:rPr>
              <w:t>excitatory_weight</w:t>
            </w:r>
          </w:p>
        </w:tc>
        <w:tc>
          <w:tcPr>
            <w:tcW w:type="dxa" w:w="2244"/>
            <w:shd w:val="clear" w:color="auto" w:fill="F7F9FB"/>
            <w:vAlign w:val="center"/>
          </w:tcPr>
          <w:p>
            <w:pPr>
              <w:keepNext/>
              <w:spacing w:after="0"/>
            </w:pPr>
            <w:r>
              <w:rPr>
                <w:rFonts w:ascii="Calibri" w:hAnsi="Calibri"/>
                <w:b w:val="0"/>
                <w:i w:val="0"/>
                <w:color w:val="222222"/>
                <w:sz w:val="20"/>
              </w:rPr>
              <w:t>excitatory conductance step</w:t>
            </w:r>
          </w:p>
        </w:tc>
        <w:tc>
          <w:tcPr>
            <w:tcW w:type="dxa" w:w="1276"/>
            <w:shd w:val="clear" w:color="auto" w:fill="F7F9FB"/>
            <w:vAlign w:val="center"/>
          </w:tcPr>
          <w:p>
            <w:pPr>
              <w:keepNext/>
              <w:spacing w:after="0"/>
              <w:jc w:val="center"/>
            </w:pPr>
            <w:r>
              <w:rPr>
                <w:rFonts w:ascii="Calibri" w:hAnsi="Calibri"/>
                <w:b w:val="0"/>
                <w:i w:val="0"/>
                <w:color w:val="222222"/>
                <w:sz w:val="20"/>
              </w:rPr>
              <w:t>0.386</w:t>
            </w:r>
          </w:p>
        </w:tc>
        <w:tc>
          <w:tcPr>
            <w:tcW w:type="dxa" w:w="2094"/>
            <w:shd w:val="clear" w:color="auto" w:fill="F7F9FB"/>
            <w:vAlign w:val="center"/>
          </w:tcPr>
          <w:p>
            <w:pPr>
              <w:keepNext/>
              <w:spacing w:after="0"/>
            </w:pPr>
            <w:r>
              <w:rPr>
                <w:rFonts w:ascii="Calibri" w:hAnsi="Calibri"/>
                <w:b w:val="0"/>
                <w:i w:val="0"/>
                <w:color w:val="222222"/>
                <w:sz w:val="20"/>
              </w:rPr>
              <w:t>calibrated, searched over 0.15–0.45</w:t>
            </w:r>
          </w:p>
        </w:tc>
      </w:tr>
      <w:tr>
        <w:trPr>
          <w:cantSplit/>
        </w:trPr>
        <w:tc>
          <w:tcPr>
            <w:tcW w:type="dxa" w:w="2882"/>
            <w:shd w:val="clear" w:color="auto" w:fill="FFFFFF"/>
            <w:vAlign w:val="center"/>
          </w:tcPr>
          <w:p>
            <w:pPr>
              <w:keepNext/>
              <w:spacing w:after="0"/>
            </w:pPr>
            <w:r>
              <w:rPr>
                <w:rFonts w:ascii="Consolas" w:hAnsi="Consolas"/>
                <w:b/>
                <w:i w:val="0"/>
                <w:color w:val="222222"/>
                <w:sz w:val="18"/>
              </w:rPr>
              <w:t>inhibitory_weight</w:t>
            </w:r>
          </w:p>
        </w:tc>
        <w:tc>
          <w:tcPr>
            <w:tcW w:type="dxa" w:w="2244"/>
            <w:shd w:val="clear" w:color="auto" w:fill="FFFFFF"/>
            <w:vAlign w:val="center"/>
          </w:tcPr>
          <w:p>
            <w:pPr>
              <w:keepNext/>
              <w:spacing w:after="0"/>
            </w:pPr>
            <w:r>
              <w:rPr>
                <w:rFonts w:ascii="Calibri" w:hAnsi="Calibri"/>
                <w:b w:val="0"/>
                <w:i w:val="0"/>
                <w:color w:val="222222"/>
                <w:sz w:val="20"/>
              </w:rPr>
              <w:t>inhibitory conductance step</w:t>
            </w:r>
          </w:p>
        </w:tc>
        <w:tc>
          <w:tcPr>
            <w:tcW w:type="dxa" w:w="1276"/>
            <w:shd w:val="clear" w:color="auto" w:fill="FFFFFF"/>
            <w:vAlign w:val="center"/>
          </w:tcPr>
          <w:p>
            <w:pPr>
              <w:keepNext/>
              <w:spacing w:after="0"/>
              <w:jc w:val="center"/>
            </w:pPr>
            <w:r>
              <w:rPr>
                <w:rFonts w:ascii="Calibri" w:hAnsi="Calibri"/>
                <w:b w:val="0"/>
                <w:i w:val="0"/>
                <w:color w:val="222222"/>
                <w:sz w:val="20"/>
              </w:rPr>
              <w:t>5.4261</w:t>
            </w:r>
          </w:p>
        </w:tc>
        <w:tc>
          <w:tcPr>
            <w:tcW w:type="dxa" w:w="2094"/>
            <w:shd w:val="clear" w:color="auto" w:fill="FFFFFF"/>
            <w:vAlign w:val="center"/>
          </w:tcPr>
          <w:p>
            <w:pPr>
              <w:keepNext/>
              <w:spacing w:after="0"/>
            </w:pPr>
            <w:r>
              <w:rPr>
                <w:rFonts w:ascii="Calibri" w:hAnsi="Calibri"/>
                <w:b w:val="0"/>
                <w:i w:val="0"/>
                <w:color w:val="222222"/>
                <w:sz w:val="20"/>
              </w:rPr>
              <w:t>calibrated, searched over 1–7</w:t>
            </w:r>
          </w:p>
        </w:tc>
      </w:tr>
      <w:tr>
        <w:trPr>
          <w:cantSplit/>
        </w:trPr>
        <w:tc>
          <w:tcPr>
            <w:tcW w:type="dxa" w:w="2882"/>
            <w:shd w:val="clear" w:color="auto" w:fill="F7F9FB"/>
            <w:vAlign w:val="center"/>
          </w:tcPr>
          <w:p>
            <w:pPr>
              <w:keepNext/>
              <w:spacing w:after="0"/>
            </w:pPr>
            <w:r>
              <w:rPr>
                <w:rFonts w:ascii="Consolas" w:hAnsi="Consolas"/>
                <w:b/>
                <w:i w:val="0"/>
                <w:color w:val="222222"/>
                <w:sz w:val="18"/>
              </w:rPr>
              <w:t>adaptation_increment</w:t>
            </w:r>
          </w:p>
        </w:tc>
        <w:tc>
          <w:tcPr>
            <w:tcW w:type="dxa" w:w="2244"/>
            <w:shd w:val="clear" w:color="auto" w:fill="F7F9FB"/>
            <w:vAlign w:val="center"/>
          </w:tcPr>
          <w:p>
            <w:pPr>
              <w:keepNext/>
              <w:spacing w:after="0"/>
            </w:pPr>
            <w:r>
              <w:rPr>
                <w:rFonts w:ascii="Calibri" w:hAnsi="Calibri"/>
                <w:b w:val="0"/>
                <w:i w:val="0"/>
                <w:color w:val="222222"/>
                <w:sz w:val="20"/>
              </w:rPr>
              <w:t>spike-frequency adaptation step</w:t>
            </w:r>
          </w:p>
        </w:tc>
        <w:tc>
          <w:tcPr>
            <w:tcW w:type="dxa" w:w="1276"/>
            <w:shd w:val="clear" w:color="auto" w:fill="F7F9FB"/>
            <w:vAlign w:val="center"/>
          </w:tcPr>
          <w:p>
            <w:pPr>
              <w:keepNext/>
              <w:spacing w:after="0"/>
              <w:jc w:val="center"/>
            </w:pPr>
            <w:r>
              <w:rPr>
                <w:rFonts w:ascii="Calibri" w:hAnsi="Calibri"/>
                <w:b w:val="0"/>
                <w:i w:val="0"/>
                <w:color w:val="222222"/>
                <w:sz w:val="20"/>
              </w:rPr>
              <w:t>1.0093</w:t>
            </w:r>
          </w:p>
        </w:tc>
        <w:tc>
          <w:tcPr>
            <w:tcW w:type="dxa" w:w="2094"/>
            <w:shd w:val="clear" w:color="auto" w:fill="F7F9FB"/>
            <w:vAlign w:val="center"/>
          </w:tcPr>
          <w:p>
            <w:pPr>
              <w:keepNext/>
              <w:spacing w:after="0"/>
            </w:pPr>
            <w:r>
              <w:rPr>
                <w:rFonts w:ascii="Calibri" w:hAnsi="Calibri"/>
                <w:b w:val="0"/>
                <w:i w:val="0"/>
                <w:color w:val="222222"/>
                <w:sz w:val="20"/>
              </w:rPr>
              <w:t>calibrated, searched over 0.5–2.5</w:t>
            </w:r>
          </w:p>
        </w:tc>
      </w:tr>
      <w:tr>
        <w:trPr>
          <w:cantSplit/>
        </w:trPr>
        <w:tc>
          <w:tcPr>
            <w:tcW w:type="dxa" w:w="2882"/>
            <w:shd w:val="clear" w:color="auto" w:fill="FFFFFF"/>
            <w:vAlign w:val="center"/>
          </w:tcPr>
          <w:p>
            <w:pPr>
              <w:keepNext/>
              <w:spacing w:after="0"/>
            </w:pPr>
            <w:r>
              <w:rPr>
                <w:rFonts w:ascii="Consolas" w:hAnsi="Consolas"/>
                <w:b/>
                <w:i w:val="0"/>
                <w:color w:val="222222"/>
                <w:sz w:val="18"/>
              </w:rPr>
              <w:t>threshold_spread</w:t>
            </w:r>
          </w:p>
        </w:tc>
        <w:tc>
          <w:tcPr>
            <w:tcW w:type="dxa" w:w="2244"/>
            <w:shd w:val="clear" w:color="auto" w:fill="FFFFFF"/>
            <w:vAlign w:val="center"/>
          </w:tcPr>
          <w:p>
            <w:pPr>
              <w:keepNext/>
              <w:spacing w:after="0"/>
            </w:pPr>
            <w:r>
              <w:rPr>
                <w:rFonts w:ascii="Calibri" w:hAnsi="Calibri"/>
                <w:b w:val="0"/>
                <w:i w:val="0"/>
                <w:color w:val="222222"/>
                <w:sz w:val="20"/>
              </w:rPr>
              <w:t>per-neuron excitability heterogeneity</w:t>
            </w:r>
          </w:p>
        </w:tc>
        <w:tc>
          <w:tcPr>
            <w:tcW w:type="dxa" w:w="1276"/>
            <w:shd w:val="clear" w:color="auto" w:fill="FFFFFF"/>
            <w:vAlign w:val="center"/>
          </w:tcPr>
          <w:p>
            <w:pPr>
              <w:keepNext/>
              <w:spacing w:after="0"/>
              <w:jc w:val="center"/>
            </w:pPr>
            <w:r>
              <w:rPr>
                <w:rFonts w:ascii="Calibri" w:hAnsi="Calibri"/>
                <w:b w:val="0"/>
                <w:i w:val="0"/>
                <w:color w:val="222222"/>
                <w:sz w:val="20"/>
              </w:rPr>
              <w:t>0.2258</w:t>
            </w:r>
          </w:p>
        </w:tc>
        <w:tc>
          <w:tcPr>
            <w:tcW w:type="dxa" w:w="2094"/>
            <w:shd w:val="clear" w:color="auto" w:fill="FFFFFF"/>
            <w:vAlign w:val="center"/>
          </w:tcPr>
          <w:p>
            <w:pPr>
              <w:keepNext/>
              <w:spacing w:after="0"/>
            </w:pPr>
            <w:r>
              <w:rPr>
                <w:rFonts w:ascii="Calibri" w:hAnsi="Calibri"/>
                <w:b w:val="0"/>
                <w:i w:val="0"/>
                <w:color w:val="222222"/>
                <w:sz w:val="20"/>
              </w:rPr>
              <w:t>calibrated, searched over 0–0.3</w:t>
            </w:r>
          </w:p>
        </w:tc>
      </w:tr>
      <w:tr>
        <w:trPr>
          <w:cantSplit/>
        </w:trPr>
        <w:tc>
          <w:tcPr>
            <w:tcW w:type="dxa" w:w="2882"/>
            <w:shd w:val="clear" w:color="auto" w:fill="F7F9FB"/>
            <w:vAlign w:val="center"/>
          </w:tcPr>
          <w:p>
            <w:pPr>
              <w:keepNext/>
              <w:spacing w:after="0"/>
            </w:pPr>
            <w:r>
              <w:rPr>
                <w:rFonts w:ascii="Consolas" w:hAnsi="Consolas"/>
                <w:b/>
                <w:i w:val="0"/>
                <w:color w:val="222222"/>
                <w:sz w:val="18"/>
              </w:rPr>
              <w:t>adaptation_tau_ms</w:t>
            </w:r>
          </w:p>
        </w:tc>
        <w:tc>
          <w:tcPr>
            <w:tcW w:type="dxa" w:w="2244"/>
            <w:shd w:val="clear" w:color="auto" w:fill="F7F9FB"/>
            <w:vAlign w:val="center"/>
          </w:tcPr>
          <w:p>
            <w:pPr>
              <w:keepNext/>
              <w:spacing w:after="0"/>
            </w:pPr>
            <w:r>
              <w:rPr>
                <w:rFonts w:ascii="Calibri" w:hAnsi="Calibri"/>
                <w:b w:val="0"/>
                <w:i w:val="0"/>
                <w:color w:val="222222"/>
                <w:sz w:val="20"/>
              </w:rPr>
              <w:t>adaptation decay time constant</w:t>
            </w:r>
          </w:p>
        </w:tc>
        <w:tc>
          <w:tcPr>
            <w:tcW w:type="dxa" w:w="1276"/>
            <w:shd w:val="clear" w:color="auto" w:fill="F7F9FB"/>
            <w:vAlign w:val="center"/>
          </w:tcPr>
          <w:p>
            <w:pPr>
              <w:keepNext/>
              <w:spacing w:after="0"/>
            </w:pPr>
            <w:r>
              <w:rPr>
                <w:rFonts w:ascii="Calibri" w:hAnsi="Calibri"/>
                <w:b w:val="0"/>
                <w:i w:val="0"/>
                <w:color w:val="222222"/>
                <w:sz w:val="20"/>
              </w:rPr>
              <w:t>380 ms</w:t>
            </w:r>
          </w:p>
        </w:tc>
        <w:tc>
          <w:tcPr>
            <w:tcW w:type="dxa" w:w="2094"/>
            <w:shd w:val="clear" w:color="auto" w:fill="F7F9FB"/>
            <w:vAlign w:val="center"/>
          </w:tcPr>
          <w:p>
            <w:pPr>
              <w:keepNext/>
              <w:spacing w:after="0"/>
            </w:pPr>
            <w:r>
              <w:rPr>
                <w:rFonts w:ascii="Calibri" w:hAnsi="Calibri"/>
                <w:b/>
                <w:i w:val="0"/>
                <w:color w:val="222222"/>
                <w:sz w:val="20"/>
              </w:rPr>
              <w:t>held</w:t>
            </w:r>
            <w:r>
              <w:rPr>
                <w:rFonts w:ascii="Calibri" w:hAnsi="Calibri"/>
                <w:b w:val="0"/>
                <w:i w:val="0"/>
                <w:color w:val="222222"/>
                <w:sz w:val="20"/>
              </w:rPr>
              <w:t>, literature standard</w:t>
            </w:r>
          </w:p>
        </w:tc>
      </w:tr>
      <w:tr>
        <w:trPr>
          <w:cantSplit/>
        </w:trPr>
        <w:tc>
          <w:tcPr>
            <w:tcW w:type="dxa" w:w="2882"/>
            <w:shd w:val="clear" w:color="auto" w:fill="FFFFFF"/>
            <w:vAlign w:val="center"/>
          </w:tcPr>
          <w:p>
            <w:pPr>
              <w:keepNext/>
              <w:spacing w:after="0"/>
            </w:pPr>
            <w:r>
              <w:rPr>
                <w:rFonts w:ascii="Consolas" w:hAnsi="Consolas"/>
                <w:b/>
                <w:i w:val="0"/>
                <w:color w:val="222222"/>
                <w:sz w:val="18"/>
              </w:rPr>
              <w:t>intra_delay_sd_ms</w:t>
            </w:r>
          </w:p>
        </w:tc>
        <w:tc>
          <w:tcPr>
            <w:tcW w:type="dxa" w:w="2244"/>
            <w:shd w:val="clear" w:color="auto" w:fill="FFFFFF"/>
            <w:vAlign w:val="center"/>
          </w:tcPr>
          <w:p>
            <w:pPr>
              <w:keepNext/>
              <w:spacing w:after="0"/>
            </w:pPr>
            <w:r>
              <w:rPr>
                <w:rFonts w:ascii="Calibri" w:hAnsi="Calibri"/>
                <w:b w:val="0"/>
                <w:i w:val="0"/>
                <w:color w:val="222222"/>
                <w:sz w:val="20"/>
              </w:rPr>
              <w:t>conduction delay dispersion</w:t>
            </w:r>
          </w:p>
        </w:tc>
        <w:tc>
          <w:tcPr>
            <w:tcW w:type="dxa" w:w="1276"/>
            <w:shd w:val="clear" w:color="auto" w:fill="FFFFFF"/>
            <w:vAlign w:val="center"/>
          </w:tcPr>
          <w:p>
            <w:pPr>
              <w:keepNext/>
              <w:spacing w:after="0"/>
            </w:pPr>
            <w:r>
              <w:rPr>
                <w:rFonts w:ascii="Calibri" w:hAnsi="Calibri"/>
                <w:b w:val="0"/>
                <w:i w:val="0"/>
                <w:color w:val="222222"/>
                <w:sz w:val="20"/>
              </w:rPr>
              <w:t>0.0 ms</w:t>
            </w:r>
          </w:p>
        </w:tc>
        <w:tc>
          <w:tcPr>
            <w:tcW w:type="dxa" w:w="2094"/>
            <w:shd w:val="clear" w:color="auto" w:fill="FFFFFF"/>
            <w:vAlign w:val="center"/>
          </w:tcPr>
          <w:p>
            <w:pPr>
              <w:keepNext/>
              <w:spacing w:after="0"/>
            </w:pPr>
            <w:r>
              <w:rPr>
                <w:rFonts w:ascii="Calibri" w:hAnsi="Calibri"/>
                <w:b/>
                <w:i w:val="0"/>
                <w:color w:val="222222"/>
                <w:sz w:val="20"/>
              </w:rPr>
              <w:t>held</w:t>
            </w:r>
            <w:r>
              <w:rPr>
                <w:rFonts w:ascii="Calibri" w:hAnsi="Calibri"/>
                <w:b w:val="0"/>
                <w:i w:val="0"/>
                <w:color w:val="222222"/>
                <w:sz w:val="20"/>
              </w:rPr>
              <w:t>, one delay for every synapse</w:t>
            </w:r>
          </w:p>
        </w:tc>
      </w:tr>
      <w:tr>
        <w:trPr>
          <w:cantSplit/>
        </w:trPr>
        <w:tc>
          <w:tcPr>
            <w:tcW w:type="dxa" w:w="2882"/>
            <w:shd w:val="clear" w:color="auto" w:fill="F7F9FB"/>
            <w:vAlign w:val="center"/>
          </w:tcPr>
          <w:p>
            <w:pPr>
              <w:keepNext/>
              <w:spacing w:after="0"/>
            </w:pPr>
            <w:r>
              <w:rPr>
                <w:rFonts w:ascii="Consolas" w:hAnsi="Consolas"/>
                <w:b/>
                <w:i w:val="0"/>
                <w:color w:val="222222"/>
                <w:sz w:val="18"/>
              </w:rPr>
              <w:t>connection_sigma_um</w:t>
            </w:r>
          </w:p>
        </w:tc>
        <w:tc>
          <w:tcPr>
            <w:tcW w:type="dxa" w:w="2244"/>
            <w:shd w:val="clear" w:color="auto" w:fill="F7F9FB"/>
            <w:vAlign w:val="center"/>
          </w:tcPr>
          <w:p>
            <w:pPr>
              <w:keepNext/>
              <w:spacing w:after="0"/>
            </w:pPr>
            <w:r>
              <w:rPr>
                <w:rFonts w:ascii="Calibri" w:hAnsi="Calibri"/>
                <w:b w:val="0"/>
                <w:i w:val="0"/>
                <w:color w:val="222222"/>
                <w:sz w:val="20"/>
              </w:rPr>
              <w:t>range of the within-compartment wiring rule</w:t>
            </w:r>
          </w:p>
        </w:tc>
        <w:tc>
          <w:tcPr>
            <w:tcW w:type="dxa" w:w="1276"/>
            <w:shd w:val="clear" w:color="auto" w:fill="F7F9FB"/>
            <w:vAlign w:val="center"/>
          </w:tcPr>
          <w:p>
            <w:pPr>
              <w:keepNext/>
              <w:spacing w:after="0"/>
            </w:pPr>
            <w:r>
              <w:rPr>
                <w:rFonts w:ascii="Calibri" w:hAnsi="Calibri"/>
                <w:b w:val="0"/>
                <w:i w:val="0"/>
                <w:color w:val="222222"/>
                <w:sz w:val="20"/>
              </w:rPr>
              <w:t>unset</w:t>
            </w:r>
          </w:p>
        </w:tc>
        <w:tc>
          <w:tcPr>
            <w:tcW w:type="dxa" w:w="2094"/>
            <w:shd w:val="clear" w:color="auto" w:fill="F7F9FB"/>
            <w:vAlign w:val="center"/>
          </w:tcPr>
          <w:p>
            <w:pPr>
              <w:keepNext/>
              <w:spacing w:after="0"/>
            </w:pPr>
            <w:r>
              <w:rPr>
                <w:rFonts w:ascii="Calibri" w:hAnsi="Calibri"/>
                <w:b/>
                <w:i w:val="0"/>
                <w:color w:val="222222"/>
                <w:sz w:val="20"/>
              </w:rPr>
              <w:t>held</w:t>
            </w:r>
            <w:r>
              <w:rPr>
                <w:rFonts w:ascii="Calibri" w:hAnsi="Calibri"/>
                <w:b w:val="0"/>
                <w:i w:val="0"/>
                <w:color w:val="222222"/>
                <w:sz w:val="20"/>
              </w:rPr>
              <w:t>, uniform random wiring</w:t>
            </w:r>
          </w:p>
        </w:tc>
      </w:tr>
      <w:tr>
        <w:trPr>
          <w:cantSplit/>
        </w:trPr>
        <w:tc>
          <w:tcPr>
            <w:tcW w:type="dxa" w:w="2882"/>
            <w:shd w:val="clear" w:color="auto" w:fill="FFFFFF"/>
            <w:vAlign w:val="center"/>
          </w:tcPr>
          <w:p>
            <w:pPr>
              <w:keepNext w:val="0"/>
              <w:spacing w:after="0"/>
            </w:pPr>
            <w:r>
              <w:rPr>
                <w:rFonts w:ascii="Consolas" w:hAnsi="Consolas"/>
                <w:b/>
                <w:i w:val="0"/>
                <w:color w:val="222222"/>
                <w:sz w:val="18"/>
              </w:rPr>
              <w:t>inter_in_degree</w:t>
            </w:r>
            <w:r>
              <w:rPr>
                <w:rFonts w:ascii="Calibri" w:hAnsi="Calibri"/>
                <w:b/>
                <w:i w:val="0"/>
                <w:color w:val="222222"/>
                <w:sz w:val="20"/>
              </w:rPr>
              <w:t xml:space="preserve">, </w:t>
            </w:r>
            <w:r>
              <w:rPr>
                <w:rFonts w:ascii="Consolas" w:hAnsi="Consolas"/>
                <w:b/>
                <w:i w:val="0"/>
                <w:color w:val="222222"/>
                <w:sz w:val="18"/>
              </w:rPr>
              <w:t>forward_ratio</w:t>
            </w:r>
            <w:r>
              <w:rPr>
                <w:rFonts w:ascii="Calibri" w:hAnsi="Calibri"/>
                <w:b/>
                <w:i w:val="0"/>
                <w:color w:val="222222"/>
                <w:sz w:val="20"/>
              </w:rPr>
              <w:t>, drug knobs</w:t>
            </w:r>
          </w:p>
        </w:tc>
        <w:tc>
          <w:tcPr>
            <w:tcW w:type="dxa" w:w="2244"/>
            <w:shd w:val="clear" w:color="auto" w:fill="FFFFFF"/>
            <w:vAlign w:val="center"/>
          </w:tcPr>
          <w:p>
            <w:pPr>
              <w:keepNext w:val="0"/>
              <w:spacing w:after="0"/>
            </w:pPr>
            <w:r>
              <w:rPr>
                <w:rFonts w:ascii="Calibri" w:hAnsi="Calibri"/>
                <w:b w:val="0"/>
                <w:i w:val="0"/>
                <w:color w:val="222222"/>
                <w:sz w:val="20"/>
              </w:rPr>
              <w:t>cross-chamber connectivity, pathway asymmetry, pharmacology</w:t>
            </w:r>
          </w:p>
        </w:tc>
        <w:tc>
          <w:tcPr>
            <w:tcW w:type="dxa" w:w="1276"/>
            <w:shd w:val="clear" w:color="auto" w:fill="FFFFFF"/>
            <w:vAlign w:val="center"/>
          </w:tcPr>
          <w:p>
            <w:pPr>
              <w:keepNext w:val="0"/>
              <w:spacing w:after="0"/>
              <w:jc w:val="center"/>
            </w:pPr>
            <w:r>
              <w:rPr>
                <w:rFonts w:ascii="Calibri" w:hAnsi="Calibri"/>
                <w:b w:val="0"/>
                <w:i w:val="0"/>
                <w:color w:val="222222"/>
                <w:sz w:val="20"/>
              </w:rPr>
              <w:t>—</w:t>
            </w:r>
          </w:p>
        </w:tc>
        <w:tc>
          <w:tcPr>
            <w:tcW w:type="dxa" w:w="2094"/>
            <w:shd w:val="clear" w:color="auto" w:fill="FFFFFF"/>
            <w:vAlign w:val="center"/>
          </w:tcPr>
          <w:p>
            <w:pPr>
              <w:keepNext w:val="0"/>
              <w:spacing w:after="0"/>
            </w:pPr>
            <w:r>
              <w:rPr>
                <w:rFonts w:ascii="Calibri" w:hAnsi="Calibri"/>
                <w:b/>
                <w:i w:val="0"/>
                <w:color w:val="222222"/>
                <w:sz w:val="20"/>
              </w:rPr>
              <w:t>inferred</w:t>
            </w:r>
            <w:r>
              <w:rPr>
                <w:rFonts w:ascii="Calibri" w:hAnsi="Calibri"/>
                <w:b w:val="0"/>
                <w:i w:val="0"/>
                <w:color w:val="222222"/>
                <w:sz w:val="20"/>
              </w:rPr>
              <w:t xml:space="preserve"> by simulation-based inference (§16)</w:t>
            </w:r>
          </w:p>
        </w:tc>
      </w:tr>
    </w:tbl>
    <w:p>
      <w:pPr>
        <w:spacing w:after="80"/>
      </w:pPr>
    </w:p>
    <w:p>
      <w:pPr>
        <w:spacing w:after="120"/>
      </w:pPr>
      <w:r>
        <w:rPr>
          <w:rFonts w:ascii="Calibri" w:hAnsi="Calibri"/>
          <w:b w:val="0"/>
          <w:i w:val="0"/>
          <w:color w:val="222222"/>
          <w:sz w:val="21"/>
        </w:rPr>
        <w:t>All conductance steps are dimensionless in this model; they are not membrane voltages.</w:t>
      </w:r>
    </w:p>
    <w:p>
      <w:pPr>
        <w:keepNext/>
        <w:spacing w:before="240" w:after="60"/>
      </w:pPr>
      <w:r>
        <w:rPr>
          <w:rFonts w:ascii="Calibri" w:hAnsi="Calibri"/>
          <w:b/>
          <w:i w:val="0"/>
          <w:color w:val="1F4E79"/>
          <w:sz w:val="23"/>
        </w:rPr>
        <w:t>Appendix J &amp; K — Microchannel detector robustness, and timings</w:t>
      </w:r>
    </w:p>
    <w:p>
      <w:pPr>
        <w:keepNext/>
        <w:spacing w:after="120"/>
      </w:pPr>
      <w:r>
        <w:rPr>
          <w:rFonts w:ascii="Calibri" w:hAnsi="Calibri"/>
          <w:b/>
          <w:i w:val="0"/>
          <w:color w:val="156082"/>
          <w:sz w:val="21"/>
        </w:rPr>
        <w:t>Appendix J.</w:t>
      </w:r>
      <w:r>
        <w:rPr>
          <w:rFonts w:ascii="Calibri" w:hAnsi="Calibri"/>
          <w:b w:val="0"/>
          <w:i w:val="0"/>
          <w:color w:val="222222"/>
          <w:sz w:val="21"/>
        </w:rPr>
        <w:t xml:space="preserve"> Counting recordings, median absolute asymmetry runs from 0.3392 for control geometries to 0.8543 for the "rams" geometry. Counting biological chips instead, it is 0.6168 against 0.8745, a difference the test does not resolve: Kruskal p across the geometries is 0.63969, and every Holm-adjusted comparison against the control geometry is 1.0. The null is not an artifact of our geometry assumptions either: it survives every detector variant we tried, with a worst-case Kruskal p of 0.13074. Tolerating single-electrode dropouts triples what the detector has to work with, from 336,794 analyzed events to 1,101,233, and does not change the outcome. We also measured and report a counting confound: chips with fewer propagation events look more one-sided (Spearman ρ = −0.494, p = 0.01032), which is what a counting artifact looks like. Condition is also confounded with culture batch by the deposit's own design.</w:t>
      </w:r>
    </w:p>
    <w:p>
      <w:pPr>
        <w:keepNext/>
        <w:spacing w:before="120" w:after="40"/>
        <w:jc w:val="center"/>
      </w:pPr>
      <w:r>
        <w:drawing>
          <wp:inline xmlns:a="http://schemas.openxmlformats.org/drawingml/2006/main" xmlns:pic="http://schemas.openxmlformats.org/drawingml/2006/picture">
            <wp:extent cx="4585716" cy="2684467"/>
            <wp:docPr id="15" name="Picture 15"/>
            <wp:cNvGraphicFramePr>
              <a:graphicFrameLocks noChangeAspect="1"/>
            </wp:cNvGraphicFramePr>
            <a:graphic>
              <a:graphicData uri="http://schemas.openxmlformats.org/drawingml/2006/picture">
                <pic:pic>
                  <pic:nvPicPr>
                    <pic:cNvPr id="0" name="microchannel_asymmetry_real.png"/>
                    <pic:cNvPicPr/>
                  </pic:nvPicPr>
                  <pic:blipFill>
                    <a:blip r:embed="rId27"/>
                    <a:stretch>
                      <a:fillRect/>
                    </a:stretch>
                  </pic:blipFill>
                  <pic:spPr>
                    <a:xfrm>
                      <a:off x="0" y="0"/>
                      <a:ext cx="4585716" cy="2684467"/>
                    </a:xfrm>
                    <a:prstGeom prst="rect"/>
                  </pic:spPr>
                </pic:pic>
              </a:graphicData>
            </a:graphic>
          </wp:inline>
        </w:drawing>
      </w:r>
    </w:p>
    <w:p>
      <w:pPr>
        <w:spacing w:after="200"/>
        <w:jc w:val="center"/>
      </w:pPr>
      <w:r>
        <w:rPr>
          <w:rFonts w:ascii="Calibri" w:hAnsi="Calibri"/>
          <w:b/>
          <w:i/>
          <w:color w:val="222222"/>
          <w:sz w:val="17"/>
        </w:rPr>
        <w:t xml:space="preserve">Figure 15. </w:t>
      </w:r>
      <w:r>
        <w:rPr>
          <w:rFonts w:ascii="Calibri" w:hAnsi="Calibri"/>
          <w:b w:val="0"/>
          <w:i/>
          <w:color w:val="222222"/>
          <w:sz w:val="17"/>
        </w:rPr>
        <w:t>Microchannel propagation asymmetry by device geometry, REAL recordings.</w:t>
      </w:r>
    </w:p>
    <w:p>
      <w:pPr>
        <w:spacing w:after="120"/>
      </w:pPr>
      <w:r>
        <w:rPr>
          <w:rFonts w:ascii="Calibri" w:hAnsi="Calibri"/>
          <w:b/>
          <w:i w:val="0"/>
          <w:color w:val="156082"/>
          <w:sz w:val="21"/>
        </w:rPr>
        <w:t>Appendix K.</w:t>
      </w:r>
      <w:r>
        <w:rPr>
          <w:rFonts w:ascii="Calibri" w:hAnsi="Calibri"/>
          <w:b w:val="0"/>
          <w:i w:val="0"/>
          <w:color w:val="222222"/>
          <w:sz w:val="21"/>
        </w:rPr>
        <w:t xml:space="preserve"> </w:t>
      </w:r>
      <w:r>
        <w:rPr>
          <w:rFonts w:ascii="Consolas" w:hAnsi="Consolas"/>
          <w:b w:val="0"/>
          <w:i w:val="0"/>
          <w:color w:val="222222"/>
          <w:sz w:val="19"/>
        </w:rPr>
        <w:t>--quick</w:t>
      </w:r>
      <w:r>
        <w:rPr>
          <w:rFonts w:ascii="Calibri" w:hAnsi="Calibri"/>
          <w:b w:val="0"/>
          <w:i w:val="0"/>
          <w:color w:val="222222"/>
          <w:sz w:val="21"/>
        </w:rPr>
        <w:t xml:space="preserve"> completes end to end in 544.7 s on a workstation CPU with 20 cores, and in under twenty minutes on a dual-vCPU CI runner; the two differ because </w:t>
      </w:r>
      <w:r>
        <w:rPr>
          <w:rFonts w:ascii="Consolas" w:hAnsi="Consolas"/>
          <w:b w:val="0"/>
          <w:i w:val="0"/>
          <w:color w:val="222222"/>
          <w:sz w:val="19"/>
        </w:rPr>
        <w:t>worker_processes</w:t>
      </w:r>
      <w:r>
        <w:rPr>
          <w:rFonts w:ascii="Calibri" w:hAnsi="Calibri"/>
          <w:b w:val="0"/>
          <w:i w:val="0"/>
          <w:color w:val="222222"/>
          <w:sz w:val="21"/>
        </w:rPr>
        <w:t xml:space="preserve"> correctly asks for the cores it is given. The run itself writes that figure, and only a run that executed every stage can write it, so a partial re-run cannot quietly shrink it. It is one measurement rather than a bound: repeat runs on the same machine vary with whatever else the machine is doing, and the slowest we have seen crossed ten minutes. The longest stage is the twin, at 344.3 s. Full reproduction runs through </w:t>
      </w:r>
      <w:r>
        <w:rPr>
          <w:rFonts w:ascii="Consolas" w:hAnsi="Consolas"/>
          <w:b w:val="0"/>
          <w:i w:val="0"/>
          <w:color w:val="222222"/>
          <w:sz w:val="19"/>
        </w:rPr>
        <w:t>python run_all.py</w:t>
      </w:r>
      <w:r>
        <w:rPr>
          <w:rFonts w:ascii="Calibri" w:hAnsi="Calibri"/>
          <w:b w:val="0"/>
          <w:i w:val="0"/>
          <w:color w:val="222222"/>
          <w:sz w:val="21"/>
        </w:rPr>
        <w:t xml:space="preserve"> after a full data-tier fetch. The environment is pinned in </w:t>
      </w:r>
      <w:r>
        <w:rPr>
          <w:rFonts w:ascii="Consolas" w:hAnsi="Consolas"/>
          <w:b w:val="0"/>
          <w:i w:val="0"/>
          <w:color w:val="222222"/>
          <w:sz w:val="19"/>
        </w:rPr>
        <w:t>pyproject.toml</w:t>
      </w:r>
      <w:r>
        <w:rPr>
          <w:rFonts w:ascii="Calibri" w:hAnsi="Calibri"/>
          <w:b w:val="0"/>
          <w:i w:val="0"/>
          <w:color w:val="222222"/>
          <w:sz w:val="21"/>
        </w:rPr>
        <w:t xml:space="preserve"> and recorded from what actually imported: Python </w:t>
      </w:r>
      <w:r>
        <w:rPr>
          <w:rFonts w:ascii="Consolas" w:hAnsi="Consolas"/>
          <w:b w:val="0"/>
          <w:i w:val="0"/>
          <w:color w:val="222222"/>
          <w:sz w:val="19"/>
        </w:rPr>
        <w:t>3.11.16</w:t>
      </w:r>
      <w:r>
        <w:rPr>
          <w:rFonts w:ascii="Calibri" w:hAnsi="Calibri"/>
          <w:b w:val="0"/>
          <w:i w:val="0"/>
          <w:color w:val="222222"/>
          <w:sz w:val="21"/>
        </w:rPr>
        <w:t xml:space="preserve">, NumPy </w:t>
      </w:r>
      <w:r>
        <w:rPr>
          <w:rFonts w:ascii="Consolas" w:hAnsi="Consolas"/>
          <w:b w:val="0"/>
          <w:i w:val="0"/>
          <w:color w:val="222222"/>
          <w:sz w:val="19"/>
        </w:rPr>
        <w:t>2.3.5</w:t>
      </w:r>
      <w:r>
        <w:rPr>
          <w:rFonts w:ascii="Calibri" w:hAnsi="Calibri"/>
          <w:b w:val="0"/>
          <w:i w:val="0"/>
          <w:color w:val="222222"/>
          <w:sz w:val="21"/>
        </w:rPr>
        <w:t xml:space="preserve">, Brian2 </w:t>
      </w:r>
      <w:r>
        <w:rPr>
          <w:rFonts w:ascii="Consolas" w:hAnsi="Consolas"/>
          <w:b w:val="0"/>
          <w:i w:val="0"/>
          <w:color w:val="222222"/>
          <w:sz w:val="19"/>
        </w:rPr>
        <w:t>2.9.0</w:t>
      </w:r>
      <w:r>
        <w:rPr>
          <w:rFonts w:ascii="Calibri" w:hAnsi="Calibri"/>
          <w:b w:val="0"/>
          <w:i w:val="0"/>
          <w:color w:val="222222"/>
          <w:sz w:val="21"/>
        </w:rPr>
        <w:t xml:space="preserve">, PyTorch </w:t>
      </w:r>
      <w:r>
        <w:rPr>
          <w:rFonts w:ascii="Consolas" w:hAnsi="Consolas"/>
          <w:b w:val="0"/>
          <w:i w:val="0"/>
          <w:color w:val="222222"/>
          <w:sz w:val="19"/>
        </w:rPr>
        <w:t>2.14.0</w:t>
      </w:r>
      <w:r>
        <w:rPr>
          <w:rFonts w:ascii="Calibri" w:hAnsi="Calibri"/>
          <w:b w:val="0"/>
          <w:i w:val="0"/>
          <w:color w:val="222222"/>
          <w:sz w:val="21"/>
        </w:rPr>
        <w:t xml:space="preserve"> and sbi </w:t>
      </w:r>
      <w:r>
        <w:rPr>
          <w:rFonts w:ascii="Consolas" w:hAnsi="Consolas"/>
          <w:b w:val="0"/>
          <w:i w:val="0"/>
          <w:color w:val="222222"/>
          <w:sz w:val="19"/>
        </w:rPr>
        <w:t>0.27.0</w:t>
      </w:r>
      <w:r>
        <w:rPr>
          <w:rFonts w:ascii="Calibri" w:hAnsi="Calibri"/>
          <w:b w:val="0"/>
          <w:i w:val="0"/>
          <w:color w:val="222222"/>
          <w:sz w:val="21"/>
        </w:rPr>
        <w:t xml:space="preserve">. We hold NumPy back because its next minor release removes </w:t>
      </w:r>
      <w:r>
        <w:rPr>
          <w:rFonts w:ascii="Consolas" w:hAnsi="Consolas"/>
          <w:b w:val="0"/>
          <w:i w:val="0"/>
          <w:color w:val="222222"/>
          <w:sz w:val="19"/>
        </w:rPr>
        <w:t>ndarray.ptp</w:t>
      </w:r>
      <w:r>
        <w:rPr>
          <w:rFonts w:ascii="Calibri" w:hAnsi="Calibri"/>
          <w:b w:val="0"/>
          <w:i w:val="0"/>
          <w:color w:val="222222"/>
          <w:sz w:val="21"/>
        </w:rPr>
        <w:t>, which Brian2 imports.</w:t>
      </w:r>
    </w:p>
    <w:p>
      <w:pPr>
        <w:keepNext/>
        <w:spacing w:before="240" w:after="60"/>
      </w:pPr>
      <w:r>
        <w:rPr>
          <w:rFonts w:ascii="Calibri" w:hAnsi="Calibri"/>
          <w:b/>
          <w:i w:val="0"/>
          <w:color w:val="1F4E79"/>
          <w:sz w:val="23"/>
        </w:rPr>
        <w:t>Appendix L, M &amp; N — Sensory validation, dose tracking and species transfer</w:t>
      </w:r>
    </w:p>
    <w:p>
      <w:pPr>
        <w:spacing w:after="120"/>
      </w:pPr>
      <w:r>
        <w:rPr>
          <w:rFonts w:ascii="Calibri" w:hAnsi="Calibri"/>
          <w:b/>
          <w:i w:val="0"/>
          <w:color w:val="156082"/>
          <w:sz w:val="21"/>
        </w:rPr>
        <w:t>Appendix L, the rate-only arm.</w:t>
      </w:r>
      <w:r>
        <w:rPr>
          <w:rFonts w:ascii="Calibri" w:hAnsi="Calibri"/>
          <w:b w:val="0"/>
          <w:i w:val="0"/>
          <w:color w:val="222222"/>
          <w:sz w:val="21"/>
        </w:rPr>
        <w:t xml:space="preserve"> Human sensory neurons across 291 pairs in </w:t>
      </w:r>
      <w:r>
        <w:rPr>
          <w:rFonts w:ascii="Consolas" w:hAnsi="Consolas"/>
          <w:b w:val="0"/>
          <w:i w:val="0"/>
          <w:color w:val="222222"/>
          <w:sz w:val="19"/>
        </w:rPr>
        <w:t>fofie2025</w:t>
      </w:r>
      <w:r>
        <w:rPr>
          <w:rFonts w:ascii="Calibri" w:hAnsi="Calibri"/>
          <w:b w:val="0"/>
          <w:i w:val="0"/>
          <w:color w:val="222222"/>
          <w:sz w:val="21"/>
        </w:rPr>
        <w:t xml:space="preserve"> shift by −0.1743 log2 units for vehicle controls, against −1.9529 for sodium-channel blockers, which yields 0.5012 balanced accuracy against a chance of 0.3333.</w:t>
      </w:r>
    </w:p>
    <w:p>
      <w:pPr>
        <w:spacing w:after="120"/>
      </w:pPr>
      <w:r>
        <w:rPr>
          <w:rFonts w:ascii="Calibri" w:hAnsi="Calibri"/>
          <w:b/>
          <w:i w:val="0"/>
          <w:color w:val="156082"/>
          <w:sz w:val="21"/>
        </w:rPr>
        <w:t>Appendix M, Task 2 dose tracking.</w:t>
      </w:r>
      <w:r>
        <w:rPr>
          <w:rFonts w:ascii="Calibri" w:hAnsi="Calibri"/>
          <w:b w:val="0"/>
          <w:i w:val="0"/>
          <w:color w:val="222222"/>
          <w:sz w:val="21"/>
        </w:rPr>
        <w:t xml:space="preserve"> The detection rate rises from 0.179 at 0.1 µM to 0.426 at 30 µM. Quoted on its own, that would look like a dose response, so here is the rest of the series: the rate peaks at 0.48 at 100 µM and falls to 0.091 at the top of it, 500 µM. The overall rank correlation is not significant (ρ = −0.059, p = 0.189).</w:t>
      </w:r>
    </w:p>
    <w:p>
      <w:pPr>
        <w:keepNext/>
        <w:spacing w:after="120"/>
      </w:pPr>
      <w:r>
        <w:rPr>
          <w:rFonts w:ascii="Calibri" w:hAnsi="Calibri"/>
          <w:b/>
          <w:i w:val="0"/>
          <w:color w:val="156082"/>
          <w:sz w:val="21"/>
        </w:rPr>
        <w:t>Appendix N, species transfer, all settings.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3667"/>
        <w:gridCol w:w="2406"/>
        <w:gridCol w:w="2423"/>
      </w:tblGrid>
      <w:tr>
        <w:trPr>
          <w:cantSplit/>
          <w:tblHeader/>
        </w:trPr>
        <w:tc>
          <w:tcPr>
            <w:tcW w:type="dxa" w:w="3667"/>
            <w:shd w:val="clear" w:color="auto" w:fill="1F4E79"/>
            <w:vAlign w:val="center"/>
          </w:tcPr>
          <w:p>
            <w:pPr>
              <w:keepNext/>
              <w:spacing w:after="0"/>
            </w:pPr>
            <w:r>
              <w:rPr>
                <w:rFonts w:ascii="Calibri" w:hAnsi="Calibri"/>
                <w:b/>
                <w:i w:val="0"/>
                <w:color w:val="FFFFFF"/>
                <w:sz w:val="20"/>
              </w:rPr>
              <w:t>transfer setting</w:t>
            </w:r>
          </w:p>
        </w:tc>
        <w:tc>
          <w:tcPr>
            <w:tcW w:type="dxa" w:w="2406"/>
            <w:shd w:val="clear" w:color="auto" w:fill="1F4E79"/>
            <w:vAlign w:val="center"/>
          </w:tcPr>
          <w:p>
            <w:pPr>
              <w:keepNext/>
              <w:spacing w:after="0"/>
              <w:jc w:val="center"/>
            </w:pPr>
            <w:r>
              <w:rPr>
                <w:rFonts w:ascii="Calibri" w:hAnsi="Calibri"/>
                <w:b/>
                <w:i w:val="0"/>
                <w:color w:val="FFFFFF"/>
                <w:sz w:val="20"/>
              </w:rPr>
              <w:t>balanced accuracy</w:t>
            </w:r>
          </w:p>
        </w:tc>
        <w:tc>
          <w:tcPr>
            <w:tcW w:type="dxa" w:w="2423"/>
            <w:shd w:val="clear" w:color="auto" w:fill="1F4E79"/>
            <w:vAlign w:val="center"/>
          </w:tcPr>
          <w:p>
            <w:pPr>
              <w:keepNext/>
              <w:spacing w:after="0"/>
            </w:pPr>
            <w:r>
              <w:rPr>
                <w:rFonts w:ascii="Calibri" w:hAnsi="Calibri"/>
                <w:b/>
                <w:i w:val="0"/>
                <w:color w:val="FFFFFF"/>
                <w:sz w:val="20"/>
              </w:rPr>
              <w:t>95% bootstrap CI</w:t>
            </w:r>
          </w:p>
        </w:tc>
      </w:tr>
      <w:tr>
        <w:trPr>
          <w:cantSplit/>
        </w:trPr>
        <w:tc>
          <w:tcPr>
            <w:tcW w:type="dxa" w:w="3667"/>
            <w:shd w:val="clear" w:color="auto" w:fill="FFFFFF"/>
            <w:vAlign w:val="center"/>
          </w:tcPr>
          <w:p>
            <w:pPr>
              <w:keepNext/>
              <w:spacing w:after="0"/>
            </w:pPr>
            <w:r>
              <w:rPr>
                <w:rFonts w:ascii="Calibri" w:hAnsi="Calibri"/>
                <w:b/>
                <w:i w:val="0"/>
                <w:color w:val="222222"/>
                <w:sz w:val="20"/>
              </w:rPr>
              <w:t>human within-species</w:t>
            </w:r>
          </w:p>
        </w:tc>
        <w:tc>
          <w:tcPr>
            <w:tcW w:type="dxa" w:w="2406"/>
            <w:shd w:val="clear" w:color="auto" w:fill="FFFFFF"/>
            <w:vAlign w:val="center"/>
          </w:tcPr>
          <w:p>
            <w:pPr>
              <w:keepNext/>
              <w:spacing w:after="0"/>
              <w:jc w:val="center"/>
            </w:pPr>
            <w:r>
              <w:rPr>
                <w:rFonts w:ascii="Calibri" w:hAnsi="Calibri"/>
                <w:b w:val="0"/>
                <w:i w:val="0"/>
                <w:color w:val="222222"/>
                <w:sz w:val="20"/>
              </w:rPr>
              <w:t>0.646</w:t>
            </w:r>
          </w:p>
        </w:tc>
        <w:tc>
          <w:tcPr>
            <w:tcW w:type="dxa" w:w="2423"/>
            <w:shd w:val="clear" w:color="auto" w:fill="FFFFFF"/>
            <w:vAlign w:val="center"/>
          </w:tcPr>
          <w:p>
            <w:pPr>
              <w:keepNext/>
              <w:spacing w:after="0"/>
            </w:pPr>
            <w:r>
              <w:rPr>
                <w:rFonts w:ascii="Calibri" w:hAnsi="Calibri"/>
                <w:b w:val="0"/>
                <w:i w:val="0"/>
                <w:color w:val="222222"/>
                <w:sz w:val="20"/>
              </w:rPr>
              <w:t>0.483 to 0.78</w:t>
            </w:r>
          </w:p>
        </w:tc>
      </w:tr>
      <w:tr>
        <w:trPr>
          <w:cantSplit/>
        </w:trPr>
        <w:tc>
          <w:tcPr>
            <w:tcW w:type="dxa" w:w="3667"/>
            <w:shd w:val="clear" w:color="auto" w:fill="F7F9FB"/>
            <w:vAlign w:val="center"/>
          </w:tcPr>
          <w:p>
            <w:pPr>
              <w:keepNext/>
              <w:spacing w:after="0"/>
            </w:pPr>
            <w:r>
              <w:rPr>
                <w:rFonts w:ascii="Calibri" w:hAnsi="Calibri"/>
                <w:b/>
                <w:i w:val="0"/>
                <w:color w:val="222222"/>
                <w:sz w:val="20"/>
              </w:rPr>
              <w:t>rat within-species</w:t>
            </w:r>
          </w:p>
        </w:tc>
        <w:tc>
          <w:tcPr>
            <w:tcW w:type="dxa" w:w="2406"/>
            <w:shd w:val="clear" w:color="auto" w:fill="F7F9FB"/>
            <w:vAlign w:val="center"/>
          </w:tcPr>
          <w:p>
            <w:pPr>
              <w:keepNext/>
              <w:spacing w:after="0"/>
              <w:jc w:val="center"/>
            </w:pPr>
            <w:r>
              <w:rPr>
                <w:rFonts w:ascii="Calibri" w:hAnsi="Calibri"/>
                <w:b w:val="0"/>
                <w:i w:val="0"/>
                <w:color w:val="222222"/>
                <w:sz w:val="20"/>
              </w:rPr>
              <w:t>0.543</w:t>
            </w:r>
          </w:p>
        </w:tc>
        <w:tc>
          <w:tcPr>
            <w:tcW w:type="dxa" w:w="2423"/>
            <w:shd w:val="clear" w:color="auto" w:fill="F7F9FB"/>
            <w:vAlign w:val="center"/>
          </w:tcPr>
          <w:p>
            <w:pPr>
              <w:keepNext/>
              <w:spacing w:after="0"/>
            </w:pPr>
            <w:r>
              <w:rPr>
                <w:rFonts w:ascii="Calibri" w:hAnsi="Calibri"/>
                <w:b w:val="0"/>
                <w:i w:val="0"/>
                <w:color w:val="222222"/>
                <w:sz w:val="20"/>
              </w:rPr>
              <w:t>0.458 to 0.7</w:t>
            </w:r>
          </w:p>
        </w:tc>
      </w:tr>
      <w:tr>
        <w:trPr>
          <w:cantSplit/>
        </w:trPr>
        <w:tc>
          <w:tcPr>
            <w:tcW w:type="dxa" w:w="3667"/>
            <w:shd w:val="clear" w:color="auto" w:fill="FFFFFF"/>
            <w:vAlign w:val="center"/>
          </w:tcPr>
          <w:p>
            <w:pPr>
              <w:keepNext/>
              <w:spacing w:after="0"/>
            </w:pPr>
            <w:r>
              <w:rPr>
                <w:rFonts w:ascii="Calibri" w:hAnsi="Calibri"/>
                <w:b/>
                <w:i w:val="0"/>
                <w:color w:val="222222"/>
                <w:sz w:val="20"/>
              </w:rPr>
              <w:t>rat → human, zero-shot</w:t>
            </w:r>
          </w:p>
        </w:tc>
        <w:tc>
          <w:tcPr>
            <w:tcW w:type="dxa" w:w="2406"/>
            <w:shd w:val="clear" w:color="auto" w:fill="FFFFFF"/>
            <w:vAlign w:val="center"/>
          </w:tcPr>
          <w:p>
            <w:pPr>
              <w:keepNext/>
              <w:spacing w:after="0"/>
              <w:jc w:val="center"/>
            </w:pPr>
            <w:r>
              <w:rPr>
                <w:rFonts w:ascii="Calibri" w:hAnsi="Calibri"/>
                <w:b w:val="0"/>
                <w:i w:val="0"/>
                <w:color w:val="222222"/>
                <w:sz w:val="20"/>
              </w:rPr>
              <w:t>0.55</w:t>
            </w:r>
          </w:p>
        </w:tc>
        <w:tc>
          <w:tcPr>
            <w:tcW w:type="dxa" w:w="2423"/>
            <w:shd w:val="clear" w:color="auto" w:fill="FFFFFF"/>
            <w:vAlign w:val="center"/>
          </w:tcPr>
          <w:p>
            <w:pPr>
              <w:keepNext/>
              <w:spacing w:after="0"/>
            </w:pPr>
            <w:r>
              <w:rPr>
                <w:rFonts w:ascii="Calibri" w:hAnsi="Calibri"/>
                <w:b w:val="0"/>
                <w:i w:val="0"/>
                <w:color w:val="222222"/>
                <w:sz w:val="20"/>
              </w:rPr>
              <w:t>0.4 to 0.6</w:t>
            </w:r>
          </w:p>
        </w:tc>
      </w:tr>
      <w:tr>
        <w:trPr>
          <w:cantSplit/>
        </w:trPr>
        <w:tc>
          <w:tcPr>
            <w:tcW w:type="dxa" w:w="3667"/>
            <w:shd w:val="clear" w:color="auto" w:fill="F7F9FB"/>
            <w:vAlign w:val="center"/>
          </w:tcPr>
          <w:p>
            <w:pPr>
              <w:keepNext/>
              <w:spacing w:after="0"/>
            </w:pPr>
            <w:r>
              <w:rPr>
                <w:rFonts w:ascii="Calibri" w:hAnsi="Calibri"/>
                <w:b/>
                <w:i w:val="0"/>
                <w:color w:val="222222"/>
                <w:sz w:val="20"/>
              </w:rPr>
              <w:t>rat → human, CORAL</w:t>
            </w:r>
          </w:p>
        </w:tc>
        <w:tc>
          <w:tcPr>
            <w:tcW w:type="dxa" w:w="2406"/>
            <w:shd w:val="clear" w:color="auto" w:fill="F7F9FB"/>
            <w:vAlign w:val="center"/>
          </w:tcPr>
          <w:p>
            <w:pPr>
              <w:keepNext/>
              <w:spacing w:after="0"/>
              <w:jc w:val="center"/>
            </w:pPr>
            <w:r>
              <w:rPr>
                <w:rFonts w:ascii="Calibri" w:hAnsi="Calibri"/>
                <w:b w:val="0"/>
                <w:i w:val="0"/>
                <w:color w:val="222222"/>
                <w:sz w:val="20"/>
              </w:rPr>
              <w:t>0.442</w:t>
            </w:r>
          </w:p>
        </w:tc>
        <w:tc>
          <w:tcPr>
            <w:tcW w:type="dxa" w:w="2423"/>
            <w:shd w:val="clear" w:color="auto" w:fill="F7F9FB"/>
            <w:vAlign w:val="center"/>
          </w:tcPr>
          <w:p>
            <w:pPr>
              <w:keepNext/>
              <w:spacing w:after="0"/>
            </w:pPr>
            <w:r>
              <w:rPr>
                <w:rFonts w:ascii="Calibri" w:hAnsi="Calibri"/>
                <w:b w:val="0"/>
                <w:i w:val="0"/>
                <w:color w:val="222222"/>
                <w:sz w:val="20"/>
              </w:rPr>
              <w:t>0.302 to 0.591</w:t>
            </w:r>
          </w:p>
        </w:tc>
      </w:tr>
      <w:tr>
        <w:trPr>
          <w:cantSplit/>
        </w:trPr>
        <w:tc>
          <w:tcPr>
            <w:tcW w:type="dxa" w:w="3667"/>
            <w:shd w:val="clear" w:color="auto" w:fill="FFFFFF"/>
            <w:vAlign w:val="center"/>
          </w:tcPr>
          <w:p>
            <w:pPr>
              <w:keepNext w:val="0"/>
              <w:spacing w:after="0"/>
            </w:pPr>
            <w:r>
              <w:rPr>
                <w:rFonts w:ascii="Calibri" w:hAnsi="Calibri"/>
                <w:b/>
                <w:i w:val="0"/>
                <w:color w:val="222222"/>
                <w:sz w:val="20"/>
              </w:rPr>
              <w:t>rat → human, standardized</w:t>
            </w:r>
          </w:p>
        </w:tc>
        <w:tc>
          <w:tcPr>
            <w:tcW w:type="dxa" w:w="2406"/>
            <w:shd w:val="clear" w:color="auto" w:fill="FFFFFF"/>
            <w:vAlign w:val="center"/>
          </w:tcPr>
          <w:p>
            <w:pPr>
              <w:keepNext w:val="0"/>
              <w:spacing w:after="0"/>
              <w:jc w:val="center"/>
            </w:pPr>
            <w:r>
              <w:rPr>
                <w:rFonts w:ascii="Calibri" w:hAnsi="Calibri"/>
                <w:b w:val="0"/>
                <w:i w:val="0"/>
                <w:color w:val="222222"/>
                <w:sz w:val="20"/>
              </w:rPr>
              <w:t>0.408</w:t>
            </w:r>
          </w:p>
        </w:tc>
        <w:tc>
          <w:tcPr>
            <w:tcW w:type="dxa" w:w="2423"/>
            <w:shd w:val="clear" w:color="auto" w:fill="FFFFFF"/>
            <w:vAlign w:val="center"/>
          </w:tcPr>
          <w:p>
            <w:pPr>
              <w:keepNext w:val="0"/>
              <w:spacing w:after="0"/>
            </w:pPr>
            <w:r>
              <w:rPr>
                <w:rFonts w:ascii="Calibri" w:hAnsi="Calibri"/>
                <w:b w:val="0"/>
                <w:i w:val="0"/>
                <w:color w:val="222222"/>
                <w:sz w:val="20"/>
              </w:rPr>
              <w:t>0.267 to 0.568</w:t>
            </w:r>
          </w:p>
        </w:tc>
      </w:tr>
    </w:tbl>
    <w:p>
      <w:pPr>
        <w:spacing w:after="80"/>
      </w:pPr>
    </w:p>
    <w:p>
      <w:pPr>
        <w:spacing w:after="120"/>
      </w:pPr>
      <w:r>
        <w:rPr>
          <w:rFonts w:ascii="Calibri" w:hAnsi="Calibri"/>
          <w:b w:val="0"/>
          <w:i w:val="0"/>
          <w:color w:val="222222"/>
          <w:sz w:val="21"/>
        </w:rPr>
        <w:t>Every interval resamples cultures, not rows. For the within-species rows it is taken over the out-of-fold predictions pooled across the repeated grouped splits, and a culture drawn into a resample brings all of its predictions with it; for the transfer rows it is taken over the human test cultures.</w:t>
      </w:r>
    </w:p>
    <w:p>
      <w:pPr>
        <w:keepNext/>
        <w:spacing w:before="240" w:after="60"/>
      </w:pPr>
      <w:r>
        <w:rPr>
          <w:rFonts w:ascii="Calibri" w:hAnsi="Calibri"/>
          <w:b/>
          <w:i w:val="0"/>
          <w:color w:val="1F4E79"/>
          <w:sz w:val="23"/>
        </w:rPr>
        <w:t>Appendix O — Third-party software, models and AI tools</w:t>
      </w:r>
    </w:p>
    <w:p>
      <w:pPr>
        <w:keepNext/>
        <w:spacing w:after="120"/>
      </w:pPr>
      <w:r>
        <w:rPr>
          <w:rFonts w:ascii="Calibri" w:hAnsi="Calibri"/>
          <w:b/>
          <w:i w:val="0"/>
          <w:color w:val="156082"/>
          <w:sz w:val="21"/>
        </w:rPr>
        <w:t>Software.</w:t>
      </w:r>
      <w:r>
        <w:rPr>
          <w:rFonts w:ascii="Calibri" w:hAnsi="Calibri"/>
          <w:b w:val="0"/>
          <w:i w:val="0"/>
          <w:color w:val="222222"/>
          <w:sz w:val="21"/>
        </w:rPr>
        <w:t xml:space="preserve"> We use the libraries below unmodified, as dependencies; none of their source is redistributed here. Exact versions are pinned in </w:t>
      </w:r>
      <w:r>
        <w:rPr>
          <w:rFonts w:ascii="Consolas" w:hAnsi="Consolas"/>
          <w:b w:val="0"/>
          <w:i w:val="0"/>
          <w:color w:val="222222"/>
          <w:sz w:val="19"/>
        </w:rPr>
        <w:t>pyproject.toml</w:t>
      </w:r>
      <w:r>
        <w:rPr>
          <w:rFonts w:ascii="Calibri" w:hAnsi="Calibri"/>
          <w:b w:val="0"/>
          <w:i w:val="0"/>
          <w:color w:val="222222"/>
          <w:sz w:val="21"/>
        </w:rPr>
        <w:t xml:space="preserve">, and </w:t>
      </w:r>
      <w:r>
        <w:rPr>
          <w:rFonts w:ascii="Consolas" w:hAnsi="Consolas"/>
          <w:b w:val="0"/>
          <w:i w:val="0"/>
          <w:color w:val="222222"/>
          <w:sz w:val="19"/>
        </w:rPr>
        <w:t>THIRD_PARTY.md</w:t>
      </w:r>
      <w:r>
        <w:rPr>
          <w:rFonts w:ascii="Calibri" w:hAnsi="Calibri"/>
          <w:b w:val="0"/>
          <w:i w:val="0"/>
          <w:color w:val="222222"/>
          <w:sz w:val="21"/>
        </w:rPr>
        <w:t xml:space="preserve"> lists each package's license as read from its installed metadata.</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063"/>
        <w:gridCol w:w="2955"/>
        <w:gridCol w:w="3478"/>
      </w:tblGrid>
      <w:tr>
        <w:trPr>
          <w:cantSplit/>
          <w:tblHeader/>
        </w:trPr>
        <w:tc>
          <w:tcPr>
            <w:tcW w:type="dxa" w:w="2063"/>
            <w:shd w:val="clear" w:color="auto" w:fill="1F4E79"/>
            <w:vAlign w:val="center"/>
          </w:tcPr>
          <w:p>
            <w:pPr>
              <w:keepNext/>
              <w:spacing w:after="0"/>
            </w:pPr>
            <w:r>
              <w:rPr>
                <w:rFonts w:ascii="Calibri" w:hAnsi="Calibri"/>
                <w:b/>
                <w:i w:val="0"/>
                <w:color w:val="FFFFFF"/>
                <w:sz w:val="20"/>
              </w:rPr>
              <w:t>license</w:t>
            </w:r>
          </w:p>
        </w:tc>
        <w:tc>
          <w:tcPr>
            <w:tcW w:type="dxa" w:w="2955"/>
            <w:shd w:val="clear" w:color="auto" w:fill="1F4E79"/>
            <w:vAlign w:val="center"/>
          </w:tcPr>
          <w:p>
            <w:pPr>
              <w:keepNext/>
              <w:spacing w:after="0"/>
            </w:pPr>
            <w:r>
              <w:rPr>
                <w:rFonts w:ascii="Calibri" w:hAnsi="Calibri"/>
                <w:b/>
                <w:i w:val="0"/>
                <w:color w:val="FFFFFF"/>
                <w:sz w:val="20"/>
              </w:rPr>
              <w:t>packages</w:t>
            </w:r>
          </w:p>
        </w:tc>
        <w:tc>
          <w:tcPr>
            <w:tcW w:type="dxa" w:w="3478"/>
            <w:shd w:val="clear" w:color="auto" w:fill="1F4E79"/>
            <w:vAlign w:val="center"/>
          </w:tcPr>
          <w:p>
            <w:pPr>
              <w:keepNext/>
              <w:spacing w:after="0"/>
            </w:pPr>
            <w:r>
              <w:rPr>
                <w:rFonts w:ascii="Calibri" w:hAnsi="Calibri"/>
                <w:b/>
                <w:i w:val="0"/>
                <w:color w:val="FFFFFF"/>
                <w:sz w:val="20"/>
              </w:rPr>
              <w:t>what they do here</w:t>
            </w:r>
          </w:p>
        </w:tc>
      </w:tr>
      <w:tr>
        <w:trPr>
          <w:cantSplit/>
        </w:trPr>
        <w:tc>
          <w:tcPr>
            <w:tcW w:type="dxa" w:w="2063"/>
            <w:shd w:val="clear" w:color="auto" w:fill="FFFFFF"/>
            <w:vAlign w:val="center"/>
          </w:tcPr>
          <w:p>
            <w:pPr>
              <w:keepNext/>
              <w:spacing w:after="0"/>
            </w:pPr>
            <w:r>
              <w:rPr>
                <w:rFonts w:ascii="Calibri" w:hAnsi="Calibri"/>
                <w:b/>
                <w:i w:val="0"/>
                <w:color w:val="222222"/>
                <w:sz w:val="20"/>
              </w:rPr>
              <w:t>BSD (3-clause and BSD-style)</w:t>
            </w:r>
          </w:p>
        </w:tc>
        <w:tc>
          <w:tcPr>
            <w:tcW w:type="dxa" w:w="2955"/>
            <w:shd w:val="clear" w:color="auto" w:fill="FFFFFF"/>
            <w:vAlign w:val="center"/>
          </w:tcPr>
          <w:p>
            <w:pPr>
              <w:keepNext/>
              <w:spacing w:after="0"/>
            </w:pPr>
            <w:r>
              <w:rPr>
                <w:rFonts w:ascii="Calibri" w:hAnsi="Calibri"/>
                <w:b w:val="0"/>
                <w:i w:val="0"/>
                <w:color w:val="222222"/>
                <w:sz w:val="20"/>
              </w:rPr>
              <w:t>numpy, scipy, pandas, scikit-learn, h5py, altair, xlrd</w:t>
            </w:r>
          </w:p>
        </w:tc>
        <w:tc>
          <w:tcPr>
            <w:tcW w:type="dxa" w:w="3478"/>
            <w:shd w:val="clear" w:color="auto" w:fill="FFFFFF"/>
            <w:vAlign w:val="center"/>
          </w:tcPr>
          <w:p>
            <w:pPr>
              <w:keepNext/>
              <w:spacing w:after="0"/>
            </w:pPr>
            <w:r>
              <w:rPr>
                <w:rFonts w:ascii="Calibri" w:hAnsi="Calibri"/>
                <w:b w:val="0"/>
                <w:i w:val="0"/>
                <w:color w:val="222222"/>
                <w:sz w:val="20"/>
              </w:rPr>
              <w:t>numerics, data handling, classifiers, charts, file readers</w:t>
            </w:r>
          </w:p>
        </w:tc>
      </w:tr>
      <w:tr>
        <w:trPr>
          <w:cantSplit/>
        </w:trPr>
        <w:tc>
          <w:tcPr>
            <w:tcW w:type="dxa" w:w="2063"/>
            <w:shd w:val="clear" w:color="auto" w:fill="F7F9FB"/>
            <w:vAlign w:val="center"/>
          </w:tcPr>
          <w:p>
            <w:pPr>
              <w:keepNext/>
              <w:spacing w:after="0"/>
            </w:pPr>
            <w:r>
              <w:rPr>
                <w:rFonts w:ascii="Calibri" w:hAnsi="Calibri"/>
                <w:b/>
                <w:i w:val="0"/>
                <w:color w:val="222222"/>
                <w:sz w:val="20"/>
              </w:rPr>
              <w:t>MIT</w:t>
            </w:r>
          </w:p>
        </w:tc>
        <w:tc>
          <w:tcPr>
            <w:tcW w:type="dxa" w:w="2955"/>
            <w:shd w:val="clear" w:color="auto" w:fill="F7F9FB"/>
            <w:vAlign w:val="center"/>
          </w:tcPr>
          <w:p>
            <w:pPr>
              <w:keepNext/>
              <w:spacing w:after="0"/>
            </w:pPr>
            <w:r>
              <w:rPr>
                <w:rFonts w:ascii="Calibri" w:hAnsi="Calibri"/>
                <w:b w:val="0"/>
                <w:i w:val="0"/>
                <w:color w:val="222222"/>
                <w:sz w:val="20"/>
              </w:rPr>
              <w:t>jsonschema, openpyxl, python-docx, pytest, ruff</w:t>
            </w:r>
          </w:p>
        </w:tc>
        <w:tc>
          <w:tcPr>
            <w:tcW w:type="dxa" w:w="3478"/>
            <w:shd w:val="clear" w:color="auto" w:fill="F7F9FB"/>
            <w:vAlign w:val="center"/>
          </w:tcPr>
          <w:p>
            <w:pPr>
              <w:keepNext/>
              <w:spacing w:after="0"/>
            </w:pPr>
            <w:r>
              <w:rPr>
                <w:rFonts w:ascii="Calibri" w:hAnsi="Calibri"/>
                <w:b w:val="0"/>
                <w:i w:val="0"/>
                <w:color w:val="222222"/>
                <w:sz w:val="20"/>
              </w:rPr>
              <w:t>schema validation, spreadsheet input, report build, tests, linting</w:t>
            </w:r>
          </w:p>
        </w:tc>
      </w:tr>
      <w:tr>
        <w:trPr>
          <w:cantSplit/>
        </w:trPr>
        <w:tc>
          <w:tcPr>
            <w:tcW w:type="dxa" w:w="2063"/>
            <w:shd w:val="clear" w:color="auto" w:fill="FFFFFF"/>
            <w:vAlign w:val="center"/>
          </w:tcPr>
          <w:p>
            <w:pPr>
              <w:keepNext/>
              <w:spacing w:after="0"/>
            </w:pPr>
            <w:r>
              <w:rPr>
                <w:rFonts w:ascii="Calibri" w:hAnsi="Calibri"/>
                <w:b/>
                <w:i w:val="0"/>
                <w:color w:val="222222"/>
                <w:sz w:val="20"/>
              </w:rPr>
              <w:t>Apache 2.0</w:t>
            </w:r>
          </w:p>
        </w:tc>
        <w:tc>
          <w:tcPr>
            <w:tcW w:type="dxa" w:w="2955"/>
            <w:shd w:val="clear" w:color="auto" w:fill="FFFFFF"/>
            <w:vAlign w:val="center"/>
          </w:tcPr>
          <w:p>
            <w:pPr>
              <w:keepNext/>
              <w:spacing w:after="0"/>
            </w:pPr>
            <w:r>
              <w:rPr>
                <w:rFonts w:ascii="Calibri" w:hAnsi="Calibri"/>
                <w:b w:val="0"/>
                <w:i w:val="0"/>
                <w:color w:val="222222"/>
                <w:sz w:val="20"/>
              </w:rPr>
              <w:t>sbi, pyarrow, requests, streamlit</w:t>
            </w:r>
          </w:p>
        </w:tc>
        <w:tc>
          <w:tcPr>
            <w:tcW w:type="dxa" w:w="3478"/>
            <w:shd w:val="clear" w:color="auto" w:fill="FFFFFF"/>
            <w:vAlign w:val="center"/>
          </w:tcPr>
          <w:p>
            <w:pPr>
              <w:keepNext/>
              <w:spacing w:after="0"/>
            </w:pPr>
            <w:r>
              <w:rPr>
                <w:rFonts w:ascii="Calibri" w:hAnsi="Calibri"/>
                <w:b w:val="0"/>
                <w:i w:val="0"/>
                <w:color w:val="222222"/>
                <w:sz w:val="20"/>
              </w:rPr>
              <w:t>posterior estimation, storage, downloads, the demo app</w:t>
            </w:r>
          </w:p>
        </w:tc>
      </w:tr>
      <w:tr>
        <w:trPr>
          <w:cantSplit/>
        </w:trPr>
        <w:tc>
          <w:tcPr>
            <w:tcW w:type="dxa" w:w="2063"/>
            <w:shd w:val="clear" w:color="auto" w:fill="F7F9FB"/>
            <w:vAlign w:val="center"/>
          </w:tcPr>
          <w:p>
            <w:pPr>
              <w:keepNext/>
              <w:spacing w:after="0"/>
            </w:pPr>
            <w:r>
              <w:rPr>
                <w:rFonts w:ascii="Calibri" w:hAnsi="Calibri"/>
                <w:b/>
                <w:i w:val="0"/>
                <w:color w:val="222222"/>
                <w:sz w:val="20"/>
              </w:rPr>
              <w:t>Apache and BSD (combined notice)</w:t>
            </w:r>
          </w:p>
        </w:tc>
        <w:tc>
          <w:tcPr>
            <w:tcW w:type="dxa" w:w="2955"/>
            <w:shd w:val="clear" w:color="auto" w:fill="F7F9FB"/>
            <w:vAlign w:val="center"/>
          </w:tcPr>
          <w:p>
            <w:pPr>
              <w:keepNext/>
              <w:spacing w:after="0"/>
            </w:pPr>
            <w:r>
              <w:rPr>
                <w:rFonts w:ascii="Calibri" w:hAnsi="Calibri"/>
                <w:b w:val="0"/>
                <w:i w:val="0"/>
                <w:color w:val="222222"/>
                <w:sz w:val="20"/>
              </w:rPr>
              <w:t>torch</w:t>
            </w:r>
          </w:p>
        </w:tc>
        <w:tc>
          <w:tcPr>
            <w:tcW w:type="dxa" w:w="3478"/>
            <w:shd w:val="clear" w:color="auto" w:fill="F7F9FB"/>
            <w:vAlign w:val="center"/>
          </w:tcPr>
          <w:p>
            <w:pPr>
              <w:keepNext/>
              <w:spacing w:after="0"/>
            </w:pPr>
            <w:r>
              <w:rPr>
                <w:rFonts w:ascii="Calibri" w:hAnsi="Calibri"/>
                <w:b w:val="0"/>
                <w:i w:val="0"/>
                <w:color w:val="222222"/>
                <w:sz w:val="20"/>
              </w:rPr>
              <w:t>neural network backend for posterior estimation</w:t>
            </w:r>
          </w:p>
        </w:tc>
      </w:tr>
      <w:tr>
        <w:trPr>
          <w:cantSplit/>
        </w:trPr>
        <w:tc>
          <w:tcPr>
            <w:tcW w:type="dxa" w:w="2063"/>
            <w:shd w:val="clear" w:color="auto" w:fill="FFFFFF"/>
            <w:vAlign w:val="center"/>
          </w:tcPr>
          <w:p>
            <w:pPr>
              <w:keepNext/>
              <w:spacing w:after="0"/>
            </w:pPr>
            <w:r>
              <w:rPr>
                <w:rFonts w:ascii="Calibri" w:hAnsi="Calibri"/>
                <w:b/>
                <w:i w:val="0"/>
                <w:color w:val="222222"/>
                <w:sz w:val="20"/>
              </w:rPr>
              <w:t>Python Software Foundation</w:t>
            </w:r>
          </w:p>
        </w:tc>
        <w:tc>
          <w:tcPr>
            <w:tcW w:type="dxa" w:w="2955"/>
            <w:shd w:val="clear" w:color="auto" w:fill="FFFFFF"/>
            <w:vAlign w:val="center"/>
          </w:tcPr>
          <w:p>
            <w:pPr>
              <w:keepNext/>
              <w:spacing w:after="0"/>
            </w:pPr>
            <w:r>
              <w:rPr>
                <w:rFonts w:ascii="Calibri" w:hAnsi="Calibri"/>
                <w:b w:val="0"/>
                <w:i w:val="0"/>
                <w:color w:val="222222"/>
                <w:sz w:val="20"/>
              </w:rPr>
              <w:t>matplotlib</w:t>
            </w:r>
          </w:p>
        </w:tc>
        <w:tc>
          <w:tcPr>
            <w:tcW w:type="dxa" w:w="3478"/>
            <w:shd w:val="clear" w:color="auto" w:fill="FFFFFF"/>
            <w:vAlign w:val="center"/>
          </w:tcPr>
          <w:p>
            <w:pPr>
              <w:keepNext/>
              <w:spacing w:after="0"/>
            </w:pPr>
            <w:r>
              <w:rPr>
                <w:rFonts w:ascii="Calibri" w:hAnsi="Calibri"/>
                <w:b w:val="0"/>
                <w:i w:val="0"/>
                <w:color w:val="222222"/>
                <w:sz w:val="20"/>
              </w:rPr>
              <w:t>figures</w:t>
            </w:r>
          </w:p>
        </w:tc>
      </w:tr>
      <w:tr>
        <w:trPr>
          <w:cantSplit/>
        </w:trPr>
        <w:tc>
          <w:tcPr>
            <w:tcW w:type="dxa" w:w="2063"/>
            <w:shd w:val="clear" w:color="auto" w:fill="F7F9FB"/>
            <w:vAlign w:val="center"/>
          </w:tcPr>
          <w:p>
            <w:pPr>
              <w:keepNext w:val="0"/>
              <w:spacing w:after="0"/>
            </w:pPr>
            <w:r>
              <w:rPr>
                <w:rFonts w:ascii="Calibri" w:hAnsi="Calibri"/>
                <w:b/>
                <w:i w:val="0"/>
                <w:color w:val="222222"/>
                <w:sz w:val="20"/>
              </w:rPr>
              <w:t>CeCILL 2.1</w:t>
            </w:r>
          </w:p>
        </w:tc>
        <w:tc>
          <w:tcPr>
            <w:tcW w:type="dxa" w:w="2955"/>
            <w:shd w:val="clear" w:color="auto" w:fill="F7F9FB"/>
            <w:vAlign w:val="center"/>
          </w:tcPr>
          <w:p>
            <w:pPr>
              <w:keepNext w:val="0"/>
              <w:spacing w:after="0"/>
            </w:pPr>
            <w:r>
              <w:rPr>
                <w:rFonts w:ascii="Calibri" w:hAnsi="Calibri"/>
                <w:b w:val="0"/>
                <w:i w:val="0"/>
                <w:color w:val="222222"/>
                <w:sz w:val="20"/>
              </w:rPr>
              <w:t>brian2</w:t>
            </w:r>
          </w:p>
        </w:tc>
        <w:tc>
          <w:tcPr>
            <w:tcW w:type="dxa" w:w="3478"/>
            <w:shd w:val="clear" w:color="auto" w:fill="F7F9FB"/>
            <w:vAlign w:val="center"/>
          </w:tcPr>
          <w:p>
            <w:pPr>
              <w:keepNext w:val="0"/>
              <w:spacing w:after="0"/>
            </w:pPr>
            <w:r>
              <w:rPr>
                <w:rFonts w:ascii="Calibri" w:hAnsi="Calibri"/>
                <w:b w:val="0"/>
                <w:i w:val="0"/>
                <w:color w:val="222222"/>
                <w:sz w:val="20"/>
              </w:rPr>
              <w:t>spiking-network simulation of the twin</w:t>
            </w:r>
          </w:p>
        </w:tc>
      </w:tr>
    </w:tbl>
    <w:p>
      <w:pPr>
        <w:spacing w:after="80"/>
      </w:pPr>
    </w:p>
    <w:p>
      <w:pPr>
        <w:spacing w:after="120"/>
      </w:pPr>
      <w:r>
        <w:rPr>
          <w:rFonts w:ascii="Calibri" w:hAnsi="Calibri"/>
          <w:b w:val="0"/>
          <w:i w:val="0"/>
          <w:color w:val="222222"/>
          <w:sz w:val="21"/>
        </w:rPr>
        <w:t>Brian2's license is the most restrictive in the list; we use it unmodified, as a library.</w:t>
      </w:r>
    </w:p>
    <w:p>
      <w:pPr>
        <w:spacing w:after="120"/>
      </w:pPr>
      <w:r>
        <w:rPr>
          <w:rFonts w:ascii="Calibri" w:hAnsi="Calibri"/>
          <w:b/>
          <w:i w:val="0"/>
          <w:color w:val="156082"/>
          <w:sz w:val="21"/>
        </w:rPr>
        <w:t>Models.</w:t>
      </w:r>
      <w:r>
        <w:rPr>
          <w:rFonts w:ascii="Calibri" w:hAnsi="Calibri"/>
          <w:b w:val="0"/>
          <w:i w:val="0"/>
          <w:color w:val="222222"/>
          <w:sz w:val="21"/>
        </w:rPr>
        <w:t xml:space="preserve"> We use no pretrained or external models. Every statistical model in this report — logistic regression, gradient boosting and the neural posterior estimator — is trained from scratch on the data described here.</w:t>
      </w:r>
    </w:p>
    <w:p>
      <w:pPr>
        <w:spacing w:after="120"/>
      </w:pPr>
      <w:r>
        <w:rPr>
          <w:rFonts w:ascii="Calibri" w:hAnsi="Calibri"/>
          <w:b/>
          <w:i w:val="0"/>
          <w:color w:val="156082"/>
          <w:sz w:val="21"/>
        </w:rPr>
        <w:t>Data.</w:t>
      </w:r>
      <w:r>
        <w:rPr>
          <w:rFonts w:ascii="Calibri" w:hAnsi="Calibri"/>
          <w:b w:val="0"/>
          <w:i w:val="0"/>
          <w:color w:val="222222"/>
          <w:sz w:val="21"/>
        </w:rPr>
        <w:t xml:space="preserve"> Every dataset we used, with its license and status, is listed in Appendix C.</w:t>
      </w:r>
    </w:p>
    <w:p>
      <w:pPr>
        <w:spacing w:after="120"/>
      </w:pPr>
      <w:r>
        <w:rPr>
          <w:rFonts w:ascii="Calibri" w:hAnsi="Calibri"/>
          <w:b/>
          <w:i w:val="0"/>
          <w:color w:val="156082"/>
          <w:sz w:val="21"/>
        </w:rPr>
        <w:t>AI tools.</w:t>
      </w:r>
      <w:r>
        <w:rPr>
          <w:rFonts w:ascii="Calibri" w:hAnsi="Calibri"/>
          <w:b w:val="0"/>
          <w:i w:val="0"/>
          <w:color w:val="222222"/>
          <w:sz w:val="21"/>
        </w:rPr>
        <w:t xml:space="preserve"> We developed the project with Anthropic's Claude Code (§22), a commercial tool used under Anthropic's terms of service. It is not part of the delivered pipeline, and nothing it wrote is accepted without passing the same tests and citation checks as the rest of the code.</w:t>
      </w:r>
    </w:p>
    <w:sectPr w:rsidR="00163B07">
      <w:footerReference w:type="default" r:id="rId9"/>
      <w:footerReference w:type="first" r:id="rId10"/>
      <w:pgSz w:w="11906" w:h="16838" w:orient="portrait"/>
      <w:pgMar w:top="1418" w:right="1701"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19A" w:rsidRDefault="00CD719A" w14:paraId="00801A87" w14:textId="77777777">
      <w:r>
        <w:separator/>
      </w:r>
    </w:p>
  </w:endnote>
  <w:endnote w:type="continuationSeparator" w:id="0">
    <w:p w:rsidR="00CD719A" w:rsidRDefault="00CD719A" w14:paraId="3707F1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40FE008D" w14:textId="77777777">
    <w:pPr>
      <w:jc w:val="center"/>
    </w:pP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1161CC1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19A" w:rsidRDefault="00CD719A" w14:paraId="7353E42F" w14:textId="77777777">
      <w:r>
        <w:separator/>
      </w:r>
    </w:p>
  </w:footnote>
  <w:footnote w:type="continuationSeparator" w:id="0">
    <w:p w:rsidR="00CD719A" w:rsidRDefault="00CD719A" w14:paraId="0178CC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462700"/>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702CCE7"/>
    <w:multiLevelType w:val="multilevel"/>
    <w:tmpl w:val="317E15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7F6E36E"/>
    <w:multiLevelType w:val="hybridMultilevel"/>
    <w:tmpl w:val="5136D944"/>
    <w:lvl w:ilvl="0" w:tplc="A5B0DA98">
      <w:start w:val="1"/>
      <w:numFmt w:val="bullet"/>
      <w:lvlText w:val=""/>
      <w:lvlJc w:val="left"/>
      <w:pPr>
        <w:ind w:left="720" w:hanging="360"/>
      </w:pPr>
      <w:rPr>
        <w:rFonts w:hint="default" w:ascii="Symbol" w:hAnsi="Symbol"/>
      </w:rPr>
    </w:lvl>
    <w:lvl w:ilvl="1" w:tplc="9E1C4910">
      <w:start w:val="1"/>
      <w:numFmt w:val="bullet"/>
      <w:lvlText w:val="o"/>
      <w:lvlJc w:val="left"/>
      <w:pPr>
        <w:ind w:left="1440" w:hanging="360"/>
      </w:pPr>
      <w:rPr>
        <w:rFonts w:hint="default" w:ascii="Courier New" w:hAnsi="Courier New"/>
      </w:rPr>
    </w:lvl>
    <w:lvl w:ilvl="2" w:tplc="781C34AA">
      <w:start w:val="1"/>
      <w:numFmt w:val="bullet"/>
      <w:lvlText w:val=""/>
      <w:lvlJc w:val="left"/>
      <w:pPr>
        <w:ind w:left="2160" w:hanging="360"/>
      </w:pPr>
      <w:rPr>
        <w:rFonts w:hint="default" w:ascii="Wingdings" w:hAnsi="Wingdings"/>
      </w:rPr>
    </w:lvl>
    <w:lvl w:ilvl="3" w:tplc="CB841062">
      <w:start w:val="1"/>
      <w:numFmt w:val="bullet"/>
      <w:lvlText w:val=""/>
      <w:lvlJc w:val="left"/>
      <w:pPr>
        <w:ind w:left="2880" w:hanging="360"/>
      </w:pPr>
      <w:rPr>
        <w:rFonts w:hint="default" w:ascii="Symbol" w:hAnsi="Symbol"/>
      </w:rPr>
    </w:lvl>
    <w:lvl w:ilvl="4" w:tplc="E578B4F2">
      <w:start w:val="1"/>
      <w:numFmt w:val="bullet"/>
      <w:lvlText w:val="o"/>
      <w:lvlJc w:val="left"/>
      <w:pPr>
        <w:ind w:left="3600" w:hanging="360"/>
      </w:pPr>
      <w:rPr>
        <w:rFonts w:hint="default" w:ascii="Courier New" w:hAnsi="Courier New"/>
      </w:rPr>
    </w:lvl>
    <w:lvl w:ilvl="5" w:tplc="5CC21330">
      <w:start w:val="1"/>
      <w:numFmt w:val="bullet"/>
      <w:lvlText w:val=""/>
      <w:lvlJc w:val="left"/>
      <w:pPr>
        <w:ind w:left="4320" w:hanging="360"/>
      </w:pPr>
      <w:rPr>
        <w:rFonts w:hint="default" w:ascii="Wingdings" w:hAnsi="Wingdings"/>
      </w:rPr>
    </w:lvl>
    <w:lvl w:ilvl="6" w:tplc="948AFD5E">
      <w:start w:val="1"/>
      <w:numFmt w:val="bullet"/>
      <w:lvlText w:val=""/>
      <w:lvlJc w:val="left"/>
      <w:pPr>
        <w:ind w:left="5040" w:hanging="360"/>
      </w:pPr>
      <w:rPr>
        <w:rFonts w:hint="default" w:ascii="Symbol" w:hAnsi="Symbol"/>
      </w:rPr>
    </w:lvl>
    <w:lvl w:ilvl="7" w:tplc="BDC6D76A">
      <w:start w:val="1"/>
      <w:numFmt w:val="bullet"/>
      <w:lvlText w:val="o"/>
      <w:lvlJc w:val="left"/>
      <w:pPr>
        <w:ind w:left="5760" w:hanging="360"/>
      </w:pPr>
      <w:rPr>
        <w:rFonts w:hint="default" w:ascii="Courier New" w:hAnsi="Courier New"/>
      </w:rPr>
    </w:lvl>
    <w:lvl w:ilvl="8" w:tplc="76DC6F46">
      <w:start w:val="1"/>
      <w:numFmt w:val="bullet"/>
      <w:lvlText w:val=""/>
      <w:lvlJc w:val="left"/>
      <w:pPr>
        <w:ind w:left="6480" w:hanging="360"/>
      </w:pPr>
      <w:rPr>
        <w:rFonts w:hint="default" w:ascii="Wingdings" w:hAnsi="Wingdings"/>
      </w:rPr>
    </w:lvl>
  </w:abstractNum>
  <w:abstractNum w:abstractNumId="3" w15:restartNumberingAfterBreak="0">
    <w:nsid w:val="092D9CC7"/>
    <w:multiLevelType w:val="hybridMultilevel"/>
    <w:tmpl w:val="5C963CEC"/>
    <w:lvl w:ilvl="0" w:tplc="9F8C4B1C">
      <w:start w:val="1"/>
      <w:numFmt w:val="bullet"/>
      <w:lvlText w:val=""/>
      <w:lvlJc w:val="left"/>
      <w:pPr>
        <w:ind w:left="720" w:hanging="360"/>
      </w:pPr>
      <w:rPr>
        <w:rFonts w:hint="default" w:ascii="Symbol" w:hAnsi="Symbol"/>
      </w:rPr>
    </w:lvl>
    <w:lvl w:ilvl="1" w:tplc="C6C4E726">
      <w:start w:val="1"/>
      <w:numFmt w:val="bullet"/>
      <w:lvlText w:val="o"/>
      <w:lvlJc w:val="left"/>
      <w:pPr>
        <w:ind w:left="1440" w:hanging="360"/>
      </w:pPr>
      <w:rPr>
        <w:rFonts w:hint="default" w:ascii="Courier New" w:hAnsi="Courier New"/>
      </w:rPr>
    </w:lvl>
    <w:lvl w:ilvl="2" w:tplc="631A4DEC">
      <w:start w:val="1"/>
      <w:numFmt w:val="bullet"/>
      <w:lvlText w:val=""/>
      <w:lvlJc w:val="left"/>
      <w:pPr>
        <w:ind w:left="2160" w:hanging="360"/>
      </w:pPr>
      <w:rPr>
        <w:rFonts w:hint="default" w:ascii="Wingdings" w:hAnsi="Wingdings"/>
      </w:rPr>
    </w:lvl>
    <w:lvl w:ilvl="3" w:tplc="A64C1F62">
      <w:start w:val="1"/>
      <w:numFmt w:val="bullet"/>
      <w:lvlText w:val=""/>
      <w:lvlJc w:val="left"/>
      <w:pPr>
        <w:ind w:left="2880" w:hanging="360"/>
      </w:pPr>
      <w:rPr>
        <w:rFonts w:hint="default" w:ascii="Symbol" w:hAnsi="Symbol"/>
      </w:rPr>
    </w:lvl>
    <w:lvl w:ilvl="4" w:tplc="3954BEB2">
      <w:start w:val="1"/>
      <w:numFmt w:val="bullet"/>
      <w:lvlText w:val="o"/>
      <w:lvlJc w:val="left"/>
      <w:pPr>
        <w:ind w:left="3600" w:hanging="360"/>
      </w:pPr>
      <w:rPr>
        <w:rFonts w:hint="default" w:ascii="Courier New" w:hAnsi="Courier New"/>
      </w:rPr>
    </w:lvl>
    <w:lvl w:ilvl="5" w:tplc="315291E0">
      <w:start w:val="1"/>
      <w:numFmt w:val="bullet"/>
      <w:lvlText w:val=""/>
      <w:lvlJc w:val="left"/>
      <w:pPr>
        <w:ind w:left="4320" w:hanging="360"/>
      </w:pPr>
      <w:rPr>
        <w:rFonts w:hint="default" w:ascii="Wingdings" w:hAnsi="Wingdings"/>
      </w:rPr>
    </w:lvl>
    <w:lvl w:ilvl="6" w:tplc="CA329486">
      <w:start w:val="1"/>
      <w:numFmt w:val="bullet"/>
      <w:lvlText w:val=""/>
      <w:lvlJc w:val="left"/>
      <w:pPr>
        <w:ind w:left="5040" w:hanging="360"/>
      </w:pPr>
      <w:rPr>
        <w:rFonts w:hint="default" w:ascii="Symbol" w:hAnsi="Symbol"/>
      </w:rPr>
    </w:lvl>
    <w:lvl w:ilvl="7" w:tplc="70BEA03E">
      <w:start w:val="1"/>
      <w:numFmt w:val="bullet"/>
      <w:lvlText w:val="o"/>
      <w:lvlJc w:val="left"/>
      <w:pPr>
        <w:ind w:left="5760" w:hanging="360"/>
      </w:pPr>
      <w:rPr>
        <w:rFonts w:hint="default" w:ascii="Courier New" w:hAnsi="Courier New"/>
      </w:rPr>
    </w:lvl>
    <w:lvl w:ilvl="8" w:tplc="DB84E2BE">
      <w:start w:val="1"/>
      <w:numFmt w:val="bullet"/>
      <w:lvlText w:val=""/>
      <w:lvlJc w:val="left"/>
      <w:pPr>
        <w:ind w:left="6480" w:hanging="360"/>
      </w:pPr>
      <w:rPr>
        <w:rFonts w:hint="default" w:ascii="Wingdings" w:hAnsi="Wingdings"/>
      </w:rPr>
    </w:lvl>
  </w:abstractNum>
  <w:abstractNum w:abstractNumId="4" w15:restartNumberingAfterBreak="0">
    <w:nsid w:val="114B1E9B"/>
    <w:multiLevelType w:val="hybridMultilevel"/>
    <w:tmpl w:val="047442C0"/>
    <w:lvl w:ilvl="0" w:tplc="40C4F49E">
      <w:start w:val="1"/>
      <w:numFmt w:val="bullet"/>
      <w:lvlText w:val=""/>
      <w:lvlJc w:val="left"/>
      <w:pPr>
        <w:ind w:left="360" w:hanging="360"/>
      </w:pPr>
      <w:rPr>
        <w:rFonts w:hint="default" w:ascii="Symbol" w:hAnsi="Symbol"/>
      </w:rPr>
    </w:lvl>
    <w:lvl w:ilvl="1" w:tplc="11E86772">
      <w:start w:val="1"/>
      <w:numFmt w:val="bullet"/>
      <w:lvlText w:val="o"/>
      <w:lvlJc w:val="left"/>
      <w:pPr>
        <w:ind w:left="1440" w:hanging="360"/>
      </w:pPr>
      <w:rPr>
        <w:rFonts w:hint="default" w:ascii="Courier New" w:hAnsi="Courier New"/>
      </w:rPr>
    </w:lvl>
    <w:lvl w:ilvl="2" w:tplc="EB5EF8E6">
      <w:start w:val="1"/>
      <w:numFmt w:val="bullet"/>
      <w:lvlText w:val=""/>
      <w:lvlJc w:val="left"/>
      <w:pPr>
        <w:ind w:left="2160" w:hanging="360"/>
      </w:pPr>
      <w:rPr>
        <w:rFonts w:hint="default" w:ascii="Wingdings" w:hAnsi="Wingdings"/>
      </w:rPr>
    </w:lvl>
    <w:lvl w:ilvl="3" w:tplc="56161BE4">
      <w:start w:val="1"/>
      <w:numFmt w:val="bullet"/>
      <w:lvlText w:val=""/>
      <w:lvlJc w:val="left"/>
      <w:pPr>
        <w:ind w:left="2880" w:hanging="360"/>
      </w:pPr>
      <w:rPr>
        <w:rFonts w:hint="default" w:ascii="Symbol" w:hAnsi="Symbol"/>
      </w:rPr>
    </w:lvl>
    <w:lvl w:ilvl="4" w:tplc="8238131A">
      <w:start w:val="1"/>
      <w:numFmt w:val="bullet"/>
      <w:lvlText w:val="o"/>
      <w:lvlJc w:val="left"/>
      <w:pPr>
        <w:ind w:left="3600" w:hanging="360"/>
      </w:pPr>
      <w:rPr>
        <w:rFonts w:hint="default" w:ascii="Courier New" w:hAnsi="Courier New"/>
      </w:rPr>
    </w:lvl>
    <w:lvl w:ilvl="5" w:tplc="22BE3B76">
      <w:start w:val="1"/>
      <w:numFmt w:val="bullet"/>
      <w:lvlText w:val=""/>
      <w:lvlJc w:val="left"/>
      <w:pPr>
        <w:ind w:left="4320" w:hanging="360"/>
      </w:pPr>
      <w:rPr>
        <w:rFonts w:hint="default" w:ascii="Wingdings" w:hAnsi="Wingdings"/>
      </w:rPr>
    </w:lvl>
    <w:lvl w:ilvl="6" w:tplc="7C88F8D8">
      <w:start w:val="1"/>
      <w:numFmt w:val="bullet"/>
      <w:lvlText w:val=""/>
      <w:lvlJc w:val="left"/>
      <w:pPr>
        <w:ind w:left="5040" w:hanging="360"/>
      </w:pPr>
      <w:rPr>
        <w:rFonts w:hint="default" w:ascii="Symbol" w:hAnsi="Symbol"/>
      </w:rPr>
    </w:lvl>
    <w:lvl w:ilvl="7" w:tplc="4232F726">
      <w:start w:val="1"/>
      <w:numFmt w:val="bullet"/>
      <w:lvlText w:val="o"/>
      <w:lvlJc w:val="left"/>
      <w:pPr>
        <w:ind w:left="5760" w:hanging="360"/>
      </w:pPr>
      <w:rPr>
        <w:rFonts w:hint="default" w:ascii="Courier New" w:hAnsi="Courier New"/>
      </w:rPr>
    </w:lvl>
    <w:lvl w:ilvl="8" w:tplc="F636194E">
      <w:start w:val="1"/>
      <w:numFmt w:val="bullet"/>
      <w:lvlText w:val=""/>
      <w:lvlJc w:val="left"/>
      <w:pPr>
        <w:ind w:left="6480" w:hanging="360"/>
      </w:pPr>
      <w:rPr>
        <w:rFonts w:hint="default" w:ascii="Wingdings" w:hAnsi="Wingdings"/>
      </w:rPr>
    </w:lvl>
  </w:abstractNum>
  <w:abstractNum w:abstractNumId="5" w15:restartNumberingAfterBreak="0">
    <w:nsid w:val="15A40292"/>
    <w:multiLevelType w:val="hybridMultilevel"/>
    <w:tmpl w:val="9424AA28"/>
    <w:lvl w:ilvl="0" w:tplc="31EA62E8">
      <w:start w:val="1"/>
      <w:numFmt w:val="bullet"/>
      <w:lvlText w:val=""/>
      <w:lvlJc w:val="left"/>
      <w:pPr>
        <w:ind w:left="720" w:hanging="360"/>
      </w:pPr>
      <w:rPr>
        <w:rFonts w:hint="default" w:ascii="Symbol" w:hAnsi="Symbol"/>
      </w:rPr>
    </w:lvl>
    <w:lvl w:ilvl="1" w:tplc="F356AA38">
      <w:start w:val="1"/>
      <w:numFmt w:val="bullet"/>
      <w:lvlText w:val="o"/>
      <w:lvlJc w:val="left"/>
      <w:pPr>
        <w:ind w:left="1440" w:hanging="360"/>
      </w:pPr>
      <w:rPr>
        <w:rFonts w:hint="default" w:ascii="Courier New" w:hAnsi="Courier New"/>
      </w:rPr>
    </w:lvl>
    <w:lvl w:ilvl="2" w:tplc="B8CCF85E">
      <w:start w:val="1"/>
      <w:numFmt w:val="bullet"/>
      <w:lvlText w:val=""/>
      <w:lvlJc w:val="left"/>
      <w:pPr>
        <w:ind w:left="2160" w:hanging="360"/>
      </w:pPr>
      <w:rPr>
        <w:rFonts w:hint="default" w:ascii="Wingdings" w:hAnsi="Wingdings"/>
      </w:rPr>
    </w:lvl>
    <w:lvl w:ilvl="3" w:tplc="BBA09D1E">
      <w:start w:val="1"/>
      <w:numFmt w:val="bullet"/>
      <w:lvlText w:val=""/>
      <w:lvlJc w:val="left"/>
      <w:pPr>
        <w:ind w:left="2880" w:hanging="360"/>
      </w:pPr>
      <w:rPr>
        <w:rFonts w:hint="default" w:ascii="Symbol" w:hAnsi="Symbol"/>
      </w:rPr>
    </w:lvl>
    <w:lvl w:ilvl="4" w:tplc="3108895E">
      <w:start w:val="1"/>
      <w:numFmt w:val="bullet"/>
      <w:lvlText w:val="o"/>
      <w:lvlJc w:val="left"/>
      <w:pPr>
        <w:ind w:left="3600" w:hanging="360"/>
      </w:pPr>
      <w:rPr>
        <w:rFonts w:hint="default" w:ascii="Courier New" w:hAnsi="Courier New"/>
      </w:rPr>
    </w:lvl>
    <w:lvl w:ilvl="5" w:tplc="3C06242A">
      <w:start w:val="1"/>
      <w:numFmt w:val="bullet"/>
      <w:lvlText w:val=""/>
      <w:lvlJc w:val="left"/>
      <w:pPr>
        <w:ind w:left="4320" w:hanging="360"/>
      </w:pPr>
      <w:rPr>
        <w:rFonts w:hint="default" w:ascii="Wingdings" w:hAnsi="Wingdings"/>
      </w:rPr>
    </w:lvl>
    <w:lvl w:ilvl="6" w:tplc="C0CE2BBC">
      <w:start w:val="1"/>
      <w:numFmt w:val="bullet"/>
      <w:lvlText w:val=""/>
      <w:lvlJc w:val="left"/>
      <w:pPr>
        <w:ind w:left="5040" w:hanging="360"/>
      </w:pPr>
      <w:rPr>
        <w:rFonts w:hint="default" w:ascii="Symbol" w:hAnsi="Symbol"/>
      </w:rPr>
    </w:lvl>
    <w:lvl w:ilvl="7" w:tplc="16866212">
      <w:start w:val="1"/>
      <w:numFmt w:val="bullet"/>
      <w:lvlText w:val="o"/>
      <w:lvlJc w:val="left"/>
      <w:pPr>
        <w:ind w:left="5760" w:hanging="360"/>
      </w:pPr>
      <w:rPr>
        <w:rFonts w:hint="default" w:ascii="Courier New" w:hAnsi="Courier New"/>
      </w:rPr>
    </w:lvl>
    <w:lvl w:ilvl="8" w:tplc="AEF2153A">
      <w:start w:val="1"/>
      <w:numFmt w:val="bullet"/>
      <w:lvlText w:val=""/>
      <w:lvlJc w:val="left"/>
      <w:pPr>
        <w:ind w:left="6480" w:hanging="360"/>
      </w:pPr>
      <w:rPr>
        <w:rFonts w:hint="default" w:ascii="Wingdings" w:hAnsi="Wingdings"/>
      </w:rPr>
    </w:lvl>
  </w:abstractNum>
  <w:abstractNum w:abstractNumId="6" w15:restartNumberingAfterBreak="0">
    <w:nsid w:val="174E890A"/>
    <w:multiLevelType w:val="hybridMultilevel"/>
    <w:tmpl w:val="36DC1212"/>
    <w:lvl w:ilvl="0" w:tplc="B4BE7AD4">
      <w:start w:val="1"/>
      <w:numFmt w:val="bullet"/>
      <w:lvlText w:val=""/>
      <w:lvlJc w:val="left"/>
      <w:pPr>
        <w:ind w:left="720" w:hanging="360"/>
      </w:pPr>
      <w:rPr>
        <w:rFonts w:hint="default" w:ascii="Symbol" w:hAnsi="Symbol"/>
      </w:rPr>
    </w:lvl>
    <w:lvl w:ilvl="1" w:tplc="8750733C">
      <w:start w:val="1"/>
      <w:numFmt w:val="bullet"/>
      <w:lvlText w:val="o"/>
      <w:lvlJc w:val="left"/>
      <w:pPr>
        <w:ind w:left="1440" w:hanging="360"/>
      </w:pPr>
      <w:rPr>
        <w:rFonts w:hint="default" w:ascii="Courier New" w:hAnsi="Courier New"/>
      </w:rPr>
    </w:lvl>
    <w:lvl w:ilvl="2" w:tplc="62D60EFE">
      <w:start w:val="1"/>
      <w:numFmt w:val="bullet"/>
      <w:lvlText w:val=""/>
      <w:lvlJc w:val="left"/>
      <w:pPr>
        <w:ind w:left="2160" w:hanging="360"/>
      </w:pPr>
      <w:rPr>
        <w:rFonts w:hint="default" w:ascii="Wingdings" w:hAnsi="Wingdings"/>
      </w:rPr>
    </w:lvl>
    <w:lvl w:ilvl="3" w:tplc="88E8A25E">
      <w:start w:val="1"/>
      <w:numFmt w:val="bullet"/>
      <w:lvlText w:val=""/>
      <w:lvlJc w:val="left"/>
      <w:pPr>
        <w:ind w:left="2880" w:hanging="360"/>
      </w:pPr>
      <w:rPr>
        <w:rFonts w:hint="default" w:ascii="Symbol" w:hAnsi="Symbol"/>
      </w:rPr>
    </w:lvl>
    <w:lvl w:ilvl="4" w:tplc="8FBEE26A">
      <w:start w:val="1"/>
      <w:numFmt w:val="bullet"/>
      <w:lvlText w:val="o"/>
      <w:lvlJc w:val="left"/>
      <w:pPr>
        <w:ind w:left="3600" w:hanging="360"/>
      </w:pPr>
      <w:rPr>
        <w:rFonts w:hint="default" w:ascii="Courier New" w:hAnsi="Courier New"/>
      </w:rPr>
    </w:lvl>
    <w:lvl w:ilvl="5" w:tplc="8CE46C38">
      <w:start w:val="1"/>
      <w:numFmt w:val="bullet"/>
      <w:lvlText w:val=""/>
      <w:lvlJc w:val="left"/>
      <w:pPr>
        <w:ind w:left="4320" w:hanging="360"/>
      </w:pPr>
      <w:rPr>
        <w:rFonts w:hint="default" w:ascii="Wingdings" w:hAnsi="Wingdings"/>
      </w:rPr>
    </w:lvl>
    <w:lvl w:ilvl="6" w:tplc="1584D828">
      <w:start w:val="1"/>
      <w:numFmt w:val="bullet"/>
      <w:lvlText w:val=""/>
      <w:lvlJc w:val="left"/>
      <w:pPr>
        <w:ind w:left="5040" w:hanging="360"/>
      </w:pPr>
      <w:rPr>
        <w:rFonts w:hint="default" w:ascii="Symbol" w:hAnsi="Symbol"/>
      </w:rPr>
    </w:lvl>
    <w:lvl w:ilvl="7" w:tplc="F8D0E12C">
      <w:start w:val="1"/>
      <w:numFmt w:val="bullet"/>
      <w:lvlText w:val="o"/>
      <w:lvlJc w:val="left"/>
      <w:pPr>
        <w:ind w:left="5760" w:hanging="360"/>
      </w:pPr>
      <w:rPr>
        <w:rFonts w:hint="default" w:ascii="Courier New" w:hAnsi="Courier New"/>
      </w:rPr>
    </w:lvl>
    <w:lvl w:ilvl="8" w:tplc="FC8AFE12">
      <w:start w:val="1"/>
      <w:numFmt w:val="bullet"/>
      <w:lvlText w:val=""/>
      <w:lvlJc w:val="left"/>
      <w:pPr>
        <w:ind w:left="6480" w:hanging="360"/>
      </w:pPr>
      <w:rPr>
        <w:rFonts w:hint="default" w:ascii="Wingdings" w:hAnsi="Wingdings"/>
      </w:rPr>
    </w:lvl>
  </w:abstractNum>
  <w:abstractNum w:abstractNumId="7" w15:restartNumberingAfterBreak="0">
    <w:nsid w:val="1DF6160D"/>
    <w:multiLevelType w:val="hybridMultilevel"/>
    <w:tmpl w:val="215C4672"/>
    <w:lvl w:ilvl="0" w:tplc="D28CF266">
      <w:start w:val="1"/>
      <w:numFmt w:val="bullet"/>
      <w:lvlText w:val=""/>
      <w:lvlJc w:val="left"/>
      <w:pPr>
        <w:ind w:left="720" w:hanging="360"/>
      </w:pPr>
      <w:rPr>
        <w:rFonts w:hint="default" w:ascii="Symbol" w:hAnsi="Symbol"/>
      </w:rPr>
    </w:lvl>
    <w:lvl w:ilvl="1" w:tplc="F614E404">
      <w:start w:val="1"/>
      <w:numFmt w:val="bullet"/>
      <w:lvlText w:val="o"/>
      <w:lvlJc w:val="left"/>
      <w:pPr>
        <w:ind w:left="1440" w:hanging="360"/>
      </w:pPr>
      <w:rPr>
        <w:rFonts w:hint="default" w:ascii="Courier New" w:hAnsi="Courier New"/>
      </w:rPr>
    </w:lvl>
    <w:lvl w:ilvl="2" w:tplc="F3BE719A">
      <w:start w:val="1"/>
      <w:numFmt w:val="bullet"/>
      <w:lvlText w:val=""/>
      <w:lvlJc w:val="left"/>
      <w:pPr>
        <w:ind w:left="2160" w:hanging="360"/>
      </w:pPr>
      <w:rPr>
        <w:rFonts w:hint="default" w:ascii="Wingdings" w:hAnsi="Wingdings"/>
      </w:rPr>
    </w:lvl>
    <w:lvl w:ilvl="3" w:tplc="A16C2252">
      <w:start w:val="1"/>
      <w:numFmt w:val="bullet"/>
      <w:lvlText w:val=""/>
      <w:lvlJc w:val="left"/>
      <w:pPr>
        <w:ind w:left="2880" w:hanging="360"/>
      </w:pPr>
      <w:rPr>
        <w:rFonts w:hint="default" w:ascii="Symbol" w:hAnsi="Symbol"/>
      </w:rPr>
    </w:lvl>
    <w:lvl w:ilvl="4" w:tplc="FC420AD0">
      <w:start w:val="1"/>
      <w:numFmt w:val="bullet"/>
      <w:lvlText w:val="o"/>
      <w:lvlJc w:val="left"/>
      <w:pPr>
        <w:ind w:left="3600" w:hanging="360"/>
      </w:pPr>
      <w:rPr>
        <w:rFonts w:hint="default" w:ascii="Courier New" w:hAnsi="Courier New"/>
      </w:rPr>
    </w:lvl>
    <w:lvl w:ilvl="5" w:tplc="12800EE8">
      <w:start w:val="1"/>
      <w:numFmt w:val="bullet"/>
      <w:lvlText w:val=""/>
      <w:lvlJc w:val="left"/>
      <w:pPr>
        <w:ind w:left="4320" w:hanging="360"/>
      </w:pPr>
      <w:rPr>
        <w:rFonts w:hint="default" w:ascii="Wingdings" w:hAnsi="Wingdings"/>
      </w:rPr>
    </w:lvl>
    <w:lvl w:ilvl="6" w:tplc="215658C4">
      <w:start w:val="1"/>
      <w:numFmt w:val="bullet"/>
      <w:lvlText w:val=""/>
      <w:lvlJc w:val="left"/>
      <w:pPr>
        <w:ind w:left="5040" w:hanging="360"/>
      </w:pPr>
      <w:rPr>
        <w:rFonts w:hint="default" w:ascii="Symbol" w:hAnsi="Symbol"/>
      </w:rPr>
    </w:lvl>
    <w:lvl w:ilvl="7" w:tplc="B08090BC">
      <w:start w:val="1"/>
      <w:numFmt w:val="bullet"/>
      <w:lvlText w:val="o"/>
      <w:lvlJc w:val="left"/>
      <w:pPr>
        <w:ind w:left="5760" w:hanging="360"/>
      </w:pPr>
      <w:rPr>
        <w:rFonts w:hint="default" w:ascii="Courier New" w:hAnsi="Courier New"/>
      </w:rPr>
    </w:lvl>
    <w:lvl w:ilvl="8" w:tplc="0AB658EC">
      <w:start w:val="1"/>
      <w:numFmt w:val="bullet"/>
      <w:lvlText w:val=""/>
      <w:lvlJc w:val="left"/>
      <w:pPr>
        <w:ind w:left="6480" w:hanging="360"/>
      </w:pPr>
      <w:rPr>
        <w:rFonts w:hint="default" w:ascii="Wingdings" w:hAnsi="Wingdings"/>
      </w:rPr>
    </w:lvl>
  </w:abstractNum>
  <w:abstractNum w:abstractNumId="8" w15:restartNumberingAfterBreak="0">
    <w:nsid w:val="1E46B624"/>
    <w:multiLevelType w:val="hybridMultilevel"/>
    <w:tmpl w:val="9864B6A2"/>
    <w:lvl w:ilvl="0" w:tplc="152EE28C">
      <w:start w:val="1"/>
      <w:numFmt w:val="bullet"/>
      <w:lvlText w:val=""/>
      <w:lvlJc w:val="left"/>
      <w:pPr>
        <w:ind w:left="720" w:hanging="360"/>
      </w:pPr>
      <w:rPr>
        <w:rFonts w:hint="default" w:ascii="Symbol" w:hAnsi="Symbol"/>
      </w:rPr>
    </w:lvl>
    <w:lvl w:ilvl="1" w:tplc="A4B2B8B2">
      <w:start w:val="1"/>
      <w:numFmt w:val="bullet"/>
      <w:lvlText w:val="o"/>
      <w:lvlJc w:val="left"/>
      <w:pPr>
        <w:ind w:left="1440" w:hanging="360"/>
      </w:pPr>
      <w:rPr>
        <w:rFonts w:hint="default" w:ascii="Courier New" w:hAnsi="Courier New"/>
      </w:rPr>
    </w:lvl>
    <w:lvl w:ilvl="2" w:tplc="F230ACF2">
      <w:start w:val="1"/>
      <w:numFmt w:val="bullet"/>
      <w:lvlText w:val=""/>
      <w:lvlJc w:val="left"/>
      <w:pPr>
        <w:ind w:left="2160" w:hanging="360"/>
      </w:pPr>
      <w:rPr>
        <w:rFonts w:hint="default" w:ascii="Wingdings" w:hAnsi="Wingdings"/>
      </w:rPr>
    </w:lvl>
    <w:lvl w:ilvl="3" w:tplc="66D8FD12">
      <w:start w:val="1"/>
      <w:numFmt w:val="bullet"/>
      <w:lvlText w:val=""/>
      <w:lvlJc w:val="left"/>
      <w:pPr>
        <w:ind w:left="2880" w:hanging="360"/>
      </w:pPr>
      <w:rPr>
        <w:rFonts w:hint="default" w:ascii="Symbol" w:hAnsi="Symbol"/>
      </w:rPr>
    </w:lvl>
    <w:lvl w:ilvl="4" w:tplc="44EA1EC8">
      <w:start w:val="1"/>
      <w:numFmt w:val="bullet"/>
      <w:lvlText w:val="o"/>
      <w:lvlJc w:val="left"/>
      <w:pPr>
        <w:ind w:left="3600" w:hanging="360"/>
      </w:pPr>
      <w:rPr>
        <w:rFonts w:hint="default" w:ascii="Courier New" w:hAnsi="Courier New"/>
      </w:rPr>
    </w:lvl>
    <w:lvl w:ilvl="5" w:tplc="27ECD4DC">
      <w:start w:val="1"/>
      <w:numFmt w:val="bullet"/>
      <w:lvlText w:val=""/>
      <w:lvlJc w:val="left"/>
      <w:pPr>
        <w:ind w:left="4320" w:hanging="360"/>
      </w:pPr>
      <w:rPr>
        <w:rFonts w:hint="default" w:ascii="Wingdings" w:hAnsi="Wingdings"/>
      </w:rPr>
    </w:lvl>
    <w:lvl w:ilvl="6" w:tplc="75363032">
      <w:start w:val="1"/>
      <w:numFmt w:val="bullet"/>
      <w:lvlText w:val=""/>
      <w:lvlJc w:val="left"/>
      <w:pPr>
        <w:ind w:left="5040" w:hanging="360"/>
      </w:pPr>
      <w:rPr>
        <w:rFonts w:hint="default" w:ascii="Symbol" w:hAnsi="Symbol"/>
      </w:rPr>
    </w:lvl>
    <w:lvl w:ilvl="7" w:tplc="3652416A">
      <w:start w:val="1"/>
      <w:numFmt w:val="bullet"/>
      <w:lvlText w:val="o"/>
      <w:lvlJc w:val="left"/>
      <w:pPr>
        <w:ind w:left="5760" w:hanging="360"/>
      </w:pPr>
      <w:rPr>
        <w:rFonts w:hint="default" w:ascii="Courier New" w:hAnsi="Courier New"/>
      </w:rPr>
    </w:lvl>
    <w:lvl w:ilvl="8" w:tplc="0EDECA9A">
      <w:start w:val="1"/>
      <w:numFmt w:val="bullet"/>
      <w:lvlText w:val=""/>
      <w:lvlJc w:val="left"/>
      <w:pPr>
        <w:ind w:left="6480" w:hanging="360"/>
      </w:pPr>
      <w:rPr>
        <w:rFonts w:hint="default" w:ascii="Wingdings" w:hAnsi="Wingdings"/>
      </w:rPr>
    </w:lvl>
  </w:abstractNum>
  <w:abstractNum w:abstractNumId="9" w15:restartNumberingAfterBreak="0">
    <w:nsid w:val="1E7F73E0"/>
    <w:multiLevelType w:val="hybridMultilevel"/>
    <w:tmpl w:val="B9708684"/>
    <w:lvl w:ilvl="0" w:tplc="0D586A9E">
      <w:start w:val="1"/>
      <w:numFmt w:val="bullet"/>
      <w:lvlText w:val=""/>
      <w:lvlJc w:val="left"/>
      <w:pPr>
        <w:ind w:left="360" w:hanging="360"/>
      </w:pPr>
      <w:rPr>
        <w:rFonts w:hint="default" w:ascii="Symbol" w:hAnsi="Symbol"/>
      </w:rPr>
    </w:lvl>
    <w:lvl w:ilvl="1" w:tplc="CC92BCCC">
      <w:start w:val="1"/>
      <w:numFmt w:val="bullet"/>
      <w:lvlText w:val="o"/>
      <w:lvlJc w:val="left"/>
      <w:pPr>
        <w:ind w:left="1440" w:hanging="360"/>
      </w:pPr>
      <w:rPr>
        <w:rFonts w:hint="default" w:ascii="Courier New" w:hAnsi="Courier New"/>
      </w:rPr>
    </w:lvl>
    <w:lvl w:ilvl="2" w:tplc="843675F2">
      <w:start w:val="1"/>
      <w:numFmt w:val="bullet"/>
      <w:lvlText w:val=""/>
      <w:lvlJc w:val="left"/>
      <w:pPr>
        <w:ind w:left="2160" w:hanging="360"/>
      </w:pPr>
      <w:rPr>
        <w:rFonts w:hint="default" w:ascii="Wingdings" w:hAnsi="Wingdings"/>
      </w:rPr>
    </w:lvl>
    <w:lvl w:ilvl="3" w:tplc="60364EEA">
      <w:start w:val="1"/>
      <w:numFmt w:val="bullet"/>
      <w:lvlText w:val=""/>
      <w:lvlJc w:val="left"/>
      <w:pPr>
        <w:ind w:left="2880" w:hanging="360"/>
      </w:pPr>
      <w:rPr>
        <w:rFonts w:hint="default" w:ascii="Symbol" w:hAnsi="Symbol"/>
      </w:rPr>
    </w:lvl>
    <w:lvl w:ilvl="4" w:tplc="C7349B86">
      <w:start w:val="1"/>
      <w:numFmt w:val="bullet"/>
      <w:lvlText w:val="o"/>
      <w:lvlJc w:val="left"/>
      <w:pPr>
        <w:ind w:left="3600" w:hanging="360"/>
      </w:pPr>
      <w:rPr>
        <w:rFonts w:hint="default" w:ascii="Courier New" w:hAnsi="Courier New"/>
      </w:rPr>
    </w:lvl>
    <w:lvl w:ilvl="5" w:tplc="06066A8A">
      <w:start w:val="1"/>
      <w:numFmt w:val="bullet"/>
      <w:lvlText w:val=""/>
      <w:lvlJc w:val="left"/>
      <w:pPr>
        <w:ind w:left="4320" w:hanging="360"/>
      </w:pPr>
      <w:rPr>
        <w:rFonts w:hint="default" w:ascii="Wingdings" w:hAnsi="Wingdings"/>
      </w:rPr>
    </w:lvl>
    <w:lvl w:ilvl="6" w:tplc="C3FAF68E">
      <w:start w:val="1"/>
      <w:numFmt w:val="bullet"/>
      <w:lvlText w:val=""/>
      <w:lvlJc w:val="left"/>
      <w:pPr>
        <w:ind w:left="5040" w:hanging="360"/>
      </w:pPr>
      <w:rPr>
        <w:rFonts w:hint="default" w:ascii="Symbol" w:hAnsi="Symbol"/>
      </w:rPr>
    </w:lvl>
    <w:lvl w:ilvl="7" w:tplc="5ABC726A">
      <w:start w:val="1"/>
      <w:numFmt w:val="bullet"/>
      <w:lvlText w:val="o"/>
      <w:lvlJc w:val="left"/>
      <w:pPr>
        <w:ind w:left="5760" w:hanging="360"/>
      </w:pPr>
      <w:rPr>
        <w:rFonts w:hint="default" w:ascii="Courier New" w:hAnsi="Courier New"/>
      </w:rPr>
    </w:lvl>
    <w:lvl w:ilvl="8" w:tplc="CE5EAAE0">
      <w:start w:val="1"/>
      <w:numFmt w:val="bullet"/>
      <w:lvlText w:val=""/>
      <w:lvlJc w:val="left"/>
      <w:pPr>
        <w:ind w:left="6480" w:hanging="360"/>
      </w:pPr>
      <w:rPr>
        <w:rFonts w:hint="default" w:ascii="Wingdings" w:hAnsi="Wingdings"/>
      </w:rPr>
    </w:lvl>
  </w:abstractNum>
  <w:abstractNum w:abstractNumId="10" w15:restartNumberingAfterBreak="0">
    <w:nsid w:val="25B262FB"/>
    <w:multiLevelType w:val="multilevel"/>
    <w:tmpl w:val="3216BF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95F6664"/>
    <w:multiLevelType w:val="hybridMultilevel"/>
    <w:tmpl w:val="FFFFFFFF"/>
    <w:lvl w:ilvl="0" w:tplc="D048E892">
      <w:start w:val="1"/>
      <w:numFmt w:val="bullet"/>
      <w:lvlText w:val="•"/>
      <w:lvlJc w:val="left"/>
      <w:pPr>
        <w:ind w:left="500" w:hanging="280"/>
      </w:pPr>
    </w:lvl>
    <w:lvl w:ilvl="1" w:tplc="E68E651A">
      <w:numFmt w:val="decimal"/>
      <w:lvlText w:val=""/>
      <w:lvlJc w:val="left"/>
    </w:lvl>
    <w:lvl w:ilvl="2" w:tplc="09E4B68E">
      <w:numFmt w:val="decimal"/>
      <w:lvlText w:val=""/>
      <w:lvlJc w:val="left"/>
    </w:lvl>
    <w:lvl w:ilvl="3" w:tplc="F98C2904">
      <w:numFmt w:val="decimal"/>
      <w:lvlText w:val=""/>
      <w:lvlJc w:val="left"/>
    </w:lvl>
    <w:lvl w:ilvl="4" w:tplc="F274F724">
      <w:numFmt w:val="decimal"/>
      <w:lvlText w:val=""/>
      <w:lvlJc w:val="left"/>
    </w:lvl>
    <w:lvl w:ilvl="5" w:tplc="E9A2B018">
      <w:numFmt w:val="decimal"/>
      <w:lvlText w:val=""/>
      <w:lvlJc w:val="left"/>
    </w:lvl>
    <w:lvl w:ilvl="6" w:tplc="F6D04D2E">
      <w:numFmt w:val="decimal"/>
      <w:lvlText w:val=""/>
      <w:lvlJc w:val="left"/>
    </w:lvl>
    <w:lvl w:ilvl="7" w:tplc="5E4CF046">
      <w:numFmt w:val="decimal"/>
      <w:lvlText w:val=""/>
      <w:lvlJc w:val="left"/>
    </w:lvl>
    <w:lvl w:ilvl="8" w:tplc="4D7AA2F8">
      <w:numFmt w:val="decimal"/>
      <w:lvlText w:val=""/>
      <w:lvlJc w:val="left"/>
    </w:lvl>
  </w:abstractNum>
  <w:abstractNum w:abstractNumId="12" w15:restartNumberingAfterBreak="0">
    <w:nsid w:val="2CDD4C79"/>
    <w:multiLevelType w:val="multilevel"/>
    <w:tmpl w:val="2D7AFF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E04CD9E"/>
    <w:multiLevelType w:val="hybridMultilevel"/>
    <w:tmpl w:val="990E5828"/>
    <w:lvl w:ilvl="0" w:tplc="75B4F708">
      <w:start w:val="1"/>
      <w:numFmt w:val="bullet"/>
      <w:lvlText w:val=""/>
      <w:lvlJc w:val="left"/>
      <w:pPr>
        <w:ind w:left="720" w:hanging="360"/>
      </w:pPr>
      <w:rPr>
        <w:rFonts w:hint="default" w:ascii="Symbol" w:hAnsi="Symbol"/>
      </w:rPr>
    </w:lvl>
    <w:lvl w:ilvl="1" w:tplc="9A48572C">
      <w:start w:val="1"/>
      <w:numFmt w:val="bullet"/>
      <w:lvlText w:val="o"/>
      <w:lvlJc w:val="left"/>
      <w:pPr>
        <w:ind w:left="1440" w:hanging="360"/>
      </w:pPr>
      <w:rPr>
        <w:rFonts w:hint="default" w:ascii="Courier New" w:hAnsi="Courier New"/>
      </w:rPr>
    </w:lvl>
    <w:lvl w:ilvl="2" w:tplc="B5CA98FC">
      <w:start w:val="1"/>
      <w:numFmt w:val="bullet"/>
      <w:lvlText w:val=""/>
      <w:lvlJc w:val="left"/>
      <w:pPr>
        <w:ind w:left="2160" w:hanging="360"/>
      </w:pPr>
      <w:rPr>
        <w:rFonts w:hint="default" w:ascii="Wingdings" w:hAnsi="Wingdings"/>
      </w:rPr>
    </w:lvl>
    <w:lvl w:ilvl="3" w:tplc="980EE8F6">
      <w:start w:val="1"/>
      <w:numFmt w:val="bullet"/>
      <w:lvlText w:val=""/>
      <w:lvlJc w:val="left"/>
      <w:pPr>
        <w:ind w:left="2880" w:hanging="360"/>
      </w:pPr>
      <w:rPr>
        <w:rFonts w:hint="default" w:ascii="Symbol" w:hAnsi="Symbol"/>
      </w:rPr>
    </w:lvl>
    <w:lvl w:ilvl="4" w:tplc="CA128780">
      <w:start w:val="1"/>
      <w:numFmt w:val="bullet"/>
      <w:lvlText w:val="o"/>
      <w:lvlJc w:val="left"/>
      <w:pPr>
        <w:ind w:left="3600" w:hanging="360"/>
      </w:pPr>
      <w:rPr>
        <w:rFonts w:hint="default" w:ascii="Courier New" w:hAnsi="Courier New"/>
      </w:rPr>
    </w:lvl>
    <w:lvl w:ilvl="5" w:tplc="DF1CE614">
      <w:start w:val="1"/>
      <w:numFmt w:val="bullet"/>
      <w:lvlText w:val=""/>
      <w:lvlJc w:val="left"/>
      <w:pPr>
        <w:ind w:left="4320" w:hanging="360"/>
      </w:pPr>
      <w:rPr>
        <w:rFonts w:hint="default" w:ascii="Wingdings" w:hAnsi="Wingdings"/>
      </w:rPr>
    </w:lvl>
    <w:lvl w:ilvl="6" w:tplc="2A7A1698">
      <w:start w:val="1"/>
      <w:numFmt w:val="bullet"/>
      <w:lvlText w:val=""/>
      <w:lvlJc w:val="left"/>
      <w:pPr>
        <w:ind w:left="5040" w:hanging="360"/>
      </w:pPr>
      <w:rPr>
        <w:rFonts w:hint="default" w:ascii="Symbol" w:hAnsi="Symbol"/>
      </w:rPr>
    </w:lvl>
    <w:lvl w:ilvl="7" w:tplc="0D9EAD98">
      <w:start w:val="1"/>
      <w:numFmt w:val="bullet"/>
      <w:lvlText w:val="o"/>
      <w:lvlJc w:val="left"/>
      <w:pPr>
        <w:ind w:left="5760" w:hanging="360"/>
      </w:pPr>
      <w:rPr>
        <w:rFonts w:hint="default" w:ascii="Courier New" w:hAnsi="Courier New"/>
      </w:rPr>
    </w:lvl>
    <w:lvl w:ilvl="8" w:tplc="3BC2D2AA">
      <w:start w:val="1"/>
      <w:numFmt w:val="bullet"/>
      <w:lvlText w:val=""/>
      <w:lvlJc w:val="left"/>
      <w:pPr>
        <w:ind w:left="6480" w:hanging="360"/>
      </w:pPr>
      <w:rPr>
        <w:rFonts w:hint="default" w:ascii="Wingdings" w:hAnsi="Wingdings"/>
      </w:rPr>
    </w:lvl>
  </w:abstractNum>
  <w:abstractNum w:abstractNumId="14" w15:restartNumberingAfterBreak="0">
    <w:nsid w:val="324B9E46"/>
    <w:multiLevelType w:val="multilevel"/>
    <w:tmpl w:val="58482F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97E2C38"/>
    <w:multiLevelType w:val="multilevel"/>
    <w:tmpl w:val="317E36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BE4F08E"/>
    <w:multiLevelType w:val="hybridMultilevel"/>
    <w:tmpl w:val="B04AA716"/>
    <w:lvl w:ilvl="0" w:tplc="9A30BC98">
      <w:start w:val="1"/>
      <w:numFmt w:val="bullet"/>
      <w:lvlText w:val=""/>
      <w:lvlJc w:val="left"/>
      <w:pPr>
        <w:ind w:left="720" w:hanging="360"/>
      </w:pPr>
      <w:rPr>
        <w:rFonts w:hint="default" w:ascii="Symbol" w:hAnsi="Symbol"/>
      </w:rPr>
    </w:lvl>
    <w:lvl w:ilvl="1" w:tplc="C2FAA228">
      <w:start w:val="1"/>
      <w:numFmt w:val="bullet"/>
      <w:lvlText w:val="o"/>
      <w:lvlJc w:val="left"/>
      <w:pPr>
        <w:ind w:left="1440" w:hanging="360"/>
      </w:pPr>
      <w:rPr>
        <w:rFonts w:hint="default" w:ascii="Courier New" w:hAnsi="Courier New"/>
      </w:rPr>
    </w:lvl>
    <w:lvl w:ilvl="2" w:tplc="79621330">
      <w:start w:val="1"/>
      <w:numFmt w:val="bullet"/>
      <w:lvlText w:val=""/>
      <w:lvlJc w:val="left"/>
      <w:pPr>
        <w:ind w:left="2160" w:hanging="360"/>
      </w:pPr>
      <w:rPr>
        <w:rFonts w:hint="default" w:ascii="Wingdings" w:hAnsi="Wingdings"/>
      </w:rPr>
    </w:lvl>
    <w:lvl w:ilvl="3" w:tplc="8F24F4DA">
      <w:start w:val="1"/>
      <w:numFmt w:val="bullet"/>
      <w:lvlText w:val=""/>
      <w:lvlJc w:val="left"/>
      <w:pPr>
        <w:ind w:left="2880" w:hanging="360"/>
      </w:pPr>
      <w:rPr>
        <w:rFonts w:hint="default" w:ascii="Symbol" w:hAnsi="Symbol"/>
      </w:rPr>
    </w:lvl>
    <w:lvl w:ilvl="4" w:tplc="E8DCD36E">
      <w:start w:val="1"/>
      <w:numFmt w:val="bullet"/>
      <w:lvlText w:val="o"/>
      <w:lvlJc w:val="left"/>
      <w:pPr>
        <w:ind w:left="3600" w:hanging="360"/>
      </w:pPr>
      <w:rPr>
        <w:rFonts w:hint="default" w:ascii="Courier New" w:hAnsi="Courier New"/>
      </w:rPr>
    </w:lvl>
    <w:lvl w:ilvl="5" w:tplc="C69283B0">
      <w:start w:val="1"/>
      <w:numFmt w:val="bullet"/>
      <w:lvlText w:val=""/>
      <w:lvlJc w:val="left"/>
      <w:pPr>
        <w:ind w:left="4320" w:hanging="360"/>
      </w:pPr>
      <w:rPr>
        <w:rFonts w:hint="default" w:ascii="Wingdings" w:hAnsi="Wingdings"/>
      </w:rPr>
    </w:lvl>
    <w:lvl w:ilvl="6" w:tplc="9F528F36">
      <w:start w:val="1"/>
      <w:numFmt w:val="bullet"/>
      <w:lvlText w:val=""/>
      <w:lvlJc w:val="left"/>
      <w:pPr>
        <w:ind w:left="5040" w:hanging="360"/>
      </w:pPr>
      <w:rPr>
        <w:rFonts w:hint="default" w:ascii="Symbol" w:hAnsi="Symbol"/>
      </w:rPr>
    </w:lvl>
    <w:lvl w:ilvl="7" w:tplc="7D0CD582">
      <w:start w:val="1"/>
      <w:numFmt w:val="bullet"/>
      <w:lvlText w:val="o"/>
      <w:lvlJc w:val="left"/>
      <w:pPr>
        <w:ind w:left="5760" w:hanging="360"/>
      </w:pPr>
      <w:rPr>
        <w:rFonts w:hint="default" w:ascii="Courier New" w:hAnsi="Courier New"/>
      </w:rPr>
    </w:lvl>
    <w:lvl w:ilvl="8" w:tplc="8C680E02">
      <w:start w:val="1"/>
      <w:numFmt w:val="bullet"/>
      <w:lvlText w:val=""/>
      <w:lvlJc w:val="left"/>
      <w:pPr>
        <w:ind w:left="6480" w:hanging="360"/>
      </w:pPr>
      <w:rPr>
        <w:rFonts w:hint="default" w:ascii="Wingdings" w:hAnsi="Wingdings"/>
      </w:rPr>
    </w:lvl>
  </w:abstractNum>
  <w:abstractNum w:abstractNumId="17" w15:restartNumberingAfterBreak="0">
    <w:nsid w:val="496CA1F9"/>
    <w:multiLevelType w:val="multilevel"/>
    <w:tmpl w:val="572806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A80667B"/>
    <w:multiLevelType w:val="hybridMultilevel"/>
    <w:tmpl w:val="8EDE725E"/>
    <w:lvl w:ilvl="0" w:tplc="42B6B364">
      <w:start w:val="1"/>
      <w:numFmt w:val="decimal"/>
      <w:lvlText w:val="%1."/>
      <w:lvlJc w:val="left"/>
      <w:pPr>
        <w:ind w:left="460" w:hanging="360"/>
      </w:pPr>
      <w:rPr>
        <w:rFonts w:hint="default"/>
      </w:rPr>
    </w:lvl>
    <w:lvl w:ilvl="1" w:tplc="10090019" w:tentative="1">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19" w15:restartNumberingAfterBreak="0">
    <w:nsid w:val="4C5BAC8F"/>
    <w:multiLevelType w:val="hybridMultilevel"/>
    <w:tmpl w:val="B0CCFF50"/>
    <w:lvl w:ilvl="0" w:tplc="63EEF580">
      <w:start w:val="1"/>
      <w:numFmt w:val="bullet"/>
      <w:lvlText w:val=""/>
      <w:lvlJc w:val="left"/>
      <w:pPr>
        <w:ind w:left="720" w:hanging="360"/>
      </w:pPr>
      <w:rPr>
        <w:rFonts w:hint="default" w:ascii="Symbol" w:hAnsi="Symbol"/>
      </w:rPr>
    </w:lvl>
    <w:lvl w:ilvl="1" w:tplc="F79CB698">
      <w:start w:val="1"/>
      <w:numFmt w:val="bullet"/>
      <w:lvlText w:val="o"/>
      <w:lvlJc w:val="left"/>
      <w:pPr>
        <w:ind w:left="1440" w:hanging="360"/>
      </w:pPr>
      <w:rPr>
        <w:rFonts w:hint="default" w:ascii="Courier New" w:hAnsi="Courier New"/>
      </w:rPr>
    </w:lvl>
    <w:lvl w:ilvl="2" w:tplc="5C103CA0">
      <w:start w:val="1"/>
      <w:numFmt w:val="bullet"/>
      <w:lvlText w:val=""/>
      <w:lvlJc w:val="left"/>
      <w:pPr>
        <w:ind w:left="2160" w:hanging="360"/>
      </w:pPr>
      <w:rPr>
        <w:rFonts w:hint="default" w:ascii="Wingdings" w:hAnsi="Wingdings"/>
      </w:rPr>
    </w:lvl>
    <w:lvl w:ilvl="3" w:tplc="50E85A5C">
      <w:start w:val="1"/>
      <w:numFmt w:val="bullet"/>
      <w:lvlText w:val=""/>
      <w:lvlJc w:val="left"/>
      <w:pPr>
        <w:ind w:left="2880" w:hanging="360"/>
      </w:pPr>
      <w:rPr>
        <w:rFonts w:hint="default" w:ascii="Symbol" w:hAnsi="Symbol"/>
      </w:rPr>
    </w:lvl>
    <w:lvl w:ilvl="4" w:tplc="D7EAB744">
      <w:start w:val="1"/>
      <w:numFmt w:val="bullet"/>
      <w:lvlText w:val="o"/>
      <w:lvlJc w:val="left"/>
      <w:pPr>
        <w:ind w:left="3600" w:hanging="360"/>
      </w:pPr>
      <w:rPr>
        <w:rFonts w:hint="default" w:ascii="Courier New" w:hAnsi="Courier New"/>
      </w:rPr>
    </w:lvl>
    <w:lvl w:ilvl="5" w:tplc="60DC36C8">
      <w:start w:val="1"/>
      <w:numFmt w:val="bullet"/>
      <w:lvlText w:val=""/>
      <w:lvlJc w:val="left"/>
      <w:pPr>
        <w:ind w:left="4320" w:hanging="360"/>
      </w:pPr>
      <w:rPr>
        <w:rFonts w:hint="default" w:ascii="Wingdings" w:hAnsi="Wingdings"/>
      </w:rPr>
    </w:lvl>
    <w:lvl w:ilvl="6" w:tplc="0CC06D62">
      <w:start w:val="1"/>
      <w:numFmt w:val="bullet"/>
      <w:lvlText w:val=""/>
      <w:lvlJc w:val="left"/>
      <w:pPr>
        <w:ind w:left="5040" w:hanging="360"/>
      </w:pPr>
      <w:rPr>
        <w:rFonts w:hint="default" w:ascii="Symbol" w:hAnsi="Symbol"/>
      </w:rPr>
    </w:lvl>
    <w:lvl w:ilvl="7" w:tplc="DEA854CA">
      <w:start w:val="1"/>
      <w:numFmt w:val="bullet"/>
      <w:lvlText w:val="o"/>
      <w:lvlJc w:val="left"/>
      <w:pPr>
        <w:ind w:left="5760" w:hanging="360"/>
      </w:pPr>
      <w:rPr>
        <w:rFonts w:hint="default" w:ascii="Courier New" w:hAnsi="Courier New"/>
      </w:rPr>
    </w:lvl>
    <w:lvl w:ilvl="8" w:tplc="37FAEF2E">
      <w:start w:val="1"/>
      <w:numFmt w:val="bullet"/>
      <w:lvlText w:val=""/>
      <w:lvlJc w:val="left"/>
      <w:pPr>
        <w:ind w:left="6480" w:hanging="360"/>
      </w:pPr>
      <w:rPr>
        <w:rFonts w:hint="default" w:ascii="Wingdings" w:hAnsi="Wingdings"/>
      </w:rPr>
    </w:lvl>
  </w:abstractNum>
  <w:abstractNum w:abstractNumId="20" w15:restartNumberingAfterBreak="0">
    <w:nsid w:val="4E7442B5"/>
    <w:multiLevelType w:val="hybridMultilevel"/>
    <w:tmpl w:val="893C4B06"/>
    <w:lvl w:ilvl="0" w:tplc="B848539C">
      <w:start w:val="1"/>
      <w:numFmt w:val="bullet"/>
      <w:lvlText w:val=""/>
      <w:lvlJc w:val="left"/>
      <w:pPr>
        <w:ind w:left="360" w:hanging="360"/>
      </w:pPr>
      <w:rPr>
        <w:rFonts w:hint="default" w:ascii="Symbol" w:hAnsi="Symbol"/>
      </w:rPr>
    </w:lvl>
    <w:lvl w:ilvl="1" w:tplc="07C8F010">
      <w:start w:val="1"/>
      <w:numFmt w:val="bullet"/>
      <w:lvlText w:val="o"/>
      <w:lvlJc w:val="left"/>
      <w:pPr>
        <w:ind w:left="1440" w:hanging="360"/>
      </w:pPr>
      <w:rPr>
        <w:rFonts w:hint="default" w:ascii="Courier New" w:hAnsi="Courier New"/>
      </w:rPr>
    </w:lvl>
    <w:lvl w:ilvl="2" w:tplc="251AB012">
      <w:start w:val="1"/>
      <w:numFmt w:val="bullet"/>
      <w:lvlText w:val=""/>
      <w:lvlJc w:val="left"/>
      <w:pPr>
        <w:ind w:left="2160" w:hanging="360"/>
      </w:pPr>
      <w:rPr>
        <w:rFonts w:hint="default" w:ascii="Wingdings" w:hAnsi="Wingdings"/>
      </w:rPr>
    </w:lvl>
    <w:lvl w:ilvl="3" w:tplc="105A96A8">
      <w:start w:val="1"/>
      <w:numFmt w:val="bullet"/>
      <w:lvlText w:val=""/>
      <w:lvlJc w:val="left"/>
      <w:pPr>
        <w:ind w:left="2880" w:hanging="360"/>
      </w:pPr>
      <w:rPr>
        <w:rFonts w:hint="default" w:ascii="Symbol" w:hAnsi="Symbol"/>
      </w:rPr>
    </w:lvl>
    <w:lvl w:ilvl="4" w:tplc="1840B6AA">
      <w:start w:val="1"/>
      <w:numFmt w:val="bullet"/>
      <w:lvlText w:val="o"/>
      <w:lvlJc w:val="left"/>
      <w:pPr>
        <w:ind w:left="3600" w:hanging="360"/>
      </w:pPr>
      <w:rPr>
        <w:rFonts w:hint="default" w:ascii="Courier New" w:hAnsi="Courier New"/>
      </w:rPr>
    </w:lvl>
    <w:lvl w:ilvl="5" w:tplc="1928917A">
      <w:start w:val="1"/>
      <w:numFmt w:val="bullet"/>
      <w:lvlText w:val=""/>
      <w:lvlJc w:val="left"/>
      <w:pPr>
        <w:ind w:left="4320" w:hanging="360"/>
      </w:pPr>
      <w:rPr>
        <w:rFonts w:hint="default" w:ascii="Wingdings" w:hAnsi="Wingdings"/>
      </w:rPr>
    </w:lvl>
    <w:lvl w:ilvl="6" w:tplc="7682D5F6">
      <w:start w:val="1"/>
      <w:numFmt w:val="bullet"/>
      <w:lvlText w:val=""/>
      <w:lvlJc w:val="left"/>
      <w:pPr>
        <w:ind w:left="5040" w:hanging="360"/>
      </w:pPr>
      <w:rPr>
        <w:rFonts w:hint="default" w:ascii="Symbol" w:hAnsi="Symbol"/>
      </w:rPr>
    </w:lvl>
    <w:lvl w:ilvl="7" w:tplc="DCA2DF8C">
      <w:start w:val="1"/>
      <w:numFmt w:val="bullet"/>
      <w:lvlText w:val="o"/>
      <w:lvlJc w:val="left"/>
      <w:pPr>
        <w:ind w:left="5760" w:hanging="360"/>
      </w:pPr>
      <w:rPr>
        <w:rFonts w:hint="default" w:ascii="Courier New" w:hAnsi="Courier New"/>
      </w:rPr>
    </w:lvl>
    <w:lvl w:ilvl="8" w:tplc="7716095E">
      <w:start w:val="1"/>
      <w:numFmt w:val="bullet"/>
      <w:lvlText w:val=""/>
      <w:lvlJc w:val="left"/>
      <w:pPr>
        <w:ind w:left="6480" w:hanging="360"/>
      </w:pPr>
      <w:rPr>
        <w:rFonts w:hint="default" w:ascii="Wingdings" w:hAnsi="Wingdings"/>
      </w:rPr>
    </w:lvl>
  </w:abstractNum>
  <w:abstractNum w:abstractNumId="21" w15:restartNumberingAfterBreak="0">
    <w:nsid w:val="580E27C7"/>
    <w:multiLevelType w:val="multilevel"/>
    <w:tmpl w:val="3DBE23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9C56813"/>
    <w:multiLevelType w:val="multilevel"/>
    <w:tmpl w:val="C966D6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B15C091"/>
    <w:multiLevelType w:val="multilevel"/>
    <w:tmpl w:val="616CD8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605A0752"/>
    <w:multiLevelType w:val="multilevel"/>
    <w:tmpl w:val="F24CD4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5E76412"/>
    <w:multiLevelType w:val="multilevel"/>
    <w:tmpl w:val="1C0C65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67B96A0"/>
    <w:multiLevelType w:val="hybridMultilevel"/>
    <w:tmpl w:val="5F525FF8"/>
    <w:lvl w:ilvl="0" w:tplc="12E426E6">
      <w:start w:val="1"/>
      <w:numFmt w:val="bullet"/>
      <w:lvlText w:val=""/>
      <w:lvlJc w:val="left"/>
      <w:pPr>
        <w:ind w:left="720" w:hanging="360"/>
      </w:pPr>
      <w:rPr>
        <w:rFonts w:hint="default" w:ascii="Symbol" w:hAnsi="Symbol"/>
      </w:rPr>
    </w:lvl>
    <w:lvl w:ilvl="1" w:tplc="9D36861E">
      <w:start w:val="1"/>
      <w:numFmt w:val="bullet"/>
      <w:lvlText w:val="o"/>
      <w:lvlJc w:val="left"/>
      <w:pPr>
        <w:ind w:left="1440" w:hanging="360"/>
      </w:pPr>
      <w:rPr>
        <w:rFonts w:hint="default" w:ascii="Courier New" w:hAnsi="Courier New"/>
      </w:rPr>
    </w:lvl>
    <w:lvl w:ilvl="2" w:tplc="D7BAAD34">
      <w:start w:val="1"/>
      <w:numFmt w:val="bullet"/>
      <w:lvlText w:val=""/>
      <w:lvlJc w:val="left"/>
      <w:pPr>
        <w:ind w:left="2160" w:hanging="360"/>
      </w:pPr>
      <w:rPr>
        <w:rFonts w:hint="default" w:ascii="Wingdings" w:hAnsi="Wingdings"/>
      </w:rPr>
    </w:lvl>
    <w:lvl w:ilvl="3" w:tplc="5400E0B2">
      <w:start w:val="1"/>
      <w:numFmt w:val="bullet"/>
      <w:lvlText w:val=""/>
      <w:lvlJc w:val="left"/>
      <w:pPr>
        <w:ind w:left="2880" w:hanging="360"/>
      </w:pPr>
      <w:rPr>
        <w:rFonts w:hint="default" w:ascii="Symbol" w:hAnsi="Symbol"/>
      </w:rPr>
    </w:lvl>
    <w:lvl w:ilvl="4" w:tplc="AC4EAB12">
      <w:start w:val="1"/>
      <w:numFmt w:val="bullet"/>
      <w:lvlText w:val="o"/>
      <w:lvlJc w:val="left"/>
      <w:pPr>
        <w:ind w:left="3600" w:hanging="360"/>
      </w:pPr>
      <w:rPr>
        <w:rFonts w:hint="default" w:ascii="Courier New" w:hAnsi="Courier New"/>
      </w:rPr>
    </w:lvl>
    <w:lvl w:ilvl="5" w:tplc="41D4BC96">
      <w:start w:val="1"/>
      <w:numFmt w:val="bullet"/>
      <w:lvlText w:val=""/>
      <w:lvlJc w:val="left"/>
      <w:pPr>
        <w:ind w:left="4320" w:hanging="360"/>
      </w:pPr>
      <w:rPr>
        <w:rFonts w:hint="default" w:ascii="Wingdings" w:hAnsi="Wingdings"/>
      </w:rPr>
    </w:lvl>
    <w:lvl w:ilvl="6" w:tplc="45CE4DD0">
      <w:start w:val="1"/>
      <w:numFmt w:val="bullet"/>
      <w:lvlText w:val=""/>
      <w:lvlJc w:val="left"/>
      <w:pPr>
        <w:ind w:left="5040" w:hanging="360"/>
      </w:pPr>
      <w:rPr>
        <w:rFonts w:hint="default" w:ascii="Symbol" w:hAnsi="Symbol"/>
      </w:rPr>
    </w:lvl>
    <w:lvl w:ilvl="7" w:tplc="83FC0022">
      <w:start w:val="1"/>
      <w:numFmt w:val="bullet"/>
      <w:lvlText w:val="o"/>
      <w:lvlJc w:val="left"/>
      <w:pPr>
        <w:ind w:left="5760" w:hanging="360"/>
      </w:pPr>
      <w:rPr>
        <w:rFonts w:hint="default" w:ascii="Courier New" w:hAnsi="Courier New"/>
      </w:rPr>
    </w:lvl>
    <w:lvl w:ilvl="8" w:tplc="5D146472">
      <w:start w:val="1"/>
      <w:numFmt w:val="bullet"/>
      <w:lvlText w:val=""/>
      <w:lvlJc w:val="left"/>
      <w:pPr>
        <w:ind w:left="6480" w:hanging="360"/>
      </w:pPr>
      <w:rPr>
        <w:rFonts w:hint="default" w:ascii="Wingdings" w:hAnsi="Wingdings"/>
      </w:rPr>
    </w:lvl>
  </w:abstractNum>
  <w:abstractNum w:abstractNumId="27" w15:restartNumberingAfterBreak="0">
    <w:nsid w:val="685A1AD1"/>
    <w:multiLevelType w:val="hybridMultilevel"/>
    <w:tmpl w:val="B154743E"/>
    <w:lvl w:ilvl="0" w:tplc="C9520A80">
      <w:start w:val="1"/>
      <w:numFmt w:val="bullet"/>
      <w:lvlText w:val=""/>
      <w:lvlJc w:val="left"/>
      <w:pPr>
        <w:ind w:left="720" w:hanging="360"/>
      </w:pPr>
      <w:rPr>
        <w:rFonts w:hint="default" w:ascii="Symbol" w:hAnsi="Symbol"/>
      </w:rPr>
    </w:lvl>
    <w:lvl w:ilvl="1" w:tplc="3EC69826">
      <w:start w:val="1"/>
      <w:numFmt w:val="bullet"/>
      <w:lvlText w:val="o"/>
      <w:lvlJc w:val="left"/>
      <w:pPr>
        <w:ind w:left="1440" w:hanging="360"/>
      </w:pPr>
      <w:rPr>
        <w:rFonts w:hint="default" w:ascii="Courier New" w:hAnsi="Courier New"/>
      </w:rPr>
    </w:lvl>
    <w:lvl w:ilvl="2" w:tplc="92E83400">
      <w:start w:val="1"/>
      <w:numFmt w:val="bullet"/>
      <w:lvlText w:val=""/>
      <w:lvlJc w:val="left"/>
      <w:pPr>
        <w:ind w:left="2160" w:hanging="360"/>
      </w:pPr>
      <w:rPr>
        <w:rFonts w:hint="default" w:ascii="Wingdings" w:hAnsi="Wingdings"/>
      </w:rPr>
    </w:lvl>
    <w:lvl w:ilvl="3" w:tplc="41A828EA">
      <w:start w:val="1"/>
      <w:numFmt w:val="bullet"/>
      <w:lvlText w:val=""/>
      <w:lvlJc w:val="left"/>
      <w:pPr>
        <w:ind w:left="2880" w:hanging="360"/>
      </w:pPr>
      <w:rPr>
        <w:rFonts w:hint="default" w:ascii="Symbol" w:hAnsi="Symbol"/>
      </w:rPr>
    </w:lvl>
    <w:lvl w:ilvl="4" w:tplc="EA6CF1A2">
      <w:start w:val="1"/>
      <w:numFmt w:val="bullet"/>
      <w:lvlText w:val="o"/>
      <w:lvlJc w:val="left"/>
      <w:pPr>
        <w:ind w:left="3600" w:hanging="360"/>
      </w:pPr>
      <w:rPr>
        <w:rFonts w:hint="default" w:ascii="Courier New" w:hAnsi="Courier New"/>
      </w:rPr>
    </w:lvl>
    <w:lvl w:ilvl="5" w:tplc="80A4798E">
      <w:start w:val="1"/>
      <w:numFmt w:val="bullet"/>
      <w:lvlText w:val=""/>
      <w:lvlJc w:val="left"/>
      <w:pPr>
        <w:ind w:left="4320" w:hanging="360"/>
      </w:pPr>
      <w:rPr>
        <w:rFonts w:hint="default" w:ascii="Wingdings" w:hAnsi="Wingdings"/>
      </w:rPr>
    </w:lvl>
    <w:lvl w:ilvl="6" w:tplc="BCBC11F6">
      <w:start w:val="1"/>
      <w:numFmt w:val="bullet"/>
      <w:lvlText w:val=""/>
      <w:lvlJc w:val="left"/>
      <w:pPr>
        <w:ind w:left="5040" w:hanging="360"/>
      </w:pPr>
      <w:rPr>
        <w:rFonts w:hint="default" w:ascii="Symbol" w:hAnsi="Symbol"/>
      </w:rPr>
    </w:lvl>
    <w:lvl w:ilvl="7" w:tplc="54C21ED2">
      <w:start w:val="1"/>
      <w:numFmt w:val="bullet"/>
      <w:lvlText w:val="o"/>
      <w:lvlJc w:val="left"/>
      <w:pPr>
        <w:ind w:left="5760" w:hanging="360"/>
      </w:pPr>
      <w:rPr>
        <w:rFonts w:hint="default" w:ascii="Courier New" w:hAnsi="Courier New"/>
      </w:rPr>
    </w:lvl>
    <w:lvl w:ilvl="8" w:tplc="DF682500">
      <w:start w:val="1"/>
      <w:numFmt w:val="bullet"/>
      <w:lvlText w:val=""/>
      <w:lvlJc w:val="left"/>
      <w:pPr>
        <w:ind w:left="6480" w:hanging="360"/>
      </w:pPr>
      <w:rPr>
        <w:rFonts w:hint="default" w:ascii="Wingdings" w:hAnsi="Wingdings"/>
      </w:rPr>
    </w:lvl>
  </w:abstractNum>
  <w:abstractNum w:abstractNumId="28" w15:restartNumberingAfterBreak="0">
    <w:nsid w:val="694A7704"/>
    <w:multiLevelType w:val="hybridMultilevel"/>
    <w:tmpl w:val="7F1023A0"/>
    <w:lvl w:ilvl="0" w:tplc="2A50B262">
      <w:start w:val="1"/>
      <w:numFmt w:val="bullet"/>
      <w:lvlText w:val=""/>
      <w:lvlJc w:val="left"/>
      <w:pPr>
        <w:ind w:left="720" w:hanging="360"/>
      </w:pPr>
      <w:rPr>
        <w:rFonts w:hint="default" w:ascii="Symbol" w:hAnsi="Symbol"/>
      </w:rPr>
    </w:lvl>
    <w:lvl w:ilvl="1" w:tplc="EEBC6474">
      <w:start w:val="1"/>
      <w:numFmt w:val="bullet"/>
      <w:lvlText w:val="o"/>
      <w:lvlJc w:val="left"/>
      <w:pPr>
        <w:ind w:left="1440" w:hanging="360"/>
      </w:pPr>
      <w:rPr>
        <w:rFonts w:hint="default" w:ascii="Courier New" w:hAnsi="Courier New"/>
      </w:rPr>
    </w:lvl>
    <w:lvl w:ilvl="2" w:tplc="524A35A2">
      <w:start w:val="1"/>
      <w:numFmt w:val="bullet"/>
      <w:lvlText w:val=""/>
      <w:lvlJc w:val="left"/>
      <w:pPr>
        <w:ind w:left="2160" w:hanging="360"/>
      </w:pPr>
      <w:rPr>
        <w:rFonts w:hint="default" w:ascii="Wingdings" w:hAnsi="Wingdings"/>
      </w:rPr>
    </w:lvl>
    <w:lvl w:ilvl="3" w:tplc="E2325BA4">
      <w:start w:val="1"/>
      <w:numFmt w:val="bullet"/>
      <w:lvlText w:val=""/>
      <w:lvlJc w:val="left"/>
      <w:pPr>
        <w:ind w:left="2880" w:hanging="360"/>
      </w:pPr>
      <w:rPr>
        <w:rFonts w:hint="default" w:ascii="Symbol" w:hAnsi="Symbol"/>
      </w:rPr>
    </w:lvl>
    <w:lvl w:ilvl="4" w:tplc="154EAEC6">
      <w:start w:val="1"/>
      <w:numFmt w:val="bullet"/>
      <w:lvlText w:val="o"/>
      <w:lvlJc w:val="left"/>
      <w:pPr>
        <w:ind w:left="3600" w:hanging="360"/>
      </w:pPr>
      <w:rPr>
        <w:rFonts w:hint="default" w:ascii="Courier New" w:hAnsi="Courier New"/>
      </w:rPr>
    </w:lvl>
    <w:lvl w:ilvl="5" w:tplc="6512EF6E">
      <w:start w:val="1"/>
      <w:numFmt w:val="bullet"/>
      <w:lvlText w:val=""/>
      <w:lvlJc w:val="left"/>
      <w:pPr>
        <w:ind w:left="4320" w:hanging="360"/>
      </w:pPr>
      <w:rPr>
        <w:rFonts w:hint="default" w:ascii="Wingdings" w:hAnsi="Wingdings"/>
      </w:rPr>
    </w:lvl>
    <w:lvl w:ilvl="6" w:tplc="EFEE2134">
      <w:start w:val="1"/>
      <w:numFmt w:val="bullet"/>
      <w:lvlText w:val=""/>
      <w:lvlJc w:val="left"/>
      <w:pPr>
        <w:ind w:left="5040" w:hanging="360"/>
      </w:pPr>
      <w:rPr>
        <w:rFonts w:hint="default" w:ascii="Symbol" w:hAnsi="Symbol"/>
      </w:rPr>
    </w:lvl>
    <w:lvl w:ilvl="7" w:tplc="380C8F4E">
      <w:start w:val="1"/>
      <w:numFmt w:val="bullet"/>
      <w:lvlText w:val="o"/>
      <w:lvlJc w:val="left"/>
      <w:pPr>
        <w:ind w:left="5760" w:hanging="360"/>
      </w:pPr>
      <w:rPr>
        <w:rFonts w:hint="default" w:ascii="Courier New" w:hAnsi="Courier New"/>
      </w:rPr>
    </w:lvl>
    <w:lvl w:ilvl="8" w:tplc="2A36A5D8">
      <w:start w:val="1"/>
      <w:numFmt w:val="bullet"/>
      <w:lvlText w:val=""/>
      <w:lvlJc w:val="left"/>
      <w:pPr>
        <w:ind w:left="6480" w:hanging="360"/>
      </w:pPr>
      <w:rPr>
        <w:rFonts w:hint="default" w:ascii="Wingdings" w:hAnsi="Wingdings"/>
      </w:rPr>
    </w:lvl>
  </w:abstractNum>
  <w:abstractNum w:abstractNumId="29" w15:restartNumberingAfterBreak="0">
    <w:nsid w:val="6DBA420E"/>
    <w:multiLevelType w:val="hybridMultilevel"/>
    <w:tmpl w:val="FFFFFFFF"/>
    <w:lvl w:ilvl="0" w:tplc="DFC65CC8">
      <w:start w:val="1"/>
      <w:numFmt w:val="bullet"/>
      <w:lvlText w:val=""/>
      <w:lvlJc w:val="left"/>
      <w:pPr>
        <w:ind w:left="720" w:hanging="360"/>
      </w:pPr>
      <w:rPr>
        <w:rFonts w:hint="default" w:ascii="Symbol" w:hAnsi="Symbol"/>
      </w:rPr>
    </w:lvl>
    <w:lvl w:ilvl="1" w:tplc="DE8EA2CE">
      <w:start w:val="1"/>
      <w:numFmt w:val="bullet"/>
      <w:lvlText w:val="o"/>
      <w:lvlJc w:val="left"/>
      <w:pPr>
        <w:ind w:left="1440" w:hanging="360"/>
      </w:pPr>
      <w:rPr>
        <w:rFonts w:hint="default" w:ascii="Courier New" w:hAnsi="Courier New"/>
      </w:rPr>
    </w:lvl>
    <w:lvl w:ilvl="2" w:tplc="40B4CDCA">
      <w:start w:val="1"/>
      <w:numFmt w:val="bullet"/>
      <w:lvlText w:val=""/>
      <w:lvlJc w:val="left"/>
      <w:pPr>
        <w:ind w:left="2160" w:hanging="360"/>
      </w:pPr>
      <w:rPr>
        <w:rFonts w:hint="default" w:ascii="Wingdings" w:hAnsi="Wingdings"/>
      </w:rPr>
    </w:lvl>
    <w:lvl w:ilvl="3" w:tplc="526E97C2">
      <w:start w:val="1"/>
      <w:numFmt w:val="bullet"/>
      <w:lvlText w:val=""/>
      <w:lvlJc w:val="left"/>
      <w:pPr>
        <w:ind w:left="2880" w:hanging="360"/>
      </w:pPr>
      <w:rPr>
        <w:rFonts w:hint="default" w:ascii="Symbol" w:hAnsi="Symbol"/>
      </w:rPr>
    </w:lvl>
    <w:lvl w:ilvl="4" w:tplc="5524D9BA">
      <w:start w:val="1"/>
      <w:numFmt w:val="bullet"/>
      <w:lvlText w:val="o"/>
      <w:lvlJc w:val="left"/>
      <w:pPr>
        <w:ind w:left="3600" w:hanging="360"/>
      </w:pPr>
      <w:rPr>
        <w:rFonts w:hint="default" w:ascii="Courier New" w:hAnsi="Courier New"/>
      </w:rPr>
    </w:lvl>
    <w:lvl w:ilvl="5" w:tplc="4DF4E13A">
      <w:start w:val="1"/>
      <w:numFmt w:val="bullet"/>
      <w:lvlText w:val=""/>
      <w:lvlJc w:val="left"/>
      <w:pPr>
        <w:ind w:left="4320" w:hanging="360"/>
      </w:pPr>
      <w:rPr>
        <w:rFonts w:hint="default" w:ascii="Wingdings" w:hAnsi="Wingdings"/>
      </w:rPr>
    </w:lvl>
    <w:lvl w:ilvl="6" w:tplc="FD4288C6">
      <w:start w:val="1"/>
      <w:numFmt w:val="bullet"/>
      <w:lvlText w:val=""/>
      <w:lvlJc w:val="left"/>
      <w:pPr>
        <w:ind w:left="5040" w:hanging="360"/>
      </w:pPr>
      <w:rPr>
        <w:rFonts w:hint="default" w:ascii="Symbol" w:hAnsi="Symbol"/>
      </w:rPr>
    </w:lvl>
    <w:lvl w:ilvl="7" w:tplc="B9B295D4">
      <w:start w:val="1"/>
      <w:numFmt w:val="bullet"/>
      <w:lvlText w:val="o"/>
      <w:lvlJc w:val="left"/>
      <w:pPr>
        <w:ind w:left="5760" w:hanging="360"/>
      </w:pPr>
      <w:rPr>
        <w:rFonts w:hint="default" w:ascii="Courier New" w:hAnsi="Courier New"/>
      </w:rPr>
    </w:lvl>
    <w:lvl w:ilvl="8" w:tplc="727EB288">
      <w:start w:val="1"/>
      <w:numFmt w:val="bullet"/>
      <w:lvlText w:val=""/>
      <w:lvlJc w:val="left"/>
      <w:pPr>
        <w:ind w:left="6480" w:hanging="360"/>
      </w:pPr>
      <w:rPr>
        <w:rFonts w:hint="default" w:ascii="Wingdings" w:hAnsi="Wingdings"/>
      </w:rPr>
    </w:lvl>
  </w:abstractNum>
  <w:abstractNum w:abstractNumId="30" w15:restartNumberingAfterBreak="0">
    <w:nsid w:val="7239892C"/>
    <w:multiLevelType w:val="multilevel"/>
    <w:tmpl w:val="0FD0E1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4288561"/>
    <w:multiLevelType w:val="hybridMultilevel"/>
    <w:tmpl w:val="493869EC"/>
    <w:lvl w:ilvl="0" w:tplc="22021CC6">
      <w:start w:val="1"/>
      <w:numFmt w:val="bullet"/>
      <w:lvlText w:val=""/>
      <w:lvlJc w:val="left"/>
      <w:pPr>
        <w:ind w:left="2960" w:hanging="360"/>
      </w:pPr>
      <w:rPr>
        <w:rFonts w:hint="default" w:ascii="Symbol" w:hAnsi="Symbol"/>
      </w:rPr>
    </w:lvl>
    <w:lvl w:ilvl="1" w:tplc="56F0B440">
      <w:start w:val="1"/>
      <w:numFmt w:val="bullet"/>
      <w:lvlText w:val="o"/>
      <w:lvlJc w:val="left"/>
      <w:pPr>
        <w:ind w:left="3680" w:hanging="360"/>
      </w:pPr>
      <w:rPr>
        <w:rFonts w:hint="default" w:ascii="Courier New" w:hAnsi="Courier New"/>
      </w:rPr>
    </w:lvl>
    <w:lvl w:ilvl="2" w:tplc="73307FF8">
      <w:start w:val="1"/>
      <w:numFmt w:val="bullet"/>
      <w:lvlText w:val=""/>
      <w:lvlJc w:val="left"/>
      <w:pPr>
        <w:ind w:left="4400" w:hanging="360"/>
      </w:pPr>
      <w:rPr>
        <w:rFonts w:hint="default" w:ascii="Wingdings" w:hAnsi="Wingdings"/>
      </w:rPr>
    </w:lvl>
    <w:lvl w:ilvl="3" w:tplc="F1ECACAA">
      <w:start w:val="1"/>
      <w:numFmt w:val="bullet"/>
      <w:lvlText w:val=""/>
      <w:lvlJc w:val="left"/>
      <w:pPr>
        <w:ind w:left="5120" w:hanging="360"/>
      </w:pPr>
      <w:rPr>
        <w:rFonts w:hint="default" w:ascii="Symbol" w:hAnsi="Symbol"/>
      </w:rPr>
    </w:lvl>
    <w:lvl w:ilvl="4" w:tplc="9068679A">
      <w:start w:val="1"/>
      <w:numFmt w:val="bullet"/>
      <w:lvlText w:val="o"/>
      <w:lvlJc w:val="left"/>
      <w:pPr>
        <w:ind w:left="5840" w:hanging="360"/>
      </w:pPr>
      <w:rPr>
        <w:rFonts w:hint="default" w:ascii="Courier New" w:hAnsi="Courier New"/>
      </w:rPr>
    </w:lvl>
    <w:lvl w:ilvl="5" w:tplc="1C98546C">
      <w:start w:val="1"/>
      <w:numFmt w:val="bullet"/>
      <w:lvlText w:val=""/>
      <w:lvlJc w:val="left"/>
      <w:pPr>
        <w:ind w:left="6560" w:hanging="360"/>
      </w:pPr>
      <w:rPr>
        <w:rFonts w:hint="default" w:ascii="Wingdings" w:hAnsi="Wingdings"/>
      </w:rPr>
    </w:lvl>
    <w:lvl w:ilvl="6" w:tplc="39FCF06C">
      <w:start w:val="1"/>
      <w:numFmt w:val="bullet"/>
      <w:lvlText w:val=""/>
      <w:lvlJc w:val="left"/>
      <w:pPr>
        <w:ind w:left="7280" w:hanging="360"/>
      </w:pPr>
      <w:rPr>
        <w:rFonts w:hint="default" w:ascii="Symbol" w:hAnsi="Symbol"/>
      </w:rPr>
    </w:lvl>
    <w:lvl w:ilvl="7" w:tplc="F020A7EE">
      <w:start w:val="1"/>
      <w:numFmt w:val="bullet"/>
      <w:lvlText w:val="o"/>
      <w:lvlJc w:val="left"/>
      <w:pPr>
        <w:ind w:left="8000" w:hanging="360"/>
      </w:pPr>
      <w:rPr>
        <w:rFonts w:hint="default" w:ascii="Courier New" w:hAnsi="Courier New"/>
      </w:rPr>
    </w:lvl>
    <w:lvl w:ilvl="8" w:tplc="F7EA7E1E">
      <w:start w:val="1"/>
      <w:numFmt w:val="bullet"/>
      <w:lvlText w:val=""/>
      <w:lvlJc w:val="left"/>
      <w:pPr>
        <w:ind w:left="8720" w:hanging="360"/>
      </w:pPr>
      <w:rPr>
        <w:rFonts w:hint="default" w:ascii="Wingdings" w:hAnsi="Wingdings"/>
      </w:rPr>
    </w:lvl>
  </w:abstractNum>
  <w:abstractNum w:abstractNumId="32" w15:restartNumberingAfterBreak="0">
    <w:nsid w:val="742E9C62"/>
    <w:multiLevelType w:val="multilevel"/>
    <w:tmpl w:val="02CC99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B0437A1"/>
    <w:multiLevelType w:val="hybridMultilevel"/>
    <w:tmpl w:val="F9EED7F8"/>
    <w:lvl w:ilvl="0" w:tplc="D4D44E5C">
      <w:start w:val="1"/>
      <w:numFmt w:val="bullet"/>
      <w:lvlText w:val=""/>
      <w:lvlJc w:val="left"/>
      <w:pPr>
        <w:ind w:left="720" w:hanging="360"/>
      </w:pPr>
      <w:rPr>
        <w:rFonts w:hint="default" w:ascii="Symbol" w:hAnsi="Symbol"/>
      </w:rPr>
    </w:lvl>
    <w:lvl w:ilvl="1" w:tplc="8E003182">
      <w:start w:val="1"/>
      <w:numFmt w:val="bullet"/>
      <w:lvlText w:val="o"/>
      <w:lvlJc w:val="left"/>
      <w:pPr>
        <w:ind w:left="1440" w:hanging="360"/>
      </w:pPr>
      <w:rPr>
        <w:rFonts w:hint="default" w:ascii="Courier New" w:hAnsi="Courier New"/>
      </w:rPr>
    </w:lvl>
    <w:lvl w:ilvl="2" w:tplc="A3A68EEC">
      <w:start w:val="1"/>
      <w:numFmt w:val="bullet"/>
      <w:lvlText w:val=""/>
      <w:lvlJc w:val="left"/>
      <w:pPr>
        <w:ind w:left="2160" w:hanging="360"/>
      </w:pPr>
      <w:rPr>
        <w:rFonts w:hint="default" w:ascii="Wingdings" w:hAnsi="Wingdings"/>
      </w:rPr>
    </w:lvl>
    <w:lvl w:ilvl="3" w:tplc="84B20680">
      <w:start w:val="1"/>
      <w:numFmt w:val="bullet"/>
      <w:lvlText w:val=""/>
      <w:lvlJc w:val="left"/>
      <w:pPr>
        <w:ind w:left="2880" w:hanging="360"/>
      </w:pPr>
      <w:rPr>
        <w:rFonts w:hint="default" w:ascii="Symbol" w:hAnsi="Symbol"/>
      </w:rPr>
    </w:lvl>
    <w:lvl w:ilvl="4" w:tplc="9964F7A8">
      <w:start w:val="1"/>
      <w:numFmt w:val="bullet"/>
      <w:lvlText w:val="o"/>
      <w:lvlJc w:val="left"/>
      <w:pPr>
        <w:ind w:left="3600" w:hanging="360"/>
      </w:pPr>
      <w:rPr>
        <w:rFonts w:hint="default" w:ascii="Courier New" w:hAnsi="Courier New"/>
      </w:rPr>
    </w:lvl>
    <w:lvl w:ilvl="5" w:tplc="7F06754A">
      <w:start w:val="1"/>
      <w:numFmt w:val="bullet"/>
      <w:lvlText w:val=""/>
      <w:lvlJc w:val="left"/>
      <w:pPr>
        <w:ind w:left="4320" w:hanging="360"/>
      </w:pPr>
      <w:rPr>
        <w:rFonts w:hint="default" w:ascii="Wingdings" w:hAnsi="Wingdings"/>
      </w:rPr>
    </w:lvl>
    <w:lvl w:ilvl="6" w:tplc="FC56065A">
      <w:start w:val="1"/>
      <w:numFmt w:val="bullet"/>
      <w:lvlText w:val=""/>
      <w:lvlJc w:val="left"/>
      <w:pPr>
        <w:ind w:left="5040" w:hanging="360"/>
      </w:pPr>
      <w:rPr>
        <w:rFonts w:hint="default" w:ascii="Symbol" w:hAnsi="Symbol"/>
      </w:rPr>
    </w:lvl>
    <w:lvl w:ilvl="7" w:tplc="F214A8B8">
      <w:start w:val="1"/>
      <w:numFmt w:val="bullet"/>
      <w:lvlText w:val="o"/>
      <w:lvlJc w:val="left"/>
      <w:pPr>
        <w:ind w:left="5760" w:hanging="360"/>
      </w:pPr>
      <w:rPr>
        <w:rFonts w:hint="default" w:ascii="Courier New" w:hAnsi="Courier New"/>
      </w:rPr>
    </w:lvl>
    <w:lvl w:ilvl="8" w:tplc="3A2645AE">
      <w:start w:val="1"/>
      <w:numFmt w:val="bullet"/>
      <w:lvlText w:val=""/>
      <w:lvlJc w:val="left"/>
      <w:pPr>
        <w:ind w:left="6480" w:hanging="360"/>
      </w:pPr>
      <w:rPr>
        <w:rFonts w:hint="default" w:ascii="Wingdings" w:hAnsi="Wingdings"/>
      </w:rPr>
    </w:lvl>
  </w:abstractNum>
  <w:abstractNum w:abstractNumId="34" w15:restartNumberingAfterBreak="0">
    <w:nsid w:val="7B51B5D1"/>
    <w:multiLevelType w:val="hybridMultilevel"/>
    <w:tmpl w:val="9C26E7CE"/>
    <w:lvl w:ilvl="0" w:tplc="840E9D7C">
      <w:start w:val="1"/>
      <w:numFmt w:val="bullet"/>
      <w:lvlText w:val=""/>
      <w:lvlJc w:val="left"/>
      <w:pPr>
        <w:ind w:left="720" w:hanging="360"/>
      </w:pPr>
      <w:rPr>
        <w:rFonts w:hint="default" w:ascii="Symbol" w:hAnsi="Symbol"/>
      </w:rPr>
    </w:lvl>
    <w:lvl w:ilvl="1" w:tplc="1938D632">
      <w:start w:val="1"/>
      <w:numFmt w:val="bullet"/>
      <w:lvlText w:val="o"/>
      <w:lvlJc w:val="left"/>
      <w:pPr>
        <w:ind w:left="1440" w:hanging="360"/>
      </w:pPr>
      <w:rPr>
        <w:rFonts w:hint="default" w:ascii="Courier New" w:hAnsi="Courier New"/>
      </w:rPr>
    </w:lvl>
    <w:lvl w:ilvl="2" w:tplc="D92C1EAE">
      <w:start w:val="1"/>
      <w:numFmt w:val="bullet"/>
      <w:lvlText w:val=""/>
      <w:lvlJc w:val="left"/>
      <w:pPr>
        <w:ind w:left="2160" w:hanging="360"/>
      </w:pPr>
      <w:rPr>
        <w:rFonts w:hint="default" w:ascii="Wingdings" w:hAnsi="Wingdings"/>
      </w:rPr>
    </w:lvl>
    <w:lvl w:ilvl="3" w:tplc="7424FDFE">
      <w:start w:val="1"/>
      <w:numFmt w:val="bullet"/>
      <w:lvlText w:val=""/>
      <w:lvlJc w:val="left"/>
      <w:pPr>
        <w:ind w:left="2880" w:hanging="360"/>
      </w:pPr>
      <w:rPr>
        <w:rFonts w:hint="default" w:ascii="Symbol" w:hAnsi="Symbol"/>
      </w:rPr>
    </w:lvl>
    <w:lvl w:ilvl="4" w:tplc="B056495C">
      <w:start w:val="1"/>
      <w:numFmt w:val="bullet"/>
      <w:lvlText w:val="o"/>
      <w:lvlJc w:val="left"/>
      <w:pPr>
        <w:ind w:left="3600" w:hanging="360"/>
      </w:pPr>
      <w:rPr>
        <w:rFonts w:hint="default" w:ascii="Courier New" w:hAnsi="Courier New"/>
      </w:rPr>
    </w:lvl>
    <w:lvl w:ilvl="5" w:tplc="A49EB792">
      <w:start w:val="1"/>
      <w:numFmt w:val="bullet"/>
      <w:lvlText w:val=""/>
      <w:lvlJc w:val="left"/>
      <w:pPr>
        <w:ind w:left="4320" w:hanging="360"/>
      </w:pPr>
      <w:rPr>
        <w:rFonts w:hint="default" w:ascii="Wingdings" w:hAnsi="Wingdings"/>
      </w:rPr>
    </w:lvl>
    <w:lvl w:ilvl="6" w:tplc="EAF426E6">
      <w:start w:val="1"/>
      <w:numFmt w:val="bullet"/>
      <w:lvlText w:val=""/>
      <w:lvlJc w:val="left"/>
      <w:pPr>
        <w:ind w:left="5040" w:hanging="360"/>
      </w:pPr>
      <w:rPr>
        <w:rFonts w:hint="default" w:ascii="Symbol" w:hAnsi="Symbol"/>
      </w:rPr>
    </w:lvl>
    <w:lvl w:ilvl="7" w:tplc="A2646FDE">
      <w:start w:val="1"/>
      <w:numFmt w:val="bullet"/>
      <w:lvlText w:val="o"/>
      <w:lvlJc w:val="left"/>
      <w:pPr>
        <w:ind w:left="5760" w:hanging="360"/>
      </w:pPr>
      <w:rPr>
        <w:rFonts w:hint="default" w:ascii="Courier New" w:hAnsi="Courier New"/>
      </w:rPr>
    </w:lvl>
    <w:lvl w:ilvl="8" w:tplc="FEEE92F6">
      <w:start w:val="1"/>
      <w:numFmt w:val="bullet"/>
      <w:lvlText w:val=""/>
      <w:lvlJc w:val="left"/>
      <w:pPr>
        <w:ind w:left="6480" w:hanging="360"/>
      </w:pPr>
      <w:rPr>
        <w:rFonts w:hint="default" w:ascii="Wingdings" w:hAnsi="Wingdings"/>
      </w:rPr>
    </w:lvl>
  </w:abstractNum>
  <w:abstractNum w:abstractNumId="35" w15:restartNumberingAfterBreak="0">
    <w:nsid w:val="7D2250DB"/>
    <w:multiLevelType w:val="hybridMultilevel"/>
    <w:tmpl w:val="FFFFFFFF"/>
    <w:lvl w:ilvl="0" w:tplc="759659DE">
      <w:start w:val="1"/>
      <w:numFmt w:val="bullet"/>
      <w:lvlText w:val="●"/>
      <w:lvlJc w:val="left"/>
      <w:pPr>
        <w:ind w:left="720" w:hanging="360"/>
      </w:pPr>
    </w:lvl>
    <w:lvl w:ilvl="1" w:tplc="232CA058">
      <w:start w:val="1"/>
      <w:numFmt w:val="bullet"/>
      <w:lvlText w:val="○"/>
      <w:lvlJc w:val="left"/>
      <w:pPr>
        <w:ind w:left="1440" w:hanging="360"/>
      </w:pPr>
    </w:lvl>
    <w:lvl w:ilvl="2" w:tplc="D846A96A">
      <w:start w:val="1"/>
      <w:numFmt w:val="bullet"/>
      <w:lvlText w:val="■"/>
      <w:lvlJc w:val="left"/>
      <w:pPr>
        <w:ind w:left="2160" w:hanging="360"/>
      </w:pPr>
    </w:lvl>
    <w:lvl w:ilvl="3" w:tplc="BF74382A">
      <w:start w:val="1"/>
      <w:numFmt w:val="bullet"/>
      <w:lvlText w:val="●"/>
      <w:lvlJc w:val="left"/>
      <w:pPr>
        <w:ind w:left="2880" w:hanging="360"/>
      </w:pPr>
    </w:lvl>
    <w:lvl w:ilvl="4" w:tplc="F0AA383E">
      <w:start w:val="1"/>
      <w:numFmt w:val="bullet"/>
      <w:lvlText w:val="○"/>
      <w:lvlJc w:val="left"/>
      <w:pPr>
        <w:ind w:left="3600" w:hanging="360"/>
      </w:pPr>
    </w:lvl>
    <w:lvl w:ilvl="5" w:tplc="FD7C3860">
      <w:start w:val="1"/>
      <w:numFmt w:val="bullet"/>
      <w:lvlText w:val="■"/>
      <w:lvlJc w:val="left"/>
      <w:pPr>
        <w:ind w:left="4320" w:hanging="360"/>
      </w:pPr>
    </w:lvl>
    <w:lvl w:ilvl="6" w:tplc="2242B9C4">
      <w:start w:val="1"/>
      <w:numFmt w:val="bullet"/>
      <w:lvlText w:val="●"/>
      <w:lvlJc w:val="left"/>
      <w:pPr>
        <w:ind w:left="5040" w:hanging="360"/>
      </w:pPr>
    </w:lvl>
    <w:lvl w:ilvl="7" w:tplc="3AD2FFF2">
      <w:start w:val="1"/>
      <w:numFmt w:val="bullet"/>
      <w:lvlText w:val="●"/>
      <w:lvlJc w:val="left"/>
      <w:pPr>
        <w:ind w:left="5760" w:hanging="360"/>
      </w:pPr>
    </w:lvl>
    <w:lvl w:ilvl="8" w:tplc="7520D208">
      <w:start w:val="1"/>
      <w:numFmt w:val="bullet"/>
      <w:lvlText w:val="●"/>
      <w:lvlJc w:val="left"/>
      <w:pPr>
        <w:ind w:left="6480" w:hanging="360"/>
      </w:pPr>
    </w:lvl>
  </w:abstractNum>
  <w:abstractNum w:abstractNumId="36" w15:restartNumberingAfterBreak="0">
    <w:nsid w:val="7E47A95D"/>
    <w:multiLevelType w:val="hybridMultilevel"/>
    <w:tmpl w:val="AEDA91E6"/>
    <w:lvl w:ilvl="0" w:tplc="8F9030BA">
      <w:start w:val="1"/>
      <w:numFmt w:val="bullet"/>
      <w:lvlText w:val=""/>
      <w:lvlJc w:val="left"/>
      <w:pPr>
        <w:ind w:left="720" w:hanging="360"/>
      </w:pPr>
      <w:rPr>
        <w:rFonts w:hint="default" w:ascii="Symbol" w:hAnsi="Symbol"/>
      </w:rPr>
    </w:lvl>
    <w:lvl w:ilvl="1" w:tplc="C53AE10E">
      <w:start w:val="1"/>
      <w:numFmt w:val="bullet"/>
      <w:lvlText w:val="o"/>
      <w:lvlJc w:val="left"/>
      <w:pPr>
        <w:ind w:left="1440" w:hanging="360"/>
      </w:pPr>
      <w:rPr>
        <w:rFonts w:hint="default" w:ascii="Courier New" w:hAnsi="Courier New"/>
      </w:rPr>
    </w:lvl>
    <w:lvl w:ilvl="2" w:tplc="6E8083F4">
      <w:start w:val="1"/>
      <w:numFmt w:val="bullet"/>
      <w:lvlText w:val=""/>
      <w:lvlJc w:val="left"/>
      <w:pPr>
        <w:ind w:left="2160" w:hanging="360"/>
      </w:pPr>
      <w:rPr>
        <w:rFonts w:hint="default" w:ascii="Wingdings" w:hAnsi="Wingdings"/>
      </w:rPr>
    </w:lvl>
    <w:lvl w:ilvl="3" w:tplc="D1683126">
      <w:start w:val="1"/>
      <w:numFmt w:val="bullet"/>
      <w:lvlText w:val=""/>
      <w:lvlJc w:val="left"/>
      <w:pPr>
        <w:ind w:left="2880" w:hanging="360"/>
      </w:pPr>
      <w:rPr>
        <w:rFonts w:hint="default" w:ascii="Symbol" w:hAnsi="Symbol"/>
      </w:rPr>
    </w:lvl>
    <w:lvl w:ilvl="4" w:tplc="D542C120">
      <w:start w:val="1"/>
      <w:numFmt w:val="bullet"/>
      <w:lvlText w:val="o"/>
      <w:lvlJc w:val="left"/>
      <w:pPr>
        <w:ind w:left="3600" w:hanging="360"/>
      </w:pPr>
      <w:rPr>
        <w:rFonts w:hint="default" w:ascii="Courier New" w:hAnsi="Courier New"/>
      </w:rPr>
    </w:lvl>
    <w:lvl w:ilvl="5" w:tplc="83A49F7C">
      <w:start w:val="1"/>
      <w:numFmt w:val="bullet"/>
      <w:lvlText w:val=""/>
      <w:lvlJc w:val="left"/>
      <w:pPr>
        <w:ind w:left="4320" w:hanging="360"/>
      </w:pPr>
      <w:rPr>
        <w:rFonts w:hint="default" w:ascii="Wingdings" w:hAnsi="Wingdings"/>
      </w:rPr>
    </w:lvl>
    <w:lvl w:ilvl="6" w:tplc="D2B0435C">
      <w:start w:val="1"/>
      <w:numFmt w:val="bullet"/>
      <w:lvlText w:val=""/>
      <w:lvlJc w:val="left"/>
      <w:pPr>
        <w:ind w:left="5040" w:hanging="360"/>
      </w:pPr>
      <w:rPr>
        <w:rFonts w:hint="default" w:ascii="Symbol" w:hAnsi="Symbol"/>
      </w:rPr>
    </w:lvl>
    <w:lvl w:ilvl="7" w:tplc="711EF6A2">
      <w:start w:val="1"/>
      <w:numFmt w:val="bullet"/>
      <w:lvlText w:val="o"/>
      <w:lvlJc w:val="left"/>
      <w:pPr>
        <w:ind w:left="5760" w:hanging="360"/>
      </w:pPr>
      <w:rPr>
        <w:rFonts w:hint="default" w:ascii="Courier New" w:hAnsi="Courier New"/>
      </w:rPr>
    </w:lvl>
    <w:lvl w:ilvl="8" w:tplc="28E08F1C">
      <w:start w:val="1"/>
      <w:numFmt w:val="bullet"/>
      <w:lvlText w:val=""/>
      <w:lvlJc w:val="left"/>
      <w:pPr>
        <w:ind w:left="6480" w:hanging="360"/>
      </w:pPr>
      <w:rPr>
        <w:rFonts w:hint="default" w:ascii="Wingdings" w:hAnsi="Wingdings"/>
      </w:rPr>
    </w:lvl>
  </w:abstractNum>
  <w:abstractNum w:abstractNumId="37" w15:restartNumberingAfterBreak="0">
    <w:nsid w:val="7FB5D109"/>
    <w:multiLevelType w:val="hybridMultilevel"/>
    <w:tmpl w:val="4EF2EE40"/>
    <w:lvl w:ilvl="0" w:tplc="D4B6F298">
      <w:start w:val="1"/>
      <w:numFmt w:val="bullet"/>
      <w:lvlText w:val=""/>
      <w:lvlJc w:val="left"/>
      <w:pPr>
        <w:ind w:left="720" w:hanging="360"/>
      </w:pPr>
      <w:rPr>
        <w:rFonts w:hint="default" w:ascii="Symbol" w:hAnsi="Symbol"/>
      </w:rPr>
    </w:lvl>
    <w:lvl w:ilvl="1" w:tplc="5DEC9FD6">
      <w:start w:val="1"/>
      <w:numFmt w:val="bullet"/>
      <w:lvlText w:val="o"/>
      <w:lvlJc w:val="left"/>
      <w:pPr>
        <w:ind w:left="1440" w:hanging="360"/>
      </w:pPr>
      <w:rPr>
        <w:rFonts w:hint="default" w:ascii="Courier New" w:hAnsi="Courier New"/>
      </w:rPr>
    </w:lvl>
    <w:lvl w:ilvl="2" w:tplc="4F9A4468">
      <w:start w:val="1"/>
      <w:numFmt w:val="bullet"/>
      <w:lvlText w:val=""/>
      <w:lvlJc w:val="left"/>
      <w:pPr>
        <w:ind w:left="2160" w:hanging="360"/>
      </w:pPr>
      <w:rPr>
        <w:rFonts w:hint="default" w:ascii="Wingdings" w:hAnsi="Wingdings"/>
      </w:rPr>
    </w:lvl>
    <w:lvl w:ilvl="3" w:tplc="D7EE5316">
      <w:start w:val="1"/>
      <w:numFmt w:val="bullet"/>
      <w:lvlText w:val=""/>
      <w:lvlJc w:val="left"/>
      <w:pPr>
        <w:ind w:left="2880" w:hanging="360"/>
      </w:pPr>
      <w:rPr>
        <w:rFonts w:hint="default" w:ascii="Symbol" w:hAnsi="Symbol"/>
      </w:rPr>
    </w:lvl>
    <w:lvl w:ilvl="4" w:tplc="F9C4A1A4">
      <w:start w:val="1"/>
      <w:numFmt w:val="bullet"/>
      <w:lvlText w:val="o"/>
      <w:lvlJc w:val="left"/>
      <w:pPr>
        <w:ind w:left="3600" w:hanging="360"/>
      </w:pPr>
      <w:rPr>
        <w:rFonts w:hint="default" w:ascii="Courier New" w:hAnsi="Courier New"/>
      </w:rPr>
    </w:lvl>
    <w:lvl w:ilvl="5" w:tplc="BFF23D4E">
      <w:start w:val="1"/>
      <w:numFmt w:val="bullet"/>
      <w:lvlText w:val=""/>
      <w:lvlJc w:val="left"/>
      <w:pPr>
        <w:ind w:left="4320" w:hanging="360"/>
      </w:pPr>
      <w:rPr>
        <w:rFonts w:hint="default" w:ascii="Wingdings" w:hAnsi="Wingdings"/>
      </w:rPr>
    </w:lvl>
    <w:lvl w:ilvl="6" w:tplc="5FCA4E1C">
      <w:start w:val="1"/>
      <w:numFmt w:val="bullet"/>
      <w:lvlText w:val=""/>
      <w:lvlJc w:val="left"/>
      <w:pPr>
        <w:ind w:left="5040" w:hanging="360"/>
      </w:pPr>
      <w:rPr>
        <w:rFonts w:hint="default" w:ascii="Symbol" w:hAnsi="Symbol"/>
      </w:rPr>
    </w:lvl>
    <w:lvl w:ilvl="7" w:tplc="1B14555E">
      <w:start w:val="1"/>
      <w:numFmt w:val="bullet"/>
      <w:lvlText w:val="o"/>
      <w:lvlJc w:val="left"/>
      <w:pPr>
        <w:ind w:left="5760" w:hanging="360"/>
      </w:pPr>
      <w:rPr>
        <w:rFonts w:hint="default" w:ascii="Courier New" w:hAnsi="Courier New"/>
      </w:rPr>
    </w:lvl>
    <w:lvl w:ilvl="8" w:tplc="625CE060">
      <w:start w:val="1"/>
      <w:numFmt w:val="bullet"/>
      <w:lvlText w:val=""/>
      <w:lvlJc w:val="left"/>
      <w:pPr>
        <w:ind w:left="6480" w:hanging="360"/>
      </w:pPr>
      <w:rPr>
        <w:rFonts w:hint="default" w:ascii="Wingdings" w:hAnsi="Wingdings"/>
      </w:rPr>
    </w:lvl>
  </w:abstractNum>
  <w:num w:numId="1" w16cid:durableId="1826125225">
    <w:abstractNumId w:val="11"/>
    <w:lvlOverride w:ilvl="0">
      <w:startOverride w:val="1"/>
    </w:lvlOverride>
  </w:num>
  <w:num w:numId="2" w16cid:durableId="713047376">
    <w:abstractNumId w:val="35"/>
    <w:lvlOverride w:ilvl="0">
      <w:startOverride w:val="1"/>
    </w:lvlOverride>
  </w:num>
  <w:num w:numId="3" w16cid:durableId="1436173336">
    <w:abstractNumId w:val="18"/>
  </w:num>
  <w:num w:numId="4" w16cid:durableId="654987676">
    <w:abstractNumId w:val="29"/>
  </w:num>
  <w:num w:numId="5" w16cid:durableId="713693221">
    <w:abstractNumId w:val="9"/>
  </w:num>
  <w:num w:numId="6" w16cid:durableId="1838374222">
    <w:abstractNumId w:val="20"/>
  </w:num>
  <w:num w:numId="7" w16cid:durableId="318731127">
    <w:abstractNumId w:val="24"/>
  </w:num>
  <w:num w:numId="8" w16cid:durableId="1007368017">
    <w:abstractNumId w:val="23"/>
  </w:num>
  <w:num w:numId="9" w16cid:durableId="2046713717">
    <w:abstractNumId w:val="25"/>
  </w:num>
  <w:num w:numId="10" w16cid:durableId="1586307749">
    <w:abstractNumId w:val="37"/>
  </w:num>
  <w:num w:numId="11" w16cid:durableId="1644001608">
    <w:abstractNumId w:val="4"/>
  </w:num>
  <w:num w:numId="12" w16cid:durableId="486214080">
    <w:abstractNumId w:val="7"/>
  </w:num>
  <w:num w:numId="13" w16cid:durableId="348725401">
    <w:abstractNumId w:val="12"/>
  </w:num>
  <w:num w:numId="14" w16cid:durableId="977799555">
    <w:abstractNumId w:val="30"/>
  </w:num>
  <w:num w:numId="15" w16cid:durableId="1595699240">
    <w:abstractNumId w:val="33"/>
  </w:num>
  <w:num w:numId="16" w16cid:durableId="2080512487">
    <w:abstractNumId w:val="3"/>
  </w:num>
  <w:num w:numId="17" w16cid:durableId="1420909049">
    <w:abstractNumId w:val="31"/>
  </w:num>
  <w:num w:numId="18" w16cid:durableId="825896295">
    <w:abstractNumId w:val="36"/>
  </w:num>
  <w:num w:numId="19" w16cid:durableId="419790388">
    <w:abstractNumId w:val="34"/>
  </w:num>
  <w:num w:numId="20" w16cid:durableId="1395159583">
    <w:abstractNumId w:val="14"/>
  </w:num>
  <w:num w:numId="21" w16cid:durableId="95105671">
    <w:abstractNumId w:val="26"/>
  </w:num>
  <w:num w:numId="22" w16cid:durableId="623314719">
    <w:abstractNumId w:val="22"/>
  </w:num>
  <w:num w:numId="23" w16cid:durableId="369302436">
    <w:abstractNumId w:val="19"/>
  </w:num>
  <w:num w:numId="24" w16cid:durableId="1314487668">
    <w:abstractNumId w:val="8"/>
  </w:num>
  <w:num w:numId="25" w16cid:durableId="2059010815">
    <w:abstractNumId w:val="2"/>
  </w:num>
  <w:num w:numId="26" w16cid:durableId="1745834837">
    <w:abstractNumId w:val="15"/>
  </w:num>
  <w:num w:numId="27" w16cid:durableId="1225484139">
    <w:abstractNumId w:val="17"/>
  </w:num>
  <w:num w:numId="28" w16cid:durableId="1925186139">
    <w:abstractNumId w:val="28"/>
  </w:num>
  <w:num w:numId="29" w16cid:durableId="379089627">
    <w:abstractNumId w:val="5"/>
  </w:num>
  <w:num w:numId="30" w16cid:durableId="904997678">
    <w:abstractNumId w:val="10"/>
  </w:num>
  <w:num w:numId="31" w16cid:durableId="41637315">
    <w:abstractNumId w:val="6"/>
  </w:num>
  <w:num w:numId="32" w16cid:durableId="194851999">
    <w:abstractNumId w:val="21"/>
  </w:num>
  <w:num w:numId="33" w16cid:durableId="687292098">
    <w:abstractNumId w:val="27"/>
  </w:num>
  <w:num w:numId="34" w16cid:durableId="275523674">
    <w:abstractNumId w:val="1"/>
  </w:num>
  <w:num w:numId="35" w16cid:durableId="440875899">
    <w:abstractNumId w:val="13"/>
  </w:num>
  <w:num w:numId="36" w16cid:durableId="392510204">
    <w:abstractNumId w:val="32"/>
  </w:num>
  <w:num w:numId="37" w16cid:durableId="1494489404">
    <w:abstractNumId w:val="16"/>
  </w:num>
  <w:num w:numId="38" w16cid:durableId="18988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07"/>
    <w:rsid w:val="00002185"/>
    <w:rsid w:val="00002B2D"/>
    <w:rsid w:val="0000316C"/>
    <w:rsid w:val="00006ACF"/>
    <w:rsid w:val="0001173B"/>
    <w:rsid w:val="000133F8"/>
    <w:rsid w:val="000224F0"/>
    <w:rsid w:val="00024A91"/>
    <w:rsid w:val="00031BDE"/>
    <w:rsid w:val="00032979"/>
    <w:rsid w:val="00034545"/>
    <w:rsid w:val="000345EC"/>
    <w:rsid w:val="00041384"/>
    <w:rsid w:val="000415E2"/>
    <w:rsid w:val="00044B47"/>
    <w:rsid w:val="0004536B"/>
    <w:rsid w:val="000456E2"/>
    <w:rsid w:val="000507F9"/>
    <w:rsid w:val="00057C84"/>
    <w:rsid w:val="000637F0"/>
    <w:rsid w:val="00065ECE"/>
    <w:rsid w:val="000710D5"/>
    <w:rsid w:val="00075354"/>
    <w:rsid w:val="00076CA2"/>
    <w:rsid w:val="00080EA4"/>
    <w:rsid w:val="000854C1"/>
    <w:rsid w:val="00087061"/>
    <w:rsid w:val="000908D3"/>
    <w:rsid w:val="00091775"/>
    <w:rsid w:val="0009659E"/>
    <w:rsid w:val="000A03C9"/>
    <w:rsid w:val="000A2131"/>
    <w:rsid w:val="000A24B5"/>
    <w:rsid w:val="000A63CE"/>
    <w:rsid w:val="000B153C"/>
    <w:rsid w:val="000B1920"/>
    <w:rsid w:val="000B250E"/>
    <w:rsid w:val="000B5CB9"/>
    <w:rsid w:val="000B6125"/>
    <w:rsid w:val="000C20A9"/>
    <w:rsid w:val="000C2291"/>
    <w:rsid w:val="000C6FAC"/>
    <w:rsid w:val="000D0A4C"/>
    <w:rsid w:val="000D0B49"/>
    <w:rsid w:val="000D2ED3"/>
    <w:rsid w:val="000D413B"/>
    <w:rsid w:val="000E297E"/>
    <w:rsid w:val="000E2B74"/>
    <w:rsid w:val="000E4A0B"/>
    <w:rsid w:val="000E4E7B"/>
    <w:rsid w:val="000EE64C"/>
    <w:rsid w:val="000F25D6"/>
    <w:rsid w:val="000F41E5"/>
    <w:rsid w:val="000F4C86"/>
    <w:rsid w:val="000F618F"/>
    <w:rsid w:val="00110878"/>
    <w:rsid w:val="00110C0E"/>
    <w:rsid w:val="00112AAF"/>
    <w:rsid w:val="00124555"/>
    <w:rsid w:val="00125F92"/>
    <w:rsid w:val="001353F6"/>
    <w:rsid w:val="001425C3"/>
    <w:rsid w:val="00147CB6"/>
    <w:rsid w:val="00155192"/>
    <w:rsid w:val="001579D7"/>
    <w:rsid w:val="00163B07"/>
    <w:rsid w:val="0016525B"/>
    <w:rsid w:val="00170536"/>
    <w:rsid w:val="00175220"/>
    <w:rsid w:val="00176D7E"/>
    <w:rsid w:val="0018146B"/>
    <w:rsid w:val="001847F0"/>
    <w:rsid w:val="0018483B"/>
    <w:rsid w:val="00184C9E"/>
    <w:rsid w:val="00192CD5"/>
    <w:rsid w:val="00193A3B"/>
    <w:rsid w:val="001971C0"/>
    <w:rsid w:val="001978A2"/>
    <w:rsid w:val="001A121B"/>
    <w:rsid w:val="001A22E7"/>
    <w:rsid w:val="001A52B2"/>
    <w:rsid w:val="001A6E0D"/>
    <w:rsid w:val="001A7E8B"/>
    <w:rsid w:val="001B0AC6"/>
    <w:rsid w:val="001B198A"/>
    <w:rsid w:val="001C089D"/>
    <w:rsid w:val="001C305D"/>
    <w:rsid w:val="001C47B4"/>
    <w:rsid w:val="001C4A9C"/>
    <w:rsid w:val="001C712E"/>
    <w:rsid w:val="001D14F4"/>
    <w:rsid w:val="001D24BF"/>
    <w:rsid w:val="001D6E6A"/>
    <w:rsid w:val="001E6389"/>
    <w:rsid w:val="001E7B92"/>
    <w:rsid w:val="001F24F9"/>
    <w:rsid w:val="00201B9E"/>
    <w:rsid w:val="00202831"/>
    <w:rsid w:val="002077CA"/>
    <w:rsid w:val="002104D6"/>
    <w:rsid w:val="002130B5"/>
    <w:rsid w:val="00213835"/>
    <w:rsid w:val="0021782F"/>
    <w:rsid w:val="00225475"/>
    <w:rsid w:val="0022750A"/>
    <w:rsid w:val="00227B52"/>
    <w:rsid w:val="002324A6"/>
    <w:rsid w:val="002360F5"/>
    <w:rsid w:val="0023706F"/>
    <w:rsid w:val="002375FA"/>
    <w:rsid w:val="00237EC1"/>
    <w:rsid w:val="00243E50"/>
    <w:rsid w:val="00243E6A"/>
    <w:rsid w:val="002452D1"/>
    <w:rsid w:val="00245F49"/>
    <w:rsid w:val="00246BA6"/>
    <w:rsid w:val="00250486"/>
    <w:rsid w:val="00261FFB"/>
    <w:rsid w:val="00264451"/>
    <w:rsid w:val="0027058F"/>
    <w:rsid w:val="002727EA"/>
    <w:rsid w:val="00280C2D"/>
    <w:rsid w:val="00280F9D"/>
    <w:rsid w:val="00283F52"/>
    <w:rsid w:val="00284E85"/>
    <w:rsid w:val="00285016"/>
    <w:rsid w:val="00286C8D"/>
    <w:rsid w:val="00287D8C"/>
    <w:rsid w:val="0029147F"/>
    <w:rsid w:val="00291816"/>
    <w:rsid w:val="0029273C"/>
    <w:rsid w:val="0029492A"/>
    <w:rsid w:val="0029547D"/>
    <w:rsid w:val="0029DAF2"/>
    <w:rsid w:val="002A18AF"/>
    <w:rsid w:val="002A1FC1"/>
    <w:rsid w:val="002A57B6"/>
    <w:rsid w:val="002A59C2"/>
    <w:rsid w:val="002A7769"/>
    <w:rsid w:val="002B333C"/>
    <w:rsid w:val="002B43F0"/>
    <w:rsid w:val="002C05EE"/>
    <w:rsid w:val="002D75D2"/>
    <w:rsid w:val="002E0AF4"/>
    <w:rsid w:val="002E5A42"/>
    <w:rsid w:val="002E72B8"/>
    <w:rsid w:val="002F0FA8"/>
    <w:rsid w:val="002F4A1A"/>
    <w:rsid w:val="002F62AB"/>
    <w:rsid w:val="00301EBB"/>
    <w:rsid w:val="00302206"/>
    <w:rsid w:val="00303DFC"/>
    <w:rsid w:val="003055C2"/>
    <w:rsid w:val="00305677"/>
    <w:rsid w:val="003061E4"/>
    <w:rsid w:val="003110A7"/>
    <w:rsid w:val="00311F68"/>
    <w:rsid w:val="00312A1F"/>
    <w:rsid w:val="00312D8F"/>
    <w:rsid w:val="00313B62"/>
    <w:rsid w:val="00314A9B"/>
    <w:rsid w:val="00315312"/>
    <w:rsid w:val="00321FB6"/>
    <w:rsid w:val="00322FCA"/>
    <w:rsid w:val="003236D9"/>
    <w:rsid w:val="00325014"/>
    <w:rsid w:val="00325733"/>
    <w:rsid w:val="00341A33"/>
    <w:rsid w:val="0034D30D"/>
    <w:rsid w:val="00352902"/>
    <w:rsid w:val="0035307E"/>
    <w:rsid w:val="0035457A"/>
    <w:rsid w:val="003553C1"/>
    <w:rsid w:val="003564C1"/>
    <w:rsid w:val="00357D3C"/>
    <w:rsid w:val="00360E3E"/>
    <w:rsid w:val="00363F05"/>
    <w:rsid w:val="00367626"/>
    <w:rsid w:val="003700C4"/>
    <w:rsid w:val="003714C8"/>
    <w:rsid w:val="003738A8"/>
    <w:rsid w:val="0037724A"/>
    <w:rsid w:val="00381205"/>
    <w:rsid w:val="00384558"/>
    <w:rsid w:val="003930CB"/>
    <w:rsid w:val="0039497E"/>
    <w:rsid w:val="003A3B42"/>
    <w:rsid w:val="003A3DCD"/>
    <w:rsid w:val="003A4B35"/>
    <w:rsid w:val="003A7EDD"/>
    <w:rsid w:val="003B2007"/>
    <w:rsid w:val="003B524F"/>
    <w:rsid w:val="003C15E1"/>
    <w:rsid w:val="003C24B3"/>
    <w:rsid w:val="003C3DD4"/>
    <w:rsid w:val="003C5606"/>
    <w:rsid w:val="003C7813"/>
    <w:rsid w:val="003C7DD6"/>
    <w:rsid w:val="003D3F73"/>
    <w:rsid w:val="003E0C33"/>
    <w:rsid w:val="003E1DBB"/>
    <w:rsid w:val="003E4127"/>
    <w:rsid w:val="003E6308"/>
    <w:rsid w:val="003F395B"/>
    <w:rsid w:val="00403A79"/>
    <w:rsid w:val="00404A3B"/>
    <w:rsid w:val="00406795"/>
    <w:rsid w:val="00411553"/>
    <w:rsid w:val="00423EB3"/>
    <w:rsid w:val="00424D1E"/>
    <w:rsid w:val="004304DE"/>
    <w:rsid w:val="004344F7"/>
    <w:rsid w:val="00435DEC"/>
    <w:rsid w:val="00435E33"/>
    <w:rsid w:val="00441791"/>
    <w:rsid w:val="004514D6"/>
    <w:rsid w:val="00453246"/>
    <w:rsid w:val="004561AD"/>
    <w:rsid w:val="00456414"/>
    <w:rsid w:val="00456F37"/>
    <w:rsid w:val="00462A1A"/>
    <w:rsid w:val="004636C2"/>
    <w:rsid w:val="00463BF0"/>
    <w:rsid w:val="0047709C"/>
    <w:rsid w:val="0048404A"/>
    <w:rsid w:val="00484726"/>
    <w:rsid w:val="00486785"/>
    <w:rsid w:val="00490EBB"/>
    <w:rsid w:val="004968DE"/>
    <w:rsid w:val="004A0CE9"/>
    <w:rsid w:val="004A2C47"/>
    <w:rsid w:val="004A5E18"/>
    <w:rsid w:val="004B2979"/>
    <w:rsid w:val="004B4063"/>
    <w:rsid w:val="004B77DF"/>
    <w:rsid w:val="004C3E34"/>
    <w:rsid w:val="004C7530"/>
    <w:rsid w:val="004D09C0"/>
    <w:rsid w:val="004D2410"/>
    <w:rsid w:val="004D4899"/>
    <w:rsid w:val="004D5D5E"/>
    <w:rsid w:val="004E2576"/>
    <w:rsid w:val="004F00CF"/>
    <w:rsid w:val="004F1178"/>
    <w:rsid w:val="004F1EAE"/>
    <w:rsid w:val="00507907"/>
    <w:rsid w:val="00507B05"/>
    <w:rsid w:val="0051035C"/>
    <w:rsid w:val="00513C19"/>
    <w:rsid w:val="00513ED7"/>
    <w:rsid w:val="005260CE"/>
    <w:rsid w:val="005309B3"/>
    <w:rsid w:val="00536B71"/>
    <w:rsid w:val="00540F62"/>
    <w:rsid w:val="005415D7"/>
    <w:rsid w:val="0054253E"/>
    <w:rsid w:val="005432F4"/>
    <w:rsid w:val="0054385B"/>
    <w:rsid w:val="00553A68"/>
    <w:rsid w:val="00557D90"/>
    <w:rsid w:val="0055BA19"/>
    <w:rsid w:val="0056304F"/>
    <w:rsid w:val="005669F8"/>
    <w:rsid w:val="00570130"/>
    <w:rsid w:val="00573B9D"/>
    <w:rsid w:val="00573C08"/>
    <w:rsid w:val="0057533E"/>
    <w:rsid w:val="0057798C"/>
    <w:rsid w:val="0058006B"/>
    <w:rsid w:val="00580A70"/>
    <w:rsid w:val="005816B6"/>
    <w:rsid w:val="005818C0"/>
    <w:rsid w:val="005847F8"/>
    <w:rsid w:val="0059017F"/>
    <w:rsid w:val="00591981"/>
    <w:rsid w:val="00596337"/>
    <w:rsid w:val="00596B13"/>
    <w:rsid w:val="005A1C79"/>
    <w:rsid w:val="005A2765"/>
    <w:rsid w:val="005B5228"/>
    <w:rsid w:val="005C16EE"/>
    <w:rsid w:val="005C2141"/>
    <w:rsid w:val="005C5581"/>
    <w:rsid w:val="005C6CB1"/>
    <w:rsid w:val="005C7300"/>
    <w:rsid w:val="005C7CD1"/>
    <w:rsid w:val="005C7CD6"/>
    <w:rsid w:val="005D3D7F"/>
    <w:rsid w:val="005D5F50"/>
    <w:rsid w:val="005D6B73"/>
    <w:rsid w:val="005D7EF5"/>
    <w:rsid w:val="005E0BB6"/>
    <w:rsid w:val="005E4A4C"/>
    <w:rsid w:val="005F403D"/>
    <w:rsid w:val="005F4520"/>
    <w:rsid w:val="005F6E67"/>
    <w:rsid w:val="005F70F6"/>
    <w:rsid w:val="0060114A"/>
    <w:rsid w:val="00601451"/>
    <w:rsid w:val="006038E0"/>
    <w:rsid w:val="00606FFD"/>
    <w:rsid w:val="006136DB"/>
    <w:rsid w:val="0061629D"/>
    <w:rsid w:val="006176BB"/>
    <w:rsid w:val="006221CE"/>
    <w:rsid w:val="00627754"/>
    <w:rsid w:val="00633825"/>
    <w:rsid w:val="006416E8"/>
    <w:rsid w:val="00644159"/>
    <w:rsid w:val="0065144D"/>
    <w:rsid w:val="00652239"/>
    <w:rsid w:val="00652415"/>
    <w:rsid w:val="006536CA"/>
    <w:rsid w:val="00655BF0"/>
    <w:rsid w:val="006561F5"/>
    <w:rsid w:val="006565DE"/>
    <w:rsid w:val="0066108E"/>
    <w:rsid w:val="0066532D"/>
    <w:rsid w:val="00666604"/>
    <w:rsid w:val="006739B3"/>
    <w:rsid w:val="006824E7"/>
    <w:rsid w:val="006A303D"/>
    <w:rsid w:val="006A403E"/>
    <w:rsid w:val="006A5DEF"/>
    <w:rsid w:val="006A68D6"/>
    <w:rsid w:val="006B3E9A"/>
    <w:rsid w:val="006B4DD9"/>
    <w:rsid w:val="006B4E5F"/>
    <w:rsid w:val="006B4EC0"/>
    <w:rsid w:val="006B5A9C"/>
    <w:rsid w:val="006B71AB"/>
    <w:rsid w:val="006C06ED"/>
    <w:rsid w:val="006C0D6F"/>
    <w:rsid w:val="006C60DD"/>
    <w:rsid w:val="006E28F2"/>
    <w:rsid w:val="006F14A7"/>
    <w:rsid w:val="006F2057"/>
    <w:rsid w:val="006F7C2B"/>
    <w:rsid w:val="00701783"/>
    <w:rsid w:val="00706367"/>
    <w:rsid w:val="00710F04"/>
    <w:rsid w:val="00711B2B"/>
    <w:rsid w:val="00713438"/>
    <w:rsid w:val="00727708"/>
    <w:rsid w:val="0073006E"/>
    <w:rsid w:val="00737014"/>
    <w:rsid w:val="00737E64"/>
    <w:rsid w:val="00740E0C"/>
    <w:rsid w:val="0074208D"/>
    <w:rsid w:val="00742FFC"/>
    <w:rsid w:val="00745F13"/>
    <w:rsid w:val="00746071"/>
    <w:rsid w:val="0074684B"/>
    <w:rsid w:val="00750DA3"/>
    <w:rsid w:val="00751C7F"/>
    <w:rsid w:val="00754BFC"/>
    <w:rsid w:val="00761174"/>
    <w:rsid w:val="00763C53"/>
    <w:rsid w:val="00767130"/>
    <w:rsid w:val="00772D73"/>
    <w:rsid w:val="007766B8"/>
    <w:rsid w:val="00776FB0"/>
    <w:rsid w:val="0078177B"/>
    <w:rsid w:val="00782108"/>
    <w:rsid w:val="0078439B"/>
    <w:rsid w:val="007846E1"/>
    <w:rsid w:val="00784852"/>
    <w:rsid w:val="00785E10"/>
    <w:rsid w:val="00790DBD"/>
    <w:rsid w:val="007923A5"/>
    <w:rsid w:val="00793397"/>
    <w:rsid w:val="00793B97"/>
    <w:rsid w:val="007973B4"/>
    <w:rsid w:val="00797DE4"/>
    <w:rsid w:val="007A2885"/>
    <w:rsid w:val="007A30EB"/>
    <w:rsid w:val="007A4F05"/>
    <w:rsid w:val="007B15F3"/>
    <w:rsid w:val="007B2E49"/>
    <w:rsid w:val="007B33F2"/>
    <w:rsid w:val="007B4BE9"/>
    <w:rsid w:val="007B7578"/>
    <w:rsid w:val="007C153A"/>
    <w:rsid w:val="007C2B2A"/>
    <w:rsid w:val="007C78F8"/>
    <w:rsid w:val="007D0508"/>
    <w:rsid w:val="007D2437"/>
    <w:rsid w:val="007D29C2"/>
    <w:rsid w:val="007D4FFF"/>
    <w:rsid w:val="007E04CC"/>
    <w:rsid w:val="007E0E52"/>
    <w:rsid w:val="007E19B7"/>
    <w:rsid w:val="007E28FB"/>
    <w:rsid w:val="007E6C94"/>
    <w:rsid w:val="007F2947"/>
    <w:rsid w:val="007F5A21"/>
    <w:rsid w:val="007F686C"/>
    <w:rsid w:val="007F69CE"/>
    <w:rsid w:val="007F7A7D"/>
    <w:rsid w:val="00801969"/>
    <w:rsid w:val="00811C0E"/>
    <w:rsid w:val="008160EE"/>
    <w:rsid w:val="00820AE2"/>
    <w:rsid w:val="00821EA7"/>
    <w:rsid w:val="00822AF8"/>
    <w:rsid w:val="00826C8D"/>
    <w:rsid w:val="008306AD"/>
    <w:rsid w:val="00834618"/>
    <w:rsid w:val="00837246"/>
    <w:rsid w:val="00841260"/>
    <w:rsid w:val="00841BF1"/>
    <w:rsid w:val="00843098"/>
    <w:rsid w:val="00843EB4"/>
    <w:rsid w:val="008449D2"/>
    <w:rsid w:val="00845A36"/>
    <w:rsid w:val="0085225F"/>
    <w:rsid w:val="008522C0"/>
    <w:rsid w:val="0085264F"/>
    <w:rsid w:val="0085267B"/>
    <w:rsid w:val="00852ADC"/>
    <w:rsid w:val="00853FDD"/>
    <w:rsid w:val="00855ACD"/>
    <w:rsid w:val="00856798"/>
    <w:rsid w:val="008611C9"/>
    <w:rsid w:val="0087374F"/>
    <w:rsid w:val="00875706"/>
    <w:rsid w:val="00882EB3"/>
    <w:rsid w:val="00883857"/>
    <w:rsid w:val="00887601"/>
    <w:rsid w:val="00891C80"/>
    <w:rsid w:val="0089474A"/>
    <w:rsid w:val="008950B7"/>
    <w:rsid w:val="008A3441"/>
    <w:rsid w:val="008A58BD"/>
    <w:rsid w:val="008A5B7A"/>
    <w:rsid w:val="008A5E75"/>
    <w:rsid w:val="008C53D1"/>
    <w:rsid w:val="008C5DFB"/>
    <w:rsid w:val="008D5EF8"/>
    <w:rsid w:val="008D7D99"/>
    <w:rsid w:val="008E5A83"/>
    <w:rsid w:val="008F0FE7"/>
    <w:rsid w:val="008F334D"/>
    <w:rsid w:val="0090008C"/>
    <w:rsid w:val="00902F38"/>
    <w:rsid w:val="00917240"/>
    <w:rsid w:val="009220E8"/>
    <w:rsid w:val="00923EBE"/>
    <w:rsid w:val="009247EC"/>
    <w:rsid w:val="00925039"/>
    <w:rsid w:val="0093280E"/>
    <w:rsid w:val="00934AC6"/>
    <w:rsid w:val="00936E87"/>
    <w:rsid w:val="00942851"/>
    <w:rsid w:val="00943679"/>
    <w:rsid w:val="00947782"/>
    <w:rsid w:val="009479FC"/>
    <w:rsid w:val="009523DC"/>
    <w:rsid w:val="0095340A"/>
    <w:rsid w:val="0095F5FA"/>
    <w:rsid w:val="00961681"/>
    <w:rsid w:val="00962313"/>
    <w:rsid w:val="00963C7D"/>
    <w:rsid w:val="0096490D"/>
    <w:rsid w:val="00970566"/>
    <w:rsid w:val="009743F2"/>
    <w:rsid w:val="00976B44"/>
    <w:rsid w:val="00982257"/>
    <w:rsid w:val="00993EDF"/>
    <w:rsid w:val="0099A8E4"/>
    <w:rsid w:val="009A07FA"/>
    <w:rsid w:val="009A2A0C"/>
    <w:rsid w:val="009A2C63"/>
    <w:rsid w:val="009A32C0"/>
    <w:rsid w:val="009A6E5F"/>
    <w:rsid w:val="009B059E"/>
    <w:rsid w:val="009B2944"/>
    <w:rsid w:val="009B6194"/>
    <w:rsid w:val="009C0DF0"/>
    <w:rsid w:val="009C67F8"/>
    <w:rsid w:val="009C6A02"/>
    <w:rsid w:val="009D393A"/>
    <w:rsid w:val="009D47C7"/>
    <w:rsid w:val="009D53F5"/>
    <w:rsid w:val="009D68FA"/>
    <w:rsid w:val="009F0CA0"/>
    <w:rsid w:val="009F27A7"/>
    <w:rsid w:val="009F65DF"/>
    <w:rsid w:val="00A02345"/>
    <w:rsid w:val="00A06622"/>
    <w:rsid w:val="00A06904"/>
    <w:rsid w:val="00A138A3"/>
    <w:rsid w:val="00A16072"/>
    <w:rsid w:val="00A22AE2"/>
    <w:rsid w:val="00A23B5E"/>
    <w:rsid w:val="00A2458D"/>
    <w:rsid w:val="00A2672C"/>
    <w:rsid w:val="00A27D4D"/>
    <w:rsid w:val="00A31B6A"/>
    <w:rsid w:val="00A3263E"/>
    <w:rsid w:val="00A3319E"/>
    <w:rsid w:val="00A341EA"/>
    <w:rsid w:val="00A345B5"/>
    <w:rsid w:val="00A4086E"/>
    <w:rsid w:val="00A506F7"/>
    <w:rsid w:val="00A537E1"/>
    <w:rsid w:val="00A62144"/>
    <w:rsid w:val="00A677F8"/>
    <w:rsid w:val="00A71A3A"/>
    <w:rsid w:val="00A73884"/>
    <w:rsid w:val="00A74569"/>
    <w:rsid w:val="00A8047E"/>
    <w:rsid w:val="00A80ABE"/>
    <w:rsid w:val="00A83BA7"/>
    <w:rsid w:val="00A86608"/>
    <w:rsid w:val="00A87B05"/>
    <w:rsid w:val="00A91132"/>
    <w:rsid w:val="00A93235"/>
    <w:rsid w:val="00AA30DE"/>
    <w:rsid w:val="00AA5425"/>
    <w:rsid w:val="00AA65E6"/>
    <w:rsid w:val="00AA7598"/>
    <w:rsid w:val="00AB096E"/>
    <w:rsid w:val="00AB1C19"/>
    <w:rsid w:val="00AB73C6"/>
    <w:rsid w:val="00AC0FAC"/>
    <w:rsid w:val="00AC1F7C"/>
    <w:rsid w:val="00AC3198"/>
    <w:rsid w:val="00AC3803"/>
    <w:rsid w:val="00AC45F5"/>
    <w:rsid w:val="00AC51C3"/>
    <w:rsid w:val="00AC7355"/>
    <w:rsid w:val="00AC7797"/>
    <w:rsid w:val="00AC7CB2"/>
    <w:rsid w:val="00AD036B"/>
    <w:rsid w:val="00AE06C1"/>
    <w:rsid w:val="00AE2D76"/>
    <w:rsid w:val="00AE3109"/>
    <w:rsid w:val="00AE62C7"/>
    <w:rsid w:val="00AE690D"/>
    <w:rsid w:val="00AF7AFF"/>
    <w:rsid w:val="00B002FE"/>
    <w:rsid w:val="00B00F11"/>
    <w:rsid w:val="00B018CB"/>
    <w:rsid w:val="00B032B2"/>
    <w:rsid w:val="00B11993"/>
    <w:rsid w:val="00B11D09"/>
    <w:rsid w:val="00B121B8"/>
    <w:rsid w:val="00B167AC"/>
    <w:rsid w:val="00B167D6"/>
    <w:rsid w:val="00B16C97"/>
    <w:rsid w:val="00B279C7"/>
    <w:rsid w:val="00B31B13"/>
    <w:rsid w:val="00B35050"/>
    <w:rsid w:val="00B447A4"/>
    <w:rsid w:val="00B467CE"/>
    <w:rsid w:val="00B47CDD"/>
    <w:rsid w:val="00B50AB6"/>
    <w:rsid w:val="00B56EAF"/>
    <w:rsid w:val="00B70A1B"/>
    <w:rsid w:val="00B72457"/>
    <w:rsid w:val="00B728F9"/>
    <w:rsid w:val="00B77BD5"/>
    <w:rsid w:val="00B8175E"/>
    <w:rsid w:val="00B81B09"/>
    <w:rsid w:val="00B83FBF"/>
    <w:rsid w:val="00B84113"/>
    <w:rsid w:val="00B8520B"/>
    <w:rsid w:val="00B872C0"/>
    <w:rsid w:val="00B87B07"/>
    <w:rsid w:val="00B8CEA7"/>
    <w:rsid w:val="00B935B2"/>
    <w:rsid w:val="00B96DA2"/>
    <w:rsid w:val="00BA0080"/>
    <w:rsid w:val="00BA23CC"/>
    <w:rsid w:val="00BA3B1D"/>
    <w:rsid w:val="00BA43B5"/>
    <w:rsid w:val="00BA5A85"/>
    <w:rsid w:val="00BA6358"/>
    <w:rsid w:val="00BA6BC9"/>
    <w:rsid w:val="00BB6DE8"/>
    <w:rsid w:val="00BB79C5"/>
    <w:rsid w:val="00BC66FF"/>
    <w:rsid w:val="00BC6722"/>
    <w:rsid w:val="00BD22BB"/>
    <w:rsid w:val="00BD3CC2"/>
    <w:rsid w:val="00BD7E98"/>
    <w:rsid w:val="00BE1619"/>
    <w:rsid w:val="00BE50F6"/>
    <w:rsid w:val="00BE79B8"/>
    <w:rsid w:val="00BF034A"/>
    <w:rsid w:val="00BF3106"/>
    <w:rsid w:val="00BF757E"/>
    <w:rsid w:val="00C144F9"/>
    <w:rsid w:val="00C1530F"/>
    <w:rsid w:val="00C16294"/>
    <w:rsid w:val="00C17041"/>
    <w:rsid w:val="00C214F3"/>
    <w:rsid w:val="00C21A20"/>
    <w:rsid w:val="00C22345"/>
    <w:rsid w:val="00C23CBF"/>
    <w:rsid w:val="00C26090"/>
    <w:rsid w:val="00C30C6C"/>
    <w:rsid w:val="00C31D85"/>
    <w:rsid w:val="00C40012"/>
    <w:rsid w:val="00C41C3C"/>
    <w:rsid w:val="00C460BE"/>
    <w:rsid w:val="00C52473"/>
    <w:rsid w:val="00C54779"/>
    <w:rsid w:val="00C55562"/>
    <w:rsid w:val="00C567EB"/>
    <w:rsid w:val="00C57C39"/>
    <w:rsid w:val="00C602ED"/>
    <w:rsid w:val="00C63149"/>
    <w:rsid w:val="00C6333E"/>
    <w:rsid w:val="00C65A91"/>
    <w:rsid w:val="00C6693B"/>
    <w:rsid w:val="00C70959"/>
    <w:rsid w:val="00C75002"/>
    <w:rsid w:val="00C8271B"/>
    <w:rsid w:val="00C90909"/>
    <w:rsid w:val="00C930CA"/>
    <w:rsid w:val="00CB0AE5"/>
    <w:rsid w:val="00CB6BBF"/>
    <w:rsid w:val="00CC0023"/>
    <w:rsid w:val="00CC6F15"/>
    <w:rsid w:val="00CD0D49"/>
    <w:rsid w:val="00CD719A"/>
    <w:rsid w:val="00CE2DBD"/>
    <w:rsid w:val="00CE6570"/>
    <w:rsid w:val="00CF443D"/>
    <w:rsid w:val="00CF724E"/>
    <w:rsid w:val="00CF7491"/>
    <w:rsid w:val="00CF7B9B"/>
    <w:rsid w:val="00D00D47"/>
    <w:rsid w:val="00D0638D"/>
    <w:rsid w:val="00D078E3"/>
    <w:rsid w:val="00D107F3"/>
    <w:rsid w:val="00D109D0"/>
    <w:rsid w:val="00D12EB7"/>
    <w:rsid w:val="00D158FA"/>
    <w:rsid w:val="00D1694A"/>
    <w:rsid w:val="00D2161E"/>
    <w:rsid w:val="00D22776"/>
    <w:rsid w:val="00D238AA"/>
    <w:rsid w:val="00D23C89"/>
    <w:rsid w:val="00D2446D"/>
    <w:rsid w:val="00D251F0"/>
    <w:rsid w:val="00D26733"/>
    <w:rsid w:val="00D3096C"/>
    <w:rsid w:val="00D314C8"/>
    <w:rsid w:val="00D314F4"/>
    <w:rsid w:val="00D34659"/>
    <w:rsid w:val="00D42AFA"/>
    <w:rsid w:val="00D45F71"/>
    <w:rsid w:val="00D474D3"/>
    <w:rsid w:val="00D508FA"/>
    <w:rsid w:val="00D5136F"/>
    <w:rsid w:val="00D51395"/>
    <w:rsid w:val="00D51D02"/>
    <w:rsid w:val="00D53C8A"/>
    <w:rsid w:val="00D557BB"/>
    <w:rsid w:val="00D5604F"/>
    <w:rsid w:val="00D61CD9"/>
    <w:rsid w:val="00D667C5"/>
    <w:rsid w:val="00D71AC6"/>
    <w:rsid w:val="00D71D4B"/>
    <w:rsid w:val="00D7548E"/>
    <w:rsid w:val="00D81D87"/>
    <w:rsid w:val="00D826BD"/>
    <w:rsid w:val="00D83887"/>
    <w:rsid w:val="00D86328"/>
    <w:rsid w:val="00D90206"/>
    <w:rsid w:val="00D92274"/>
    <w:rsid w:val="00D936DB"/>
    <w:rsid w:val="00D9442C"/>
    <w:rsid w:val="00D96C00"/>
    <w:rsid w:val="00DA279E"/>
    <w:rsid w:val="00DA66D9"/>
    <w:rsid w:val="00DA6A18"/>
    <w:rsid w:val="00DB63BB"/>
    <w:rsid w:val="00DB7194"/>
    <w:rsid w:val="00DB7798"/>
    <w:rsid w:val="00DC0B78"/>
    <w:rsid w:val="00DD0BC6"/>
    <w:rsid w:val="00DD1D8D"/>
    <w:rsid w:val="00DD1ECE"/>
    <w:rsid w:val="00DD3530"/>
    <w:rsid w:val="00DD4C66"/>
    <w:rsid w:val="00DE16B5"/>
    <w:rsid w:val="00DE234E"/>
    <w:rsid w:val="00DE35C4"/>
    <w:rsid w:val="00DE6CF8"/>
    <w:rsid w:val="00DE766A"/>
    <w:rsid w:val="00DF0B70"/>
    <w:rsid w:val="00DF392F"/>
    <w:rsid w:val="00DF3FDA"/>
    <w:rsid w:val="00DF64C8"/>
    <w:rsid w:val="00DF6F74"/>
    <w:rsid w:val="00E03ADE"/>
    <w:rsid w:val="00E05C23"/>
    <w:rsid w:val="00E07040"/>
    <w:rsid w:val="00E10A5F"/>
    <w:rsid w:val="00E223CA"/>
    <w:rsid w:val="00E24BFB"/>
    <w:rsid w:val="00E25DC6"/>
    <w:rsid w:val="00E30E1A"/>
    <w:rsid w:val="00E321D6"/>
    <w:rsid w:val="00E34AB7"/>
    <w:rsid w:val="00E44AD3"/>
    <w:rsid w:val="00E44F76"/>
    <w:rsid w:val="00E46C0E"/>
    <w:rsid w:val="00E4753F"/>
    <w:rsid w:val="00E50C8A"/>
    <w:rsid w:val="00E52CF9"/>
    <w:rsid w:val="00E530A3"/>
    <w:rsid w:val="00E53FE5"/>
    <w:rsid w:val="00E647F3"/>
    <w:rsid w:val="00E64A92"/>
    <w:rsid w:val="00E67DBA"/>
    <w:rsid w:val="00E70C17"/>
    <w:rsid w:val="00E7411B"/>
    <w:rsid w:val="00E74927"/>
    <w:rsid w:val="00E75C65"/>
    <w:rsid w:val="00E776A7"/>
    <w:rsid w:val="00E80A6A"/>
    <w:rsid w:val="00E854FE"/>
    <w:rsid w:val="00E86FBC"/>
    <w:rsid w:val="00E9360B"/>
    <w:rsid w:val="00E94869"/>
    <w:rsid w:val="00E95BBE"/>
    <w:rsid w:val="00EA26F2"/>
    <w:rsid w:val="00EA3224"/>
    <w:rsid w:val="00EA606C"/>
    <w:rsid w:val="00EB181C"/>
    <w:rsid w:val="00EB231B"/>
    <w:rsid w:val="00EB23FA"/>
    <w:rsid w:val="00EB5C46"/>
    <w:rsid w:val="00EB6325"/>
    <w:rsid w:val="00EB66F9"/>
    <w:rsid w:val="00EB725F"/>
    <w:rsid w:val="00EC29A8"/>
    <w:rsid w:val="00EC34B1"/>
    <w:rsid w:val="00EC44D4"/>
    <w:rsid w:val="00EC678B"/>
    <w:rsid w:val="00EC7326"/>
    <w:rsid w:val="00ED236F"/>
    <w:rsid w:val="00EE1FBD"/>
    <w:rsid w:val="00EF2129"/>
    <w:rsid w:val="00EF5548"/>
    <w:rsid w:val="00F039CC"/>
    <w:rsid w:val="00F0792C"/>
    <w:rsid w:val="00F1333D"/>
    <w:rsid w:val="00F13A2E"/>
    <w:rsid w:val="00F13B4E"/>
    <w:rsid w:val="00F1434A"/>
    <w:rsid w:val="00F20C6E"/>
    <w:rsid w:val="00F24FB3"/>
    <w:rsid w:val="00F2546B"/>
    <w:rsid w:val="00F26A83"/>
    <w:rsid w:val="00F272D2"/>
    <w:rsid w:val="00F304F3"/>
    <w:rsid w:val="00F33B8A"/>
    <w:rsid w:val="00F33CCA"/>
    <w:rsid w:val="00F355A9"/>
    <w:rsid w:val="00F40F69"/>
    <w:rsid w:val="00F4116B"/>
    <w:rsid w:val="00F45941"/>
    <w:rsid w:val="00F45C69"/>
    <w:rsid w:val="00F45FD8"/>
    <w:rsid w:val="00F61F12"/>
    <w:rsid w:val="00F91042"/>
    <w:rsid w:val="00F91CAC"/>
    <w:rsid w:val="00F92E2B"/>
    <w:rsid w:val="00F93468"/>
    <w:rsid w:val="00F9659C"/>
    <w:rsid w:val="00F96ACB"/>
    <w:rsid w:val="00FA4F7C"/>
    <w:rsid w:val="00FA69BB"/>
    <w:rsid w:val="00FA7A98"/>
    <w:rsid w:val="00FB044E"/>
    <w:rsid w:val="00FB0835"/>
    <w:rsid w:val="00FB0BEC"/>
    <w:rsid w:val="00FB3012"/>
    <w:rsid w:val="00FB4390"/>
    <w:rsid w:val="00FB7A18"/>
    <w:rsid w:val="00FC1FA2"/>
    <w:rsid w:val="00FC749C"/>
    <w:rsid w:val="00FD51D8"/>
    <w:rsid w:val="00FE2191"/>
    <w:rsid w:val="00FE3CB1"/>
    <w:rsid w:val="00FF2774"/>
    <w:rsid w:val="00FF3F8E"/>
    <w:rsid w:val="00FF4107"/>
    <w:rsid w:val="010AEA92"/>
    <w:rsid w:val="011741E5"/>
    <w:rsid w:val="012B5C8B"/>
    <w:rsid w:val="01568367"/>
    <w:rsid w:val="01646FD1"/>
    <w:rsid w:val="018F2B78"/>
    <w:rsid w:val="01A43631"/>
    <w:rsid w:val="01BCF3AC"/>
    <w:rsid w:val="0201CC2C"/>
    <w:rsid w:val="021B87CF"/>
    <w:rsid w:val="0247C41C"/>
    <w:rsid w:val="0286F7A2"/>
    <w:rsid w:val="029A28DC"/>
    <w:rsid w:val="02C03032"/>
    <w:rsid w:val="02E81AB5"/>
    <w:rsid w:val="03031F07"/>
    <w:rsid w:val="030F0F6D"/>
    <w:rsid w:val="03254508"/>
    <w:rsid w:val="035660F8"/>
    <w:rsid w:val="036A44F0"/>
    <w:rsid w:val="037ADB32"/>
    <w:rsid w:val="0380A119"/>
    <w:rsid w:val="03893A9F"/>
    <w:rsid w:val="03975F8E"/>
    <w:rsid w:val="03A08FE0"/>
    <w:rsid w:val="03A126CC"/>
    <w:rsid w:val="03A43C0D"/>
    <w:rsid w:val="03F008D1"/>
    <w:rsid w:val="03F8343D"/>
    <w:rsid w:val="03F929A8"/>
    <w:rsid w:val="042E5BE9"/>
    <w:rsid w:val="048DAA95"/>
    <w:rsid w:val="04ADB8DF"/>
    <w:rsid w:val="0533D674"/>
    <w:rsid w:val="053CFFF5"/>
    <w:rsid w:val="0540EA4E"/>
    <w:rsid w:val="0573C314"/>
    <w:rsid w:val="057B73DC"/>
    <w:rsid w:val="05A90EDC"/>
    <w:rsid w:val="05AB91D5"/>
    <w:rsid w:val="05E107A1"/>
    <w:rsid w:val="05FCD0C0"/>
    <w:rsid w:val="06010BA0"/>
    <w:rsid w:val="06560C33"/>
    <w:rsid w:val="066E1B77"/>
    <w:rsid w:val="066FC3A2"/>
    <w:rsid w:val="06887AE3"/>
    <w:rsid w:val="06973715"/>
    <w:rsid w:val="06A5AEAA"/>
    <w:rsid w:val="06E9E3D4"/>
    <w:rsid w:val="0772562C"/>
    <w:rsid w:val="078007B8"/>
    <w:rsid w:val="07AEE149"/>
    <w:rsid w:val="07B10DE1"/>
    <w:rsid w:val="07C9B2E4"/>
    <w:rsid w:val="082B33A3"/>
    <w:rsid w:val="08416169"/>
    <w:rsid w:val="08670ECD"/>
    <w:rsid w:val="08BF8956"/>
    <w:rsid w:val="092E62E5"/>
    <w:rsid w:val="0956D57E"/>
    <w:rsid w:val="09C33417"/>
    <w:rsid w:val="09D6B9C9"/>
    <w:rsid w:val="09DCBA8B"/>
    <w:rsid w:val="09F10CAB"/>
    <w:rsid w:val="0A178ABF"/>
    <w:rsid w:val="0A1DA973"/>
    <w:rsid w:val="0A2F245E"/>
    <w:rsid w:val="0A45EF20"/>
    <w:rsid w:val="0A6BB91E"/>
    <w:rsid w:val="0A7835EE"/>
    <w:rsid w:val="0AB05A39"/>
    <w:rsid w:val="0AEEA8A6"/>
    <w:rsid w:val="0B383C6C"/>
    <w:rsid w:val="0B45A066"/>
    <w:rsid w:val="0B5050C1"/>
    <w:rsid w:val="0B734308"/>
    <w:rsid w:val="0C395C9F"/>
    <w:rsid w:val="0D10351C"/>
    <w:rsid w:val="0D161AAA"/>
    <w:rsid w:val="0D20FB01"/>
    <w:rsid w:val="0D69CAEC"/>
    <w:rsid w:val="0D82EC26"/>
    <w:rsid w:val="0D91830B"/>
    <w:rsid w:val="0D96C7EB"/>
    <w:rsid w:val="0DA27E92"/>
    <w:rsid w:val="0DCF2367"/>
    <w:rsid w:val="0E609F2C"/>
    <w:rsid w:val="0E737DE4"/>
    <w:rsid w:val="0E78A80F"/>
    <w:rsid w:val="0E8936A3"/>
    <w:rsid w:val="0E9DF19F"/>
    <w:rsid w:val="0EBD3AB6"/>
    <w:rsid w:val="0EF38649"/>
    <w:rsid w:val="0F2C9C07"/>
    <w:rsid w:val="0F4E6603"/>
    <w:rsid w:val="0F59C274"/>
    <w:rsid w:val="0F86097A"/>
    <w:rsid w:val="0F8F079E"/>
    <w:rsid w:val="0F980C1B"/>
    <w:rsid w:val="0FA45B68"/>
    <w:rsid w:val="0FDBFD29"/>
    <w:rsid w:val="0FE7708D"/>
    <w:rsid w:val="1028A4CD"/>
    <w:rsid w:val="10542CA0"/>
    <w:rsid w:val="1067D8C5"/>
    <w:rsid w:val="109E0076"/>
    <w:rsid w:val="10AE537B"/>
    <w:rsid w:val="10CC29B8"/>
    <w:rsid w:val="10D30F57"/>
    <w:rsid w:val="10F16492"/>
    <w:rsid w:val="1122BD8E"/>
    <w:rsid w:val="113824F2"/>
    <w:rsid w:val="1189845B"/>
    <w:rsid w:val="11BBF45D"/>
    <w:rsid w:val="120119D5"/>
    <w:rsid w:val="12210032"/>
    <w:rsid w:val="1244E349"/>
    <w:rsid w:val="131AD073"/>
    <w:rsid w:val="13251E1C"/>
    <w:rsid w:val="13363DAC"/>
    <w:rsid w:val="13BDA6FE"/>
    <w:rsid w:val="13D066AD"/>
    <w:rsid w:val="147E431D"/>
    <w:rsid w:val="14B1C98A"/>
    <w:rsid w:val="14B796D2"/>
    <w:rsid w:val="153CFA54"/>
    <w:rsid w:val="1586108B"/>
    <w:rsid w:val="15B35D9C"/>
    <w:rsid w:val="15DE22CD"/>
    <w:rsid w:val="15E23A6B"/>
    <w:rsid w:val="15E64D8A"/>
    <w:rsid w:val="160B832E"/>
    <w:rsid w:val="1620808A"/>
    <w:rsid w:val="1626B570"/>
    <w:rsid w:val="16534EE4"/>
    <w:rsid w:val="1663AC9A"/>
    <w:rsid w:val="16772920"/>
    <w:rsid w:val="16FFA073"/>
    <w:rsid w:val="173EAA48"/>
    <w:rsid w:val="174DD091"/>
    <w:rsid w:val="174EF97D"/>
    <w:rsid w:val="176C1CD7"/>
    <w:rsid w:val="178D05C6"/>
    <w:rsid w:val="17AC7532"/>
    <w:rsid w:val="17C825A6"/>
    <w:rsid w:val="17D84BCB"/>
    <w:rsid w:val="17DDB953"/>
    <w:rsid w:val="17E56753"/>
    <w:rsid w:val="18882354"/>
    <w:rsid w:val="188B6592"/>
    <w:rsid w:val="18A29F9A"/>
    <w:rsid w:val="18A55BCB"/>
    <w:rsid w:val="195BFE90"/>
    <w:rsid w:val="195D3B50"/>
    <w:rsid w:val="197449F3"/>
    <w:rsid w:val="199F6192"/>
    <w:rsid w:val="1A19A392"/>
    <w:rsid w:val="1A23B595"/>
    <w:rsid w:val="1A28D9E0"/>
    <w:rsid w:val="1A7EA75C"/>
    <w:rsid w:val="1A8C546E"/>
    <w:rsid w:val="1A969C96"/>
    <w:rsid w:val="1AABD42E"/>
    <w:rsid w:val="1B51A5AD"/>
    <w:rsid w:val="1B59F64C"/>
    <w:rsid w:val="1B975E01"/>
    <w:rsid w:val="1BC17054"/>
    <w:rsid w:val="1BC65061"/>
    <w:rsid w:val="1C40C6EC"/>
    <w:rsid w:val="1C5048B9"/>
    <w:rsid w:val="1C7D7B3F"/>
    <w:rsid w:val="1C8DEAC6"/>
    <w:rsid w:val="1C9E77FD"/>
    <w:rsid w:val="1CB6F22B"/>
    <w:rsid w:val="1CC5BE4B"/>
    <w:rsid w:val="1D1E4773"/>
    <w:rsid w:val="1D23171F"/>
    <w:rsid w:val="1D65CF30"/>
    <w:rsid w:val="1D7EDF9C"/>
    <w:rsid w:val="1D9C3A7A"/>
    <w:rsid w:val="1DABF79E"/>
    <w:rsid w:val="1DF81808"/>
    <w:rsid w:val="1E02D5C9"/>
    <w:rsid w:val="1E31DD0A"/>
    <w:rsid w:val="1E58E5F6"/>
    <w:rsid w:val="1E6E2E5D"/>
    <w:rsid w:val="1E84087C"/>
    <w:rsid w:val="1F0D9702"/>
    <w:rsid w:val="1F231B12"/>
    <w:rsid w:val="1F5711F2"/>
    <w:rsid w:val="2025BAEE"/>
    <w:rsid w:val="2042FC20"/>
    <w:rsid w:val="20937A4C"/>
    <w:rsid w:val="20DE80E6"/>
    <w:rsid w:val="211CAE02"/>
    <w:rsid w:val="213A67C1"/>
    <w:rsid w:val="214E08E1"/>
    <w:rsid w:val="215C3AB6"/>
    <w:rsid w:val="21E5E18B"/>
    <w:rsid w:val="224E00A3"/>
    <w:rsid w:val="229A64FA"/>
    <w:rsid w:val="22EF9C48"/>
    <w:rsid w:val="2319DCE1"/>
    <w:rsid w:val="2366BF7D"/>
    <w:rsid w:val="236CFA91"/>
    <w:rsid w:val="23D9B036"/>
    <w:rsid w:val="24007023"/>
    <w:rsid w:val="2477169D"/>
    <w:rsid w:val="249FC729"/>
    <w:rsid w:val="24C07528"/>
    <w:rsid w:val="24DF89F5"/>
    <w:rsid w:val="24F8FAEF"/>
    <w:rsid w:val="25220BCC"/>
    <w:rsid w:val="25B4BEE1"/>
    <w:rsid w:val="25C3FACE"/>
    <w:rsid w:val="25C7D06B"/>
    <w:rsid w:val="25E545BE"/>
    <w:rsid w:val="25F5F0E1"/>
    <w:rsid w:val="2646D829"/>
    <w:rsid w:val="264AA554"/>
    <w:rsid w:val="26A3B04E"/>
    <w:rsid w:val="26CF349F"/>
    <w:rsid w:val="26DDCA13"/>
    <w:rsid w:val="26E10F72"/>
    <w:rsid w:val="270864B6"/>
    <w:rsid w:val="272FB3CB"/>
    <w:rsid w:val="27ED7ACE"/>
    <w:rsid w:val="27F774C9"/>
    <w:rsid w:val="285FFA7D"/>
    <w:rsid w:val="289E924F"/>
    <w:rsid w:val="28A0F790"/>
    <w:rsid w:val="28A326EB"/>
    <w:rsid w:val="28DB25DE"/>
    <w:rsid w:val="28E593AA"/>
    <w:rsid w:val="292AB121"/>
    <w:rsid w:val="2931A42F"/>
    <w:rsid w:val="296E513A"/>
    <w:rsid w:val="2A02ACB3"/>
    <w:rsid w:val="2A08BD74"/>
    <w:rsid w:val="2A0BB331"/>
    <w:rsid w:val="2A320A8A"/>
    <w:rsid w:val="2A8E011E"/>
    <w:rsid w:val="2AAD4DF3"/>
    <w:rsid w:val="2B38EB4E"/>
    <w:rsid w:val="2B5A231D"/>
    <w:rsid w:val="2B648A92"/>
    <w:rsid w:val="2B82233C"/>
    <w:rsid w:val="2B8999BF"/>
    <w:rsid w:val="2B9C36ED"/>
    <w:rsid w:val="2BA228AA"/>
    <w:rsid w:val="2BEF2A1E"/>
    <w:rsid w:val="2C4C3B36"/>
    <w:rsid w:val="2C6F1268"/>
    <w:rsid w:val="2C8BA4AA"/>
    <w:rsid w:val="2CC530E0"/>
    <w:rsid w:val="2CD8AF76"/>
    <w:rsid w:val="2D4EA9F7"/>
    <w:rsid w:val="2D9888C0"/>
    <w:rsid w:val="2DD9E9C3"/>
    <w:rsid w:val="2E43FB34"/>
    <w:rsid w:val="2E5E7CC6"/>
    <w:rsid w:val="2E6DCD95"/>
    <w:rsid w:val="2EB13A68"/>
    <w:rsid w:val="2EB851D5"/>
    <w:rsid w:val="2ED614EF"/>
    <w:rsid w:val="2EDC7357"/>
    <w:rsid w:val="2EEA3498"/>
    <w:rsid w:val="2F003042"/>
    <w:rsid w:val="2F7072DC"/>
    <w:rsid w:val="2FADD490"/>
    <w:rsid w:val="2FCEC9E6"/>
    <w:rsid w:val="300AAADF"/>
    <w:rsid w:val="300E522F"/>
    <w:rsid w:val="3050426F"/>
    <w:rsid w:val="30E604B1"/>
    <w:rsid w:val="313E9A8D"/>
    <w:rsid w:val="31433078"/>
    <w:rsid w:val="31CA9FD9"/>
    <w:rsid w:val="321A1C75"/>
    <w:rsid w:val="329D0280"/>
    <w:rsid w:val="330D9BA9"/>
    <w:rsid w:val="330EAE25"/>
    <w:rsid w:val="3382DEDE"/>
    <w:rsid w:val="338E0BF3"/>
    <w:rsid w:val="33BB7B60"/>
    <w:rsid w:val="33E04F2C"/>
    <w:rsid w:val="34046C7A"/>
    <w:rsid w:val="3432E491"/>
    <w:rsid w:val="343335AE"/>
    <w:rsid w:val="343BABD9"/>
    <w:rsid w:val="34935622"/>
    <w:rsid w:val="355121E9"/>
    <w:rsid w:val="3579AAED"/>
    <w:rsid w:val="357B81EE"/>
    <w:rsid w:val="3580E92C"/>
    <w:rsid w:val="35A694A7"/>
    <w:rsid w:val="35A9DBD9"/>
    <w:rsid w:val="35BD12B8"/>
    <w:rsid w:val="35BDD637"/>
    <w:rsid w:val="362640D3"/>
    <w:rsid w:val="367EA1D0"/>
    <w:rsid w:val="3770ABA2"/>
    <w:rsid w:val="382AA873"/>
    <w:rsid w:val="384BC848"/>
    <w:rsid w:val="3877BFB3"/>
    <w:rsid w:val="38B27540"/>
    <w:rsid w:val="38BCBDD0"/>
    <w:rsid w:val="38C7C107"/>
    <w:rsid w:val="38F7CDC1"/>
    <w:rsid w:val="390E1B9A"/>
    <w:rsid w:val="3918D77E"/>
    <w:rsid w:val="39210EC9"/>
    <w:rsid w:val="39376115"/>
    <w:rsid w:val="395982F8"/>
    <w:rsid w:val="39EA0766"/>
    <w:rsid w:val="3A07E845"/>
    <w:rsid w:val="3A5954D2"/>
    <w:rsid w:val="3A5C4C78"/>
    <w:rsid w:val="3A7B2189"/>
    <w:rsid w:val="3A7D139F"/>
    <w:rsid w:val="3A9BB681"/>
    <w:rsid w:val="3AAABB3C"/>
    <w:rsid w:val="3AE92BB5"/>
    <w:rsid w:val="3AFEFCC9"/>
    <w:rsid w:val="3B53788C"/>
    <w:rsid w:val="3B75762D"/>
    <w:rsid w:val="3B9E4B35"/>
    <w:rsid w:val="3BBCDE6B"/>
    <w:rsid w:val="3BE76160"/>
    <w:rsid w:val="3C47AA20"/>
    <w:rsid w:val="3C7F8F54"/>
    <w:rsid w:val="3CA1733C"/>
    <w:rsid w:val="3CB670E5"/>
    <w:rsid w:val="3CCAD191"/>
    <w:rsid w:val="3CD48549"/>
    <w:rsid w:val="3CDC984F"/>
    <w:rsid w:val="3CEC975E"/>
    <w:rsid w:val="3CEDBE31"/>
    <w:rsid w:val="3D2D93B4"/>
    <w:rsid w:val="3D4516D2"/>
    <w:rsid w:val="3D47509A"/>
    <w:rsid w:val="3D4BAE30"/>
    <w:rsid w:val="3D78DCF8"/>
    <w:rsid w:val="3D8BB04A"/>
    <w:rsid w:val="3DB50D16"/>
    <w:rsid w:val="3DBA3F71"/>
    <w:rsid w:val="3DC214B0"/>
    <w:rsid w:val="3E39F9C9"/>
    <w:rsid w:val="3E49A01F"/>
    <w:rsid w:val="3EEB4F84"/>
    <w:rsid w:val="3F137A8E"/>
    <w:rsid w:val="3F43B967"/>
    <w:rsid w:val="40553632"/>
    <w:rsid w:val="4079D03D"/>
    <w:rsid w:val="40811708"/>
    <w:rsid w:val="408734CA"/>
    <w:rsid w:val="40B037B0"/>
    <w:rsid w:val="40B77156"/>
    <w:rsid w:val="40BAA0D3"/>
    <w:rsid w:val="410FDFF9"/>
    <w:rsid w:val="411C429D"/>
    <w:rsid w:val="41605E50"/>
    <w:rsid w:val="417DAD65"/>
    <w:rsid w:val="41A544BD"/>
    <w:rsid w:val="41B14BE6"/>
    <w:rsid w:val="41D62061"/>
    <w:rsid w:val="421A287F"/>
    <w:rsid w:val="424D3888"/>
    <w:rsid w:val="4250F8C6"/>
    <w:rsid w:val="42580174"/>
    <w:rsid w:val="4276E26F"/>
    <w:rsid w:val="4299929C"/>
    <w:rsid w:val="42B71D6F"/>
    <w:rsid w:val="42BE4049"/>
    <w:rsid w:val="42FA8126"/>
    <w:rsid w:val="430545D4"/>
    <w:rsid w:val="430869A3"/>
    <w:rsid w:val="435CE702"/>
    <w:rsid w:val="4383B423"/>
    <w:rsid w:val="43E5B570"/>
    <w:rsid w:val="43EB21FD"/>
    <w:rsid w:val="442C0335"/>
    <w:rsid w:val="4436FF0B"/>
    <w:rsid w:val="4448310C"/>
    <w:rsid w:val="446CA13A"/>
    <w:rsid w:val="447D5E06"/>
    <w:rsid w:val="4487A3A3"/>
    <w:rsid w:val="44A78D0A"/>
    <w:rsid w:val="44C00B9B"/>
    <w:rsid w:val="44C4A2CE"/>
    <w:rsid w:val="45133277"/>
    <w:rsid w:val="45235927"/>
    <w:rsid w:val="452F6E48"/>
    <w:rsid w:val="456DF050"/>
    <w:rsid w:val="459E0C96"/>
    <w:rsid w:val="45B59897"/>
    <w:rsid w:val="45DDD511"/>
    <w:rsid w:val="46856023"/>
    <w:rsid w:val="46A1C2D7"/>
    <w:rsid w:val="46A6C08C"/>
    <w:rsid w:val="46C49FA7"/>
    <w:rsid w:val="46D0C0E3"/>
    <w:rsid w:val="46E0C454"/>
    <w:rsid w:val="46E66A01"/>
    <w:rsid w:val="472719F4"/>
    <w:rsid w:val="476138F0"/>
    <w:rsid w:val="4776D474"/>
    <w:rsid w:val="4797F48B"/>
    <w:rsid w:val="48E851D0"/>
    <w:rsid w:val="49796D7C"/>
    <w:rsid w:val="498DE08A"/>
    <w:rsid w:val="4ACE9E74"/>
    <w:rsid w:val="4AE6F0D2"/>
    <w:rsid w:val="4B0327C7"/>
    <w:rsid w:val="4B086AEF"/>
    <w:rsid w:val="4B3504F4"/>
    <w:rsid w:val="4B5A8967"/>
    <w:rsid w:val="4B737429"/>
    <w:rsid w:val="4B752DD0"/>
    <w:rsid w:val="4BA1CF76"/>
    <w:rsid w:val="4BA8F81A"/>
    <w:rsid w:val="4C185793"/>
    <w:rsid w:val="4C33379C"/>
    <w:rsid w:val="4C3CC7B2"/>
    <w:rsid w:val="4C71D409"/>
    <w:rsid w:val="4CBB3AD7"/>
    <w:rsid w:val="4CC6D61A"/>
    <w:rsid w:val="4D9D1B4A"/>
    <w:rsid w:val="4DFBEA85"/>
    <w:rsid w:val="4E2E3003"/>
    <w:rsid w:val="4E49A319"/>
    <w:rsid w:val="4E561E42"/>
    <w:rsid w:val="4E67CE75"/>
    <w:rsid w:val="4E9EAD3B"/>
    <w:rsid w:val="4EB0C65F"/>
    <w:rsid w:val="4ED4D51C"/>
    <w:rsid w:val="4EF1FE06"/>
    <w:rsid w:val="4F04F2FB"/>
    <w:rsid w:val="4F3C7058"/>
    <w:rsid w:val="4F9FE415"/>
    <w:rsid w:val="4FB3C30A"/>
    <w:rsid w:val="505366EA"/>
    <w:rsid w:val="5059CD60"/>
    <w:rsid w:val="5089B3E4"/>
    <w:rsid w:val="50E17240"/>
    <w:rsid w:val="50FBC2EF"/>
    <w:rsid w:val="512A5126"/>
    <w:rsid w:val="51419C54"/>
    <w:rsid w:val="51CB61F2"/>
    <w:rsid w:val="51E3D0A3"/>
    <w:rsid w:val="5223AC21"/>
    <w:rsid w:val="5275B6DF"/>
    <w:rsid w:val="53368FF9"/>
    <w:rsid w:val="5337C754"/>
    <w:rsid w:val="53591849"/>
    <w:rsid w:val="539B4410"/>
    <w:rsid w:val="53B7709F"/>
    <w:rsid w:val="53DB86A2"/>
    <w:rsid w:val="5440F2F7"/>
    <w:rsid w:val="547834EB"/>
    <w:rsid w:val="54B6D179"/>
    <w:rsid w:val="54C5FDDA"/>
    <w:rsid w:val="54CACF3D"/>
    <w:rsid w:val="54D3FC86"/>
    <w:rsid w:val="55017C9F"/>
    <w:rsid w:val="55945EE2"/>
    <w:rsid w:val="55A47297"/>
    <w:rsid w:val="562C245C"/>
    <w:rsid w:val="5644B7BF"/>
    <w:rsid w:val="5689CEF7"/>
    <w:rsid w:val="5695449B"/>
    <w:rsid w:val="56D91F0A"/>
    <w:rsid w:val="56E80AFA"/>
    <w:rsid w:val="56F10E3D"/>
    <w:rsid w:val="57702A6A"/>
    <w:rsid w:val="57716C7A"/>
    <w:rsid w:val="577EBBF1"/>
    <w:rsid w:val="57919149"/>
    <w:rsid w:val="57B32611"/>
    <w:rsid w:val="57DD3B7F"/>
    <w:rsid w:val="57F8CDA5"/>
    <w:rsid w:val="57FBB5DF"/>
    <w:rsid w:val="580DFF86"/>
    <w:rsid w:val="581604C0"/>
    <w:rsid w:val="5854F781"/>
    <w:rsid w:val="58942AB1"/>
    <w:rsid w:val="58B50C3B"/>
    <w:rsid w:val="58C68183"/>
    <w:rsid w:val="592CB262"/>
    <w:rsid w:val="59681E1C"/>
    <w:rsid w:val="59C99671"/>
    <w:rsid w:val="5A0AA962"/>
    <w:rsid w:val="5A1B7420"/>
    <w:rsid w:val="5B04484F"/>
    <w:rsid w:val="5B066E43"/>
    <w:rsid w:val="5B19A950"/>
    <w:rsid w:val="5B24D89A"/>
    <w:rsid w:val="5B2B24F6"/>
    <w:rsid w:val="5B69F98C"/>
    <w:rsid w:val="5B6A2296"/>
    <w:rsid w:val="5B9C5E16"/>
    <w:rsid w:val="5BAA3FD1"/>
    <w:rsid w:val="5BB4EC23"/>
    <w:rsid w:val="5BE6D030"/>
    <w:rsid w:val="5C17F67B"/>
    <w:rsid w:val="5C5CA6CE"/>
    <w:rsid w:val="5C9A49BA"/>
    <w:rsid w:val="5CEB2830"/>
    <w:rsid w:val="5D148D0B"/>
    <w:rsid w:val="5D1F7227"/>
    <w:rsid w:val="5D225FAE"/>
    <w:rsid w:val="5D5CEC29"/>
    <w:rsid w:val="5D8200F4"/>
    <w:rsid w:val="5D94E957"/>
    <w:rsid w:val="5DCDEF62"/>
    <w:rsid w:val="5DD1B401"/>
    <w:rsid w:val="5E06A7C8"/>
    <w:rsid w:val="5E4A1678"/>
    <w:rsid w:val="5E4BA135"/>
    <w:rsid w:val="5E76F467"/>
    <w:rsid w:val="5E8D3E9D"/>
    <w:rsid w:val="5EDA8C68"/>
    <w:rsid w:val="5EF328E3"/>
    <w:rsid w:val="5F361054"/>
    <w:rsid w:val="5F3D5FBE"/>
    <w:rsid w:val="5F7C4EE7"/>
    <w:rsid w:val="5FAD5E30"/>
    <w:rsid w:val="5FF1FE8F"/>
    <w:rsid w:val="6015C8F9"/>
    <w:rsid w:val="601B2BA3"/>
    <w:rsid w:val="6049F084"/>
    <w:rsid w:val="606219BC"/>
    <w:rsid w:val="6073C881"/>
    <w:rsid w:val="6075ABEF"/>
    <w:rsid w:val="607B13E6"/>
    <w:rsid w:val="60D28ACB"/>
    <w:rsid w:val="6137A507"/>
    <w:rsid w:val="61438DA2"/>
    <w:rsid w:val="61A52730"/>
    <w:rsid w:val="61B5EA07"/>
    <w:rsid w:val="61BDEE53"/>
    <w:rsid w:val="61C96134"/>
    <w:rsid w:val="61D1B963"/>
    <w:rsid w:val="61D54BF5"/>
    <w:rsid w:val="61FC2DD2"/>
    <w:rsid w:val="622D8B41"/>
    <w:rsid w:val="6251968E"/>
    <w:rsid w:val="6265F299"/>
    <w:rsid w:val="62781D73"/>
    <w:rsid w:val="62E4F266"/>
    <w:rsid w:val="63394DDC"/>
    <w:rsid w:val="6373C190"/>
    <w:rsid w:val="63A45B08"/>
    <w:rsid w:val="63B6566B"/>
    <w:rsid w:val="63FA09C1"/>
    <w:rsid w:val="6414207C"/>
    <w:rsid w:val="643C29AF"/>
    <w:rsid w:val="6450D71B"/>
    <w:rsid w:val="646A90CB"/>
    <w:rsid w:val="64B584A1"/>
    <w:rsid w:val="64D1EA68"/>
    <w:rsid w:val="6527C323"/>
    <w:rsid w:val="655753B4"/>
    <w:rsid w:val="65F8FB29"/>
    <w:rsid w:val="66099A2D"/>
    <w:rsid w:val="66321F4D"/>
    <w:rsid w:val="665C0A67"/>
    <w:rsid w:val="665FE2B1"/>
    <w:rsid w:val="6680E6EB"/>
    <w:rsid w:val="66CDEDFC"/>
    <w:rsid w:val="66D0CD08"/>
    <w:rsid w:val="66D35C41"/>
    <w:rsid w:val="67036523"/>
    <w:rsid w:val="6707D0A0"/>
    <w:rsid w:val="674D407B"/>
    <w:rsid w:val="6763D0D8"/>
    <w:rsid w:val="6769AC1B"/>
    <w:rsid w:val="677C2A7D"/>
    <w:rsid w:val="67BF12CB"/>
    <w:rsid w:val="67E4E496"/>
    <w:rsid w:val="684DE308"/>
    <w:rsid w:val="6852CA2E"/>
    <w:rsid w:val="685CBA0C"/>
    <w:rsid w:val="687C6421"/>
    <w:rsid w:val="68B0EE39"/>
    <w:rsid w:val="68F0D4B2"/>
    <w:rsid w:val="68FCC550"/>
    <w:rsid w:val="69812137"/>
    <w:rsid w:val="6994C2AA"/>
    <w:rsid w:val="69BD07C1"/>
    <w:rsid w:val="69EB5F30"/>
    <w:rsid w:val="6A184BCE"/>
    <w:rsid w:val="6A6E5324"/>
    <w:rsid w:val="6B57532C"/>
    <w:rsid w:val="6B6A8918"/>
    <w:rsid w:val="6B6F9BF6"/>
    <w:rsid w:val="6B7087DA"/>
    <w:rsid w:val="6B7372AE"/>
    <w:rsid w:val="6BA9783E"/>
    <w:rsid w:val="6BC1F62A"/>
    <w:rsid w:val="6BC74E4D"/>
    <w:rsid w:val="6C9A5E0D"/>
    <w:rsid w:val="6CBD29F2"/>
    <w:rsid w:val="6CBF4978"/>
    <w:rsid w:val="6CCAEC3D"/>
    <w:rsid w:val="6CCF497A"/>
    <w:rsid w:val="6D5A41B2"/>
    <w:rsid w:val="6DA576B2"/>
    <w:rsid w:val="6DFF1027"/>
    <w:rsid w:val="6E3006A6"/>
    <w:rsid w:val="6E99338D"/>
    <w:rsid w:val="6EB8CCFC"/>
    <w:rsid w:val="6EC0991E"/>
    <w:rsid w:val="6EEE35E7"/>
    <w:rsid w:val="6EFF7E5F"/>
    <w:rsid w:val="6F38481D"/>
    <w:rsid w:val="6F544277"/>
    <w:rsid w:val="6F6D53E3"/>
    <w:rsid w:val="6F92818B"/>
    <w:rsid w:val="6F972E22"/>
    <w:rsid w:val="6FD0A7BF"/>
    <w:rsid w:val="6FDD68F9"/>
    <w:rsid w:val="6FFC22D3"/>
    <w:rsid w:val="6FFF2065"/>
    <w:rsid w:val="70504B50"/>
    <w:rsid w:val="7054A84B"/>
    <w:rsid w:val="705D9E74"/>
    <w:rsid w:val="70782CBA"/>
    <w:rsid w:val="70C30596"/>
    <w:rsid w:val="70D12735"/>
    <w:rsid w:val="7105A5AB"/>
    <w:rsid w:val="71219984"/>
    <w:rsid w:val="713D7A4B"/>
    <w:rsid w:val="71E46C31"/>
    <w:rsid w:val="724FFB23"/>
    <w:rsid w:val="72A2256F"/>
    <w:rsid w:val="72ACB489"/>
    <w:rsid w:val="72BCAFD0"/>
    <w:rsid w:val="72C9F969"/>
    <w:rsid w:val="72CF3AA8"/>
    <w:rsid w:val="72FA6CC5"/>
    <w:rsid w:val="72FD9010"/>
    <w:rsid w:val="73306AEB"/>
    <w:rsid w:val="734484A5"/>
    <w:rsid w:val="7376C8CF"/>
    <w:rsid w:val="738F3ED1"/>
    <w:rsid w:val="73DB7466"/>
    <w:rsid w:val="73E185A2"/>
    <w:rsid w:val="7404CF22"/>
    <w:rsid w:val="740F733C"/>
    <w:rsid w:val="741A5B2A"/>
    <w:rsid w:val="742FDFC3"/>
    <w:rsid w:val="743729A9"/>
    <w:rsid w:val="7464222B"/>
    <w:rsid w:val="74B701BF"/>
    <w:rsid w:val="7523DA2B"/>
    <w:rsid w:val="75390501"/>
    <w:rsid w:val="7547CC4C"/>
    <w:rsid w:val="7586E921"/>
    <w:rsid w:val="75A6DC09"/>
    <w:rsid w:val="75D718F2"/>
    <w:rsid w:val="75E24405"/>
    <w:rsid w:val="769202CC"/>
    <w:rsid w:val="76B1A1D4"/>
    <w:rsid w:val="76B66122"/>
    <w:rsid w:val="76C390A1"/>
    <w:rsid w:val="76F87EDB"/>
    <w:rsid w:val="771A05CA"/>
    <w:rsid w:val="773C691D"/>
    <w:rsid w:val="774C7E2F"/>
    <w:rsid w:val="777837F3"/>
    <w:rsid w:val="77D97AF5"/>
    <w:rsid w:val="77F61EF1"/>
    <w:rsid w:val="77F9E660"/>
    <w:rsid w:val="781CEC05"/>
    <w:rsid w:val="7832047C"/>
    <w:rsid w:val="784C6D0D"/>
    <w:rsid w:val="78607828"/>
    <w:rsid w:val="78D452BB"/>
    <w:rsid w:val="79443240"/>
    <w:rsid w:val="7945DF89"/>
    <w:rsid w:val="795C2246"/>
    <w:rsid w:val="796E4B4A"/>
    <w:rsid w:val="797E110C"/>
    <w:rsid w:val="798AD3A0"/>
    <w:rsid w:val="79CDB516"/>
    <w:rsid w:val="79D57B9B"/>
    <w:rsid w:val="7A28532B"/>
    <w:rsid w:val="7A2A0E1E"/>
    <w:rsid w:val="7A351A96"/>
    <w:rsid w:val="7A38D9E1"/>
    <w:rsid w:val="7A61C92E"/>
    <w:rsid w:val="7A7A5FC4"/>
    <w:rsid w:val="7A86069D"/>
    <w:rsid w:val="7AB6E2CA"/>
    <w:rsid w:val="7AED3A29"/>
    <w:rsid w:val="7AF400D9"/>
    <w:rsid w:val="7AFE81BB"/>
    <w:rsid w:val="7B3C2A51"/>
    <w:rsid w:val="7B4B43B9"/>
    <w:rsid w:val="7B4D43DF"/>
    <w:rsid w:val="7B7DB7A1"/>
    <w:rsid w:val="7BDCD715"/>
    <w:rsid w:val="7C2DB63A"/>
    <w:rsid w:val="7C5735CB"/>
    <w:rsid w:val="7C75392F"/>
    <w:rsid w:val="7C78AF60"/>
    <w:rsid w:val="7C8266AB"/>
    <w:rsid w:val="7C87DDDD"/>
    <w:rsid w:val="7CEAFC0F"/>
    <w:rsid w:val="7CFA5988"/>
    <w:rsid w:val="7D04F772"/>
    <w:rsid w:val="7D32ABA8"/>
    <w:rsid w:val="7D9E4E73"/>
    <w:rsid w:val="7E3698C0"/>
    <w:rsid w:val="7E4BABF7"/>
    <w:rsid w:val="7E659AF3"/>
    <w:rsid w:val="7E6B4A34"/>
    <w:rsid w:val="7ED9FFA3"/>
    <w:rsid w:val="7F0BABCA"/>
    <w:rsid w:val="7F2DEA4A"/>
    <w:rsid w:val="7F3E228E"/>
    <w:rsid w:val="7FB2F08D"/>
    <w:rsid w:val="7FF6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D98B"/>
  <w15:docId w15:val="{117B4166-1B2C-AE41-B20C-6D697B42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11111"/>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02345"/>
    <w:rPr>
      <w:sz w:val="16"/>
      <w:szCs w:val="16"/>
    </w:rPr>
  </w:style>
  <w:style w:type="paragraph" w:styleId="CommentText">
    <w:name w:val="annotation text"/>
    <w:basedOn w:val="Normal"/>
    <w:link w:val="CommentTextChar"/>
    <w:uiPriority w:val="99"/>
    <w:unhideWhenUsed/>
    <w:rsid w:val="00A02345"/>
    <w:rPr>
      <w:sz w:val="20"/>
      <w:szCs w:val="20"/>
    </w:rPr>
  </w:style>
  <w:style w:type="character" w:styleId="CommentTextChar" w:customStyle="1">
    <w:name w:val="Comment Text Char"/>
    <w:basedOn w:val="DefaultParagraphFont"/>
    <w:link w:val="CommentText"/>
    <w:uiPriority w:val="99"/>
    <w:rsid w:val="00A02345"/>
    <w:rPr>
      <w:sz w:val="20"/>
      <w:szCs w:val="20"/>
    </w:rPr>
  </w:style>
  <w:style w:type="paragraph" w:styleId="CommentSubject">
    <w:name w:val="annotation subject"/>
    <w:basedOn w:val="CommentText"/>
    <w:next w:val="CommentText"/>
    <w:link w:val="CommentSubjectChar"/>
    <w:uiPriority w:val="99"/>
    <w:semiHidden/>
    <w:unhideWhenUsed/>
    <w:rsid w:val="00A02345"/>
    <w:rPr>
      <w:b/>
      <w:bCs/>
    </w:rPr>
  </w:style>
  <w:style w:type="character" w:styleId="CommentSubjectChar" w:customStyle="1">
    <w:name w:val="Comment Subject Char"/>
    <w:basedOn w:val="CommentTextChar"/>
    <w:link w:val="CommentSubject"/>
    <w:uiPriority w:val="99"/>
    <w:semiHidden/>
    <w:rsid w:val="00A02345"/>
    <w:rPr>
      <w:b/>
      <w:bCs/>
      <w:sz w:val="20"/>
      <w:szCs w:val="20"/>
    </w:rPr>
  </w:style>
  <w:style w:type="paragraph" w:styleId="Header">
    <w:name w:val="header"/>
    <w:basedOn w:val="Normal"/>
    <w:link w:val="HeaderChar"/>
    <w:uiPriority w:val="99"/>
    <w:semiHidden/>
    <w:unhideWhenUsed/>
    <w:rsid w:val="00820AE2"/>
    <w:pPr>
      <w:tabs>
        <w:tab w:val="center" w:pos="4680"/>
        <w:tab w:val="right" w:pos="9360"/>
      </w:tabs>
    </w:pPr>
  </w:style>
  <w:style w:type="character" w:styleId="HeaderChar" w:customStyle="1">
    <w:name w:val="Header Char"/>
    <w:basedOn w:val="DefaultParagraphFont"/>
    <w:link w:val="Header"/>
    <w:uiPriority w:val="99"/>
    <w:semiHidden/>
    <w:rsid w:val="00820AE2"/>
  </w:style>
  <w:style w:type="paragraph" w:styleId="Footer">
    <w:name w:val="footer"/>
    <w:basedOn w:val="Normal"/>
    <w:link w:val="FooterChar"/>
    <w:uiPriority w:val="99"/>
    <w:semiHidden/>
    <w:unhideWhenUsed/>
    <w:rsid w:val="00820AE2"/>
    <w:pPr>
      <w:tabs>
        <w:tab w:val="center" w:pos="4680"/>
        <w:tab w:val="right" w:pos="9360"/>
      </w:tabs>
    </w:pPr>
  </w:style>
  <w:style w:type="character" w:styleId="FooterChar" w:customStyle="1">
    <w:name w:val="Footer Char"/>
    <w:basedOn w:val="DefaultParagraphFont"/>
    <w:link w:val="Footer"/>
    <w:uiPriority w:val="99"/>
    <w:semiHidden/>
    <w:rsid w:val="00820AE2"/>
  </w:style>
  <w:style w:type="table" w:styleId="TableGrid">
    <w:name w:val="Table Grid"/>
    <w:basedOn w:val="TableNormal"/>
    <w:uiPriority w:val="59"/>
    <w:rsid w:val="00B47CD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Bullet">
    <w:name w:val="List Bullet"/>
    <w:basedOn w:val="Normal"/>
    <w:uiPriority w:val="99"/>
    <w:unhideWhenUsed/>
    <w:rsid w:val="7B7DB7A1"/>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odolay/AI4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70118-6EF2-453F-81AE-85B5960975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NeuroMPS technical report</dc:title>
  <dc:subject/>
  <dc:creator>Yi Nuo Zhao</dc:creator>
  <keywords/>
  <lastModifiedBy>Guest User</lastModifiedBy>
  <revision>585</revision>
  <dcterms:created xsi:type="dcterms:W3CDTF">2026-09-26T13:21:00.0000000Z</dcterms:created>
  <dcterms:modified xsi:type="dcterms:W3CDTF">2026-09-28T20:02:22.3776142Z</dcterms:modified>
</coreProperties>
</file>