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7"/>
        <w:gridCol w:w="1539"/>
        <w:gridCol w:w="2814"/>
        <w:gridCol w:w="2569"/>
        <w:gridCol w:w="1166"/>
      </w:tblGrid>
      <w:tr>
        <w:trPr>
          <w:cantSplit/>
          <w:tblHeader/>
        </w:trPr>
        <w:tc>
          <w:tcPr>
            <w:tcW w:type="dxa" w:w="407"/>
            <w:shd w:val="clear" w:color="auto" w:fill="1F4E79"/>
            <w:vAlign w:val="center"/>
          </w:tcPr>
          <w:p>
            <w:pPr>
              <w:keepNext/>
              <w:spacing w:after="0"/>
              <w:jc w:val="center"/>
            </w:pPr>
            <w:r>
              <w:rPr>
                <w:rFonts w:ascii="Calibri" w:hAnsi="Calibri"/>
                <w:b/>
                <w:i w:val="0"/>
                <w:color w:val="FFFFFF"/>
                <w:sz w:val="20"/>
              </w:rPr>
              <w:t>#</w:t>
            </w:r>
          </w:p>
        </w:tc>
        <w:tc>
          <w:tcPr>
            <w:tcW w:type="dxa" w:w="1539"/>
            <w:shd w:val="clear" w:color="auto" w:fill="1F4E79"/>
            <w:vAlign w:val="center"/>
          </w:tcPr>
          <w:p>
            <w:pPr>
              <w:keepNext/>
              <w:spacing w:after="0"/>
              <w:jc w:val="center"/>
            </w:pPr>
            <w:r>
              <w:rPr>
                <w:rFonts w:ascii="Calibri" w:hAnsi="Calibri"/>
                <w:b/>
                <w:i w:val="0"/>
                <w:color w:val="FFFFFF"/>
                <w:sz w:val="20"/>
              </w:rPr>
              <w:t>Date</w:t>
            </w:r>
          </w:p>
        </w:tc>
        <w:tc>
          <w:tcPr>
            <w:tcW w:type="dxa" w:w="2814"/>
            <w:shd w:val="clear" w:color="auto" w:fill="1F4E79"/>
            <w:vAlign w:val="center"/>
          </w:tcPr>
          <w:p>
            <w:pPr>
              <w:keepNext/>
              <w:spacing w:after="0"/>
            </w:pPr>
            <w:r>
              <w:rPr>
                <w:rFonts w:ascii="Calibri" w:hAnsi="Calibri"/>
                <w:b/>
                <w:i w:val="0"/>
                <w:color w:val="FFFFFF"/>
                <w:sz w:val="20"/>
              </w:rPr>
              <w:t>Change</w:t>
            </w:r>
          </w:p>
        </w:tc>
        <w:tc>
          <w:tcPr>
            <w:tcW w:type="dxa" w:w="2569"/>
            <w:shd w:val="clear" w:color="auto" w:fill="1F4E79"/>
            <w:vAlign w:val="center"/>
          </w:tcPr>
          <w:p>
            <w:pPr>
              <w:keepNext/>
              <w:spacing w:after="0"/>
            </w:pPr>
            <w:r>
              <w:rPr>
                <w:rFonts w:ascii="Calibri" w:hAnsi="Calibri"/>
                <w:b/>
                <w:i w:val="0"/>
                <w:color w:val="FFFFFF"/>
                <w:sz w:val="20"/>
              </w:rPr>
              <w:t>Effect on results</w:t>
            </w:r>
          </w:p>
        </w:tc>
        <w:tc>
          <w:tcPr>
            <w:tcW w:type="dxa" w:w="1166"/>
            <w:shd w:val="clear" w:color="auto" w:fill="1F4E79"/>
            <w:vAlign w:val="center"/>
          </w:tcPr>
          <w:p>
            <w:pPr>
              <w:keepNext/>
              <w:spacing w:after="0"/>
            </w:pPr>
            <w:r>
              <w:rPr>
                <w:rFonts w:ascii="Calibri" w:hAnsi="Calibri"/>
                <w:b/>
                <w:i w:val="0"/>
                <w:color w:val="FFFFFF"/>
                <w:sz w:val="20"/>
              </w:rPr>
              <w:t>Commits</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w:t>
            </w:r>
          </w:p>
        </w:tc>
        <w:tc>
          <w:tcPr>
            <w:tcW w:type="dxa" w:w="1539"/>
            <w:shd w:val="clear" w:color="auto" w:fill="FFFFFF"/>
            <w:vAlign w:val="center"/>
          </w:tcPr>
          <w:p>
            <w:pPr>
              <w:keepNext/>
              <w:spacing w:after="0"/>
              <w:jc w:val="center"/>
            </w:pPr>
            <w:r>
              <w:rPr>
                <w:rFonts w:ascii="Calibri" w:hAnsi="Calibri"/>
                <w:b w:val="0"/>
                <w:i w:val="0"/>
                <w:color w:val="222222"/>
                <w:sz w:val="20"/>
              </w:rPr>
              <w:t>2026-10-10</w:t>
            </w:r>
          </w:p>
        </w:tc>
        <w:tc>
          <w:tcPr>
            <w:tcW w:type="dxa" w:w="2814"/>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69"/>
            <w:shd w:val="clear" w:color="auto" w:fill="FFFFFF"/>
            <w:vAlign w:val="center"/>
          </w:tcPr>
          <w:p>
            <w:pPr>
              <w:keepNext/>
              <w:spacing w:after="0"/>
            </w:pPr>
            <w:r>
              <w:rPr>
                <w:rFonts w:ascii="Calibri" w:hAnsi="Calibri"/>
                <w:b w:val="0"/>
                <w:i w:val="0"/>
                <w:color w:val="222222"/>
                <w:sz w:val="20"/>
              </w:rPr>
              <w:t>none (no number or claim changed)</w:t>
            </w:r>
          </w:p>
        </w:tc>
        <w:tc>
          <w:tcPr>
            <w:tcW w:type="dxa" w:w="1166"/>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w:t>
            </w:r>
          </w:p>
        </w:tc>
        <w:tc>
          <w:tcPr>
            <w:tcW w:type="dxa" w:w="1539"/>
            <w:shd w:val="clear" w:color="auto" w:fill="F7F9FB"/>
            <w:vAlign w:val="center"/>
          </w:tcPr>
          <w:p>
            <w:pPr>
              <w:keepNext/>
              <w:spacing w:after="0"/>
              <w:jc w:val="center"/>
            </w:pPr>
            <w:r>
              <w:rPr>
                <w:rFonts w:ascii="Calibri" w:hAnsi="Calibri"/>
                <w:b w:val="0"/>
                <w:i w:val="0"/>
                <w:color w:val="222222"/>
                <w:sz w:val="20"/>
              </w:rPr>
              <w:t>2026-10-11</w:t>
            </w:r>
          </w:p>
        </w:tc>
        <w:tc>
          <w:tcPr>
            <w:tcW w:type="dxa" w:w="2814"/>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69"/>
            <w:shd w:val="clear" w:color="auto" w:fill="F7F9FB"/>
            <w:vAlign w:val="center"/>
          </w:tcPr>
          <w:p>
            <w:pPr>
              <w:keepNext/>
              <w:spacing w:after="0"/>
            </w:pPr>
            <w:r>
              <w:rPr>
                <w:rFonts w:ascii="Calibri" w:hAnsi="Calibri"/>
                <w:b w:val="0"/>
                <w:i w:val="0"/>
                <w:color w:val="222222"/>
                <w:sz w:val="20"/>
              </w:rPr>
              <w:t>the dose conclusion reverses</w:t>
            </w:r>
          </w:p>
        </w:tc>
        <w:tc>
          <w:tcPr>
            <w:tcW w:type="dxa" w:w="1166"/>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w:t>
            </w:r>
          </w:p>
        </w:tc>
        <w:tc>
          <w:tcPr>
            <w:tcW w:type="dxa" w:w="1539"/>
            <w:shd w:val="clear" w:color="auto" w:fill="FFFFFF"/>
            <w:vAlign w:val="center"/>
          </w:tcPr>
          <w:p>
            <w:pPr>
              <w:keepNext/>
              <w:spacing w:after="0"/>
              <w:jc w:val="center"/>
            </w:pPr>
            <w:r>
              <w:rPr>
                <w:rFonts w:ascii="Calibri" w:hAnsi="Calibri"/>
                <w:b w:val="0"/>
                <w:i w:val="0"/>
                <w:color w:val="222222"/>
                <w:sz w:val="20"/>
              </w:rPr>
              <w:t>2026-10-22</w:t>
            </w:r>
          </w:p>
        </w:tc>
        <w:tc>
          <w:tcPr>
            <w:tcW w:type="dxa" w:w="2814"/>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69"/>
            <w:shd w:val="clear" w:color="auto" w:fill="FFFFFF"/>
            <w:vAlign w:val="center"/>
          </w:tcPr>
          <w:p>
            <w:pPr>
              <w:keepNext/>
              <w:spacing w:after="0"/>
            </w:pPr>
            <w:r>
              <w:rPr>
                <w:rFonts w:ascii="Calibri" w:hAnsi="Calibri"/>
                <w:b w:val="0"/>
                <w:i w:val="0"/>
                <w:color w:val="222222"/>
                <w:sz w:val="20"/>
              </w:rPr>
              <w:t>none; access only</w:t>
            </w:r>
          </w:p>
        </w:tc>
        <w:tc>
          <w:tcPr>
            <w:tcW w:type="dxa" w:w="1166"/>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w:t>
            </w:r>
          </w:p>
        </w:tc>
        <w:tc>
          <w:tcPr>
            <w:tcW w:type="dxa" w:w="1539"/>
            <w:shd w:val="clear" w:color="auto" w:fill="F7F9FB"/>
            <w:vAlign w:val="center"/>
          </w:tcPr>
          <w:p>
            <w:pPr>
              <w:keepNext/>
              <w:spacing w:after="0"/>
              <w:jc w:val="center"/>
            </w:pPr>
            <w:r>
              <w:rPr>
                <w:rFonts w:ascii="Calibri" w:hAnsi="Calibri"/>
                <w:b w:val="0"/>
                <w:i w:val="0"/>
                <w:color w:val="222222"/>
                <w:sz w:val="20"/>
              </w:rPr>
              <w:t>2026-10-22/23</w:t>
            </w:r>
          </w:p>
        </w:tc>
        <w:tc>
          <w:tcPr>
            <w:tcW w:type="dxa" w:w="2814"/>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69"/>
            <w:shd w:val="clear" w:color="auto" w:fill="F7F9FB"/>
            <w:vAlign w:val="center"/>
          </w:tcPr>
          <w:p>
            <w:pPr>
              <w:keepNext/>
              <w:spacing w:after="0"/>
            </w:pPr>
            <w:r>
              <w:rPr>
                <w:rFonts w:ascii="Calibri" w:hAnsi="Calibri"/>
                <w:b w:val="0"/>
                <w:i w:val="0"/>
                <w:color w:val="222222"/>
                <w:sz w:val="20"/>
              </w:rPr>
              <w:t>new results, pre-registered</w:t>
            </w:r>
          </w:p>
        </w:tc>
        <w:tc>
          <w:tcPr>
            <w:tcW w:type="dxa" w:w="1166"/>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5</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69"/>
            <w:shd w:val="clear" w:color="auto" w:fill="FFFFFF"/>
            <w:vAlign w:val="center"/>
          </w:tcPr>
          <w:p>
            <w:pPr>
              <w:keepNext/>
              <w:spacing w:after="0"/>
            </w:pPr>
            <w:r>
              <w:rPr>
                <w:rFonts w:ascii="Calibri" w:hAnsi="Calibri"/>
                <w:b w:val="0"/>
                <w:i w:val="0"/>
                <w:color w:val="222222"/>
                <w:sz w:val="20"/>
              </w:rPr>
              <w:t>none; structure only</w:t>
            </w:r>
          </w:p>
        </w:tc>
        <w:tc>
          <w:tcPr>
            <w:tcW w:type="dxa" w:w="1166"/>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6</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69"/>
            <w:shd w:val="clear" w:color="auto" w:fill="F7F9FB"/>
            <w:vAlign w:val="center"/>
          </w:tcPr>
          <w:p>
            <w:pPr>
              <w:keepNext/>
              <w:spacing w:after="0"/>
            </w:pPr>
            <w:r>
              <w:rPr>
                <w:rFonts w:ascii="Calibri" w:hAnsi="Calibri"/>
                <w:b w:val="0"/>
                <w:i w:val="0"/>
                <w:color w:val="222222"/>
                <w:sz w:val="20"/>
              </w:rPr>
              <w:t>new comparison (descriptive)</w:t>
            </w:r>
          </w:p>
        </w:tc>
        <w:tc>
          <w:tcPr>
            <w:tcW w:type="dxa" w:w="1166"/>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7</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69"/>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66"/>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8</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69"/>
            <w:shd w:val="clear" w:color="auto" w:fill="F7F9FB"/>
            <w:vAlign w:val="center"/>
          </w:tcPr>
          <w:p>
            <w:pPr>
              <w:keepNext/>
              <w:spacing w:after="0"/>
            </w:pPr>
            <w:r>
              <w:rPr>
                <w:rFonts w:ascii="Calibri" w:hAnsi="Calibri"/>
                <w:b w:val="0"/>
                <w:i w:val="0"/>
                <w:color w:val="222222"/>
                <w:sz w:val="20"/>
              </w:rPr>
              <w:t>1 of 3 registered predictions pass</w:t>
            </w:r>
          </w:p>
        </w:tc>
        <w:tc>
          <w:tcPr>
            <w:tcW w:type="dxa" w:w="1166"/>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9</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69"/>
            <w:shd w:val="clear" w:color="auto" w:fill="FFFFFF"/>
            <w:vAlign w:val="center"/>
          </w:tcPr>
          <w:p>
            <w:pPr>
              <w:keepNext/>
              <w:spacing w:after="0"/>
            </w:pPr>
            <w:r>
              <w:rPr>
                <w:rFonts w:ascii="Calibri" w:hAnsi="Calibri"/>
                <w:b w:val="0"/>
                <w:i w:val="0"/>
                <w:color w:val="222222"/>
                <w:sz w:val="20"/>
              </w:rPr>
              <w:t>4 of 4 registered predictions pass</w:t>
            </w:r>
          </w:p>
        </w:tc>
        <w:tc>
          <w:tcPr>
            <w:tcW w:type="dxa" w:w="1166"/>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10</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69"/>
            <w:shd w:val="clear" w:color="auto" w:fill="F7F9FB"/>
            <w:vAlign w:val="center"/>
          </w:tcPr>
          <w:p>
            <w:pPr>
              <w:keepNext/>
              <w:spacing w:after="0"/>
            </w:pPr>
            <w:r>
              <w:rPr>
                <w:rFonts w:ascii="Calibri" w:hAnsi="Calibri"/>
                <w:b w:val="0"/>
                <w:i w:val="0"/>
                <w:color w:val="222222"/>
                <w:sz w:val="20"/>
              </w:rPr>
              <w:t>6 of 7 registered predictions pass</w:t>
            </w:r>
          </w:p>
        </w:tc>
        <w:tc>
          <w:tcPr>
            <w:tcW w:type="dxa" w:w="1166"/>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11</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69"/>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66"/>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12</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69"/>
            <w:shd w:val="clear" w:color="auto" w:fill="F7F9FB"/>
            <w:vAlign w:val="center"/>
          </w:tcPr>
          <w:p>
            <w:pPr>
              <w:keepNext/>
              <w:spacing w:after="0"/>
            </w:pPr>
            <w:r>
              <w:rPr>
                <w:rFonts w:ascii="Calibri" w:hAnsi="Calibri"/>
                <w:b w:val="0"/>
                <w:i w:val="0"/>
                <w:color w:val="222222"/>
                <w:sz w:val="20"/>
              </w:rPr>
              <w:t>plan, no new results</w:t>
            </w:r>
          </w:p>
        </w:tc>
        <w:tc>
          <w:tcPr>
            <w:tcW w:type="dxa" w:w="1166"/>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13</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69"/>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66"/>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14</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69"/>
            <w:shd w:val="clear" w:color="auto" w:fill="F7F9FB"/>
            <w:vAlign w:val="center"/>
          </w:tcPr>
          <w:p>
            <w:pPr>
              <w:keepNext/>
              <w:spacing w:after="0"/>
            </w:pPr>
            <w:r>
              <w:rPr>
                <w:rFonts w:ascii="Calibri" w:hAnsi="Calibri"/>
                <w:b w:val="0"/>
                <w:i w:val="0"/>
                <w:color w:val="222222"/>
                <w:sz w:val="20"/>
              </w:rPr>
              <w:t>3 of 5 registered predictions pass</w:t>
            </w:r>
          </w:p>
        </w:tc>
        <w:tc>
          <w:tcPr>
            <w:tcW w:type="dxa" w:w="1166"/>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15</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69"/>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66"/>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16</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69"/>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66"/>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17</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69"/>
            <w:shd w:val="clear" w:color="auto" w:fill="FFFFFF"/>
            <w:vAlign w:val="center"/>
          </w:tcPr>
          <w:p>
            <w:pPr>
              <w:keepNext/>
              <w:spacing w:after="0"/>
            </w:pPr>
            <w:r>
              <w:rPr>
                <w:rFonts w:ascii="Calibri" w:hAnsi="Calibri"/>
                <w:b w:val="0"/>
                <w:i w:val="0"/>
                <w:color w:val="222222"/>
                <w:sz w:val="20"/>
              </w:rPr>
              <w:t>1 of 5 pass; no walking rhythm</w:t>
            </w:r>
          </w:p>
        </w:tc>
        <w:tc>
          <w:tcPr>
            <w:tcW w:type="dxa" w:w="1166"/>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18</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69"/>
            <w:shd w:val="clear" w:color="auto" w:fill="F7F9FB"/>
            <w:vAlign w:val="center"/>
          </w:tcPr>
          <w:p>
            <w:pPr>
              <w:keepNext/>
              <w:spacing w:after="0"/>
            </w:pPr>
            <w:r>
              <w:rPr>
                <w:rFonts w:ascii="Calibri" w:hAnsi="Calibri"/>
                <w:b w:val="0"/>
                <w:i w:val="0"/>
                <w:color w:val="222222"/>
                <w:sz w:val="20"/>
              </w:rPr>
              <w:t>6 of 6 registered predictions pass</w:t>
            </w:r>
          </w:p>
        </w:tc>
        <w:tc>
          <w:tcPr>
            <w:tcW w:type="dxa" w:w="1166"/>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19</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69"/>
            <w:shd w:val="clear" w:color="auto" w:fill="FFFFFF"/>
            <w:vAlign w:val="center"/>
          </w:tcPr>
          <w:p>
            <w:pPr>
              <w:keepNext/>
              <w:spacing w:after="0"/>
            </w:pPr>
            <w:r>
              <w:rPr>
                <w:rFonts w:ascii="Calibri" w:hAnsi="Calibri"/>
                <w:b w:val="0"/>
                <w:i w:val="0"/>
                <w:color w:val="222222"/>
                <w:sz w:val="20"/>
              </w:rPr>
              <w:t>stopped by its rule; no cell walks</w:t>
            </w:r>
          </w:p>
        </w:tc>
        <w:tc>
          <w:tcPr>
            <w:tcW w:type="dxa" w:w="1166"/>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20</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69"/>
            <w:shd w:val="clear" w:color="auto" w:fill="F7F9FB"/>
            <w:vAlign w:val="center"/>
          </w:tcPr>
          <w:p>
            <w:pPr>
              <w:keepNext/>
              <w:spacing w:after="0"/>
            </w:pPr>
            <w:r>
              <w:rPr>
                <w:rFonts w:ascii="Calibri" w:hAnsi="Calibri"/>
                <w:b w:val="0"/>
                <w:i w:val="0"/>
                <w:color w:val="222222"/>
                <w:sz w:val="20"/>
              </w:rPr>
              <w:t>1 of 7 at the selected cell</w:t>
            </w:r>
          </w:p>
        </w:tc>
        <w:tc>
          <w:tcPr>
            <w:tcW w:type="dxa" w:w="1166"/>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21</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69"/>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66"/>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22</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The registered rhythm-measure audit</w:t>
            </w:r>
          </w:p>
        </w:tc>
        <w:tc>
          <w:tcPr>
            <w:tcW w:type="dxa" w:w="2569"/>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66"/>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23</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69"/>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66"/>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24</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69"/>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66"/>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25</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69"/>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66"/>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26</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69"/>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66"/>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27</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69"/>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66"/>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28</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69"/>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66"/>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29</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69"/>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66"/>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30</w:t>
            </w:r>
          </w:p>
        </w:tc>
        <w:tc>
          <w:tcPr>
            <w:tcW w:type="dxa" w:w="1539"/>
            <w:shd w:val="clear" w:color="auto" w:fill="F7F9FB"/>
            <w:vAlign w:val="center"/>
          </w:tcPr>
          <w:p>
            <w:pPr>
              <w:keepNext/>
              <w:spacing w:after="0"/>
              <w:jc w:val="center"/>
            </w:pPr>
            <w:r>
              <w:rPr>
                <w:rFonts w:ascii="Calibri" w:hAnsi="Calibri"/>
                <w:b w:val="0"/>
                <w:i w:val="0"/>
                <w:color w:val="222222"/>
                <w:sz w:val="20"/>
              </w:rPr>
              <w:t>2026-10-24/25</w:t>
            </w:r>
          </w:p>
        </w:tc>
        <w:tc>
          <w:tcPr>
            <w:tcW w:type="dxa" w:w="2814"/>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69"/>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66"/>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31</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69"/>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66"/>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32</w:t>
            </w:r>
          </w:p>
        </w:tc>
        <w:tc>
          <w:tcPr>
            <w:tcW w:type="dxa" w:w="1539"/>
            <w:shd w:val="clear" w:color="auto" w:fill="F7F9FB"/>
            <w:vAlign w:val="center"/>
          </w:tcPr>
          <w:p>
            <w:pPr>
              <w:keepNext/>
              <w:spacing w:after="0"/>
              <w:jc w:val="center"/>
            </w:pPr>
            <w:r>
              <w:rPr>
                <w:rFonts w:ascii="Calibri" w:hAnsi="Calibri"/>
                <w:b w:val="0"/>
                <w:i w:val="0"/>
                <w:color w:val="222222"/>
                <w:sz w:val="20"/>
              </w:rPr>
              <w:t>2026-10-25</w:t>
            </w:r>
          </w:p>
        </w:tc>
        <w:tc>
          <w:tcPr>
            <w:tcW w:type="dxa" w:w="2814"/>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69"/>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66"/>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33</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69"/>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66"/>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34</w:t>
            </w:r>
          </w:p>
        </w:tc>
        <w:tc>
          <w:tcPr>
            <w:tcW w:type="dxa" w:w="1539"/>
            <w:shd w:val="clear" w:color="auto" w:fill="F7F9FB"/>
            <w:vAlign w:val="center"/>
          </w:tcPr>
          <w:p>
            <w:pPr>
              <w:keepNext/>
              <w:spacing w:after="0"/>
              <w:jc w:val="center"/>
            </w:pPr>
            <w:r>
              <w:rPr>
                <w:rFonts w:ascii="Calibri" w:hAnsi="Calibri"/>
                <w:b w:val="0"/>
                <w:i w:val="0"/>
                <w:color w:val="222222"/>
                <w:sz w:val="20"/>
              </w:rPr>
              <w:t>2026-10-25</w:t>
            </w:r>
          </w:p>
        </w:tc>
        <w:tc>
          <w:tcPr>
            <w:tcW w:type="dxa" w:w="2814"/>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69"/>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66"/>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35</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69"/>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66"/>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36</w:t>
            </w:r>
          </w:p>
        </w:tc>
        <w:tc>
          <w:tcPr>
            <w:tcW w:type="dxa" w:w="1539"/>
            <w:shd w:val="clear" w:color="auto" w:fill="F7F9FB"/>
            <w:vAlign w:val="center"/>
          </w:tcPr>
          <w:p>
            <w:pPr>
              <w:keepNext/>
              <w:spacing w:after="0"/>
              <w:jc w:val="center"/>
            </w:pPr>
            <w:r>
              <w:rPr>
                <w:rFonts w:ascii="Calibri" w:hAnsi="Calibri"/>
                <w:b w:val="0"/>
                <w:i w:val="0"/>
                <w:color w:val="222222"/>
                <w:sz w:val="20"/>
              </w:rPr>
              <w:t>2026-10-25</w:t>
            </w:r>
          </w:p>
        </w:tc>
        <w:tc>
          <w:tcPr>
            <w:tcW w:type="dxa" w:w="2814"/>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69"/>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66"/>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37</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69"/>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66"/>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38</w:t>
            </w:r>
          </w:p>
        </w:tc>
        <w:tc>
          <w:tcPr>
            <w:tcW w:type="dxa" w:w="1539"/>
            <w:shd w:val="clear" w:color="auto" w:fill="F7F9FB"/>
            <w:vAlign w:val="center"/>
          </w:tcPr>
          <w:p>
            <w:pPr>
              <w:keepNext/>
              <w:spacing w:after="0"/>
              <w:jc w:val="center"/>
            </w:pPr>
            <w:r>
              <w:rPr>
                <w:rFonts w:ascii="Calibri" w:hAnsi="Calibri"/>
                <w:b w:val="0"/>
                <w:i w:val="0"/>
                <w:color w:val="222222"/>
                <w:sz w:val="20"/>
              </w:rPr>
              <w:t>2026-10-25</w:t>
            </w:r>
          </w:p>
        </w:tc>
        <w:tc>
          <w:tcPr>
            <w:tcW w:type="dxa" w:w="2814"/>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69"/>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66"/>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39</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69"/>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66"/>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40</w:t>
            </w:r>
          </w:p>
        </w:tc>
        <w:tc>
          <w:tcPr>
            <w:tcW w:type="dxa" w:w="1539"/>
            <w:shd w:val="clear" w:color="auto" w:fill="F7F9FB"/>
            <w:vAlign w:val="center"/>
          </w:tcPr>
          <w:p>
            <w:pPr>
              <w:keepNext/>
              <w:spacing w:after="0"/>
              <w:jc w:val="center"/>
            </w:pPr>
            <w:r>
              <w:rPr>
                <w:rFonts w:ascii="Calibri" w:hAnsi="Calibri"/>
                <w:b w:val="0"/>
                <w:i w:val="0"/>
                <w:color w:val="222222"/>
                <w:sz w:val="20"/>
              </w:rPr>
              <w:t>2026-10-25</w:t>
            </w:r>
          </w:p>
        </w:tc>
        <w:tc>
          <w:tcPr>
            <w:tcW w:type="dxa" w:w="2814"/>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69"/>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66"/>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41</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69"/>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66"/>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42</w:t>
            </w:r>
          </w:p>
        </w:tc>
        <w:tc>
          <w:tcPr>
            <w:tcW w:type="dxa" w:w="1539"/>
            <w:shd w:val="clear" w:color="auto" w:fill="F7F9FB"/>
            <w:vAlign w:val="center"/>
          </w:tcPr>
          <w:p>
            <w:pPr>
              <w:keepNext/>
              <w:spacing w:after="0"/>
              <w:jc w:val="center"/>
            </w:pPr>
            <w:r>
              <w:rPr>
                <w:rFonts w:ascii="Calibri" w:hAnsi="Calibri"/>
                <w:b w:val="0"/>
                <w:i w:val="0"/>
                <w:color w:val="222222"/>
                <w:sz w:val="20"/>
              </w:rPr>
              <w:t>2026-10-26</w:t>
            </w:r>
          </w:p>
        </w:tc>
        <w:tc>
          <w:tcPr>
            <w:tcW w:type="dxa" w:w="2814"/>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69"/>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66"/>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43</w:t>
            </w:r>
          </w:p>
        </w:tc>
        <w:tc>
          <w:tcPr>
            <w:tcW w:type="dxa" w:w="1539"/>
            <w:shd w:val="clear" w:color="auto" w:fill="FFFFFF"/>
            <w:vAlign w:val="center"/>
          </w:tcPr>
          <w:p>
            <w:pPr>
              <w:keepNext/>
              <w:spacing w:after="0"/>
              <w:jc w:val="center"/>
            </w:pPr>
            <w:r>
              <w:rPr>
                <w:rFonts w:ascii="Calibri" w:hAnsi="Calibri"/>
                <w:b w:val="0"/>
                <w:i w:val="0"/>
                <w:color w:val="222222"/>
                <w:sz w:val="20"/>
              </w:rPr>
              <w:t>2026-10-27</w:t>
            </w:r>
          </w:p>
        </w:tc>
        <w:tc>
          <w:tcPr>
            <w:tcW w:type="dxa" w:w="2814"/>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569"/>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66"/>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44</w:t>
            </w:r>
          </w:p>
        </w:tc>
        <w:tc>
          <w:tcPr>
            <w:tcW w:type="dxa" w:w="1539"/>
            <w:shd w:val="clear" w:color="auto" w:fill="F7F9FB"/>
            <w:vAlign w:val="center"/>
          </w:tcPr>
          <w:p>
            <w:pPr>
              <w:keepNext/>
              <w:spacing w:after="0"/>
              <w:jc w:val="center"/>
            </w:pPr>
            <w:r>
              <w:rPr>
                <w:rFonts w:ascii="Calibri" w:hAnsi="Calibri"/>
                <w:b w:val="0"/>
                <w:i w:val="0"/>
                <w:color w:val="222222"/>
                <w:sz w:val="20"/>
              </w:rPr>
              <w:t>2026-10-28</w:t>
            </w:r>
          </w:p>
        </w:tc>
        <w:tc>
          <w:tcPr>
            <w:tcW w:type="dxa" w:w="2814"/>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569"/>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66"/>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45</w:t>
            </w:r>
          </w:p>
        </w:tc>
        <w:tc>
          <w:tcPr>
            <w:tcW w:type="dxa" w:w="1539"/>
            <w:shd w:val="clear" w:color="auto" w:fill="FFFFFF"/>
            <w:vAlign w:val="center"/>
          </w:tcPr>
          <w:p>
            <w:pPr>
              <w:keepNext/>
              <w:spacing w:after="0"/>
              <w:jc w:val="center"/>
            </w:pPr>
            <w:r>
              <w:rPr>
                <w:rFonts w:ascii="Calibri" w:hAnsi="Calibri"/>
                <w:b w:val="0"/>
                <w:i w:val="0"/>
                <w:color w:val="222222"/>
                <w:sz w:val="20"/>
              </w:rPr>
              <w:t>2026-10-27/28</w:t>
            </w:r>
          </w:p>
        </w:tc>
        <w:tc>
          <w:tcPr>
            <w:tcW w:type="dxa" w:w="2814"/>
            <w:shd w:val="clear" w:color="auto" w:fill="FFFFFF"/>
            <w:vAlign w:val="center"/>
          </w:tcPr>
          <w:p>
            <w:pPr>
              <w:keepNext/>
              <w:spacing w:after="0"/>
            </w:pPr>
            <w:r>
              <w:rPr>
                <w:rFonts w:ascii="Calibri" w:hAnsi="Calibri"/>
                <w:b w:val="0"/>
                <w:i w:val="0"/>
                <w:color w:val="222222"/>
                <w:sz w:val="20"/>
              </w:rPr>
              <w:t>The twin's inverse model recalibrated: 5.8x the simulations and a five-flow ensemble (D31)</w:t>
            </w:r>
          </w:p>
        </w:tc>
        <w:tc>
          <w:tcPr>
            <w:tcW w:type="dxa" w:w="2569"/>
            <w:shd w:val="clear" w:color="auto" w:fill="FFFFFF"/>
            <w:vAlign w:val="center"/>
          </w:tcPr>
          <w:p>
            <w:pPr>
              <w:keepNext/>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66"/>
            <w:shd w:val="clear" w:color="auto" w:fill="FFFFFF"/>
            <w:vAlign w:val="center"/>
          </w:tcPr>
          <w:p>
            <w:pPr>
              <w:keepNext/>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46</w:t>
            </w:r>
          </w:p>
        </w:tc>
        <w:tc>
          <w:tcPr>
            <w:tcW w:type="dxa" w:w="1539"/>
            <w:shd w:val="clear" w:color="auto" w:fill="F7F9FB"/>
            <w:vAlign w:val="center"/>
          </w:tcPr>
          <w:p>
            <w:pPr>
              <w:keepNext/>
              <w:spacing w:after="0"/>
              <w:jc w:val="center"/>
            </w:pPr>
            <w:r>
              <w:rPr>
                <w:rFonts w:ascii="Calibri" w:hAnsi="Calibri"/>
                <w:b w:val="0"/>
                <w:i w:val="0"/>
                <w:color w:val="222222"/>
                <w:sz w:val="20"/>
              </w:rPr>
              <w:t>2026-10-28</w:t>
            </w:r>
          </w:p>
        </w:tc>
        <w:tc>
          <w:tcPr>
            <w:tcW w:type="dxa" w:w="2814"/>
            <w:shd w:val="clear" w:color="auto" w:fill="F7F9FB"/>
            <w:vAlign w:val="center"/>
          </w:tcPr>
          <w:p>
            <w:pPr>
              <w:keepNext/>
              <w:spacing w:after="0"/>
            </w:pPr>
            <w:r>
              <w:rPr>
                <w:rFonts w:ascii="Calibri" w:hAnsi="Calibri"/>
                <w:b w:val="0"/>
                <w:i w:val="0"/>
                <w:color w:val="222222"/>
                <w:sz w:val="20"/>
              </w:rPr>
              <w:t>Human iPSC against rat chips from one lab: split-half noise of untreated wells</w:t>
            </w:r>
          </w:p>
        </w:tc>
        <w:tc>
          <w:tcPr>
            <w:tcW w:type="dxa" w:w="2569"/>
            <w:shd w:val="clear" w:color="auto" w:fill="F7F9FB"/>
            <w:vAlign w:val="center"/>
          </w:tcPr>
          <w:p>
            <w:pPr>
              <w:keepNext/>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66"/>
            <w:shd w:val="clear" w:color="auto" w:fill="F7F9FB"/>
            <w:vAlign w:val="center"/>
          </w:tcPr>
          <w:p>
            <w:pPr>
              <w:keepNext/>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val="0"/>
              <w:spacing w:after="0"/>
              <w:jc w:val="center"/>
            </w:pPr>
            <w:r>
              <w:rPr>
                <w:rFonts w:ascii="Calibri" w:hAnsi="Calibri"/>
                <w:b/>
                <w:i w:val="0"/>
                <w:color w:val="222222"/>
                <w:sz w:val="20"/>
              </w:rPr>
              <w:t>47</w:t>
            </w:r>
          </w:p>
        </w:tc>
        <w:tc>
          <w:tcPr>
            <w:tcW w:type="dxa" w:w="1539"/>
            <w:shd w:val="clear" w:color="auto" w:fill="FFFFFF"/>
            <w:vAlign w:val="center"/>
          </w:tcPr>
          <w:p>
            <w:pPr>
              <w:keepNext w:val="0"/>
              <w:spacing w:after="0"/>
              <w:jc w:val="center"/>
            </w:pPr>
            <w:r>
              <w:rPr>
                <w:rFonts w:ascii="Calibri" w:hAnsi="Calibri"/>
                <w:b w:val="0"/>
                <w:i w:val="0"/>
                <w:color w:val="222222"/>
                <w:sz w:val="20"/>
              </w:rPr>
              <w:t>2026-10-28</w:t>
            </w:r>
          </w:p>
        </w:tc>
        <w:tc>
          <w:tcPr>
            <w:tcW w:type="dxa" w:w="2814"/>
            <w:shd w:val="clear" w:color="auto" w:fill="FFFFFF"/>
            <w:vAlign w:val="center"/>
          </w:tcPr>
          <w:p>
            <w:pPr>
              <w:keepNext w:val="0"/>
              <w:spacing w:after="0"/>
            </w:pPr>
            <w:r>
              <w:rPr>
                <w:rFonts w:ascii="Calibri" w:hAnsi="Calibri"/>
                <w:b w:val="0"/>
                <w:i w:val="0"/>
                <w:color w:val="222222"/>
                <w:sz w:val="20"/>
              </w:rPr>
              <w:t>Our extractor rerun under the Kapucu 2022 depositors' stated settings, one change at a time (post hoc); the feature definitions recorded as D33</w:t>
            </w:r>
          </w:p>
        </w:tc>
        <w:tc>
          <w:tcPr>
            <w:tcW w:type="dxa" w:w="2569"/>
            <w:shd w:val="clear" w:color="auto" w:fill="FFFFFF"/>
            <w:vAlign w:val="center"/>
          </w:tcPr>
          <w:p>
            <w:pPr>
              <w:keepNext w:val="0"/>
              <w:spacing w:after="0"/>
            </w:pPr>
            <w:r>
              <w:rPr>
                <w:rFonts w:ascii="Calibri" w:hAnsi="Calibri"/>
                <w:b w:val="0"/>
                <w:i w:val="0"/>
                <w:color w:val="222222"/>
                <w:sz w:val="20"/>
              </w:rPr>
              <w:t>none to earlier results; the twofold burst-rate difference is traced mainly to the burst-rate denominator, on the hPSC plates; two report wording errors fixed</w:t>
            </w:r>
          </w:p>
        </w:tc>
        <w:tc>
          <w:tcPr>
            <w:tcW w:type="dxa" w:w="1166"/>
            <w:shd w:val="clear" w:color="auto" w:fill="FFFFFF"/>
            <w:vAlign w:val="center"/>
          </w:tcPr>
          <w:p>
            <w:pPr>
              <w:keepNext w:val="0"/>
              <w:spacing w:after="0"/>
            </w:pPr>
            <w:r>
              <w:rPr>
                <w:rFonts w:ascii="Consolas" w:hAnsi="Consolas"/>
                <w:b w:val="0"/>
                <w:i w:val="0"/>
                <w:color w:val="222222"/>
                <w:sz w:val="18"/>
              </w:rPr>
              <w:t>46d1607</w:t>
            </w:r>
            <w:r>
              <w:rPr>
                <w:rFonts w:ascii="Calibri" w:hAnsi="Calibri"/>
                <w:b w:val="0"/>
                <w:i w:val="0"/>
                <w:color w:val="222222"/>
                <w:sz w:val="20"/>
              </w:rPr>
              <w:t xml:space="preserve">, </w:t>
            </w:r>
            <w:r>
              <w:rPr>
                <w:rFonts w:ascii="Consolas" w:hAnsi="Consolas"/>
                <w:b w:val="0"/>
                <w:i w:val="0"/>
                <w:color w:val="222222"/>
                <w:sz w:val="18"/>
              </w:rPr>
              <w:t>e10a2ff</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44 registered studies here made 226 predictions: 101 passed, 86 failed, 38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39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47. Why the extractor disagrees with meaRtools on burst rate, and what we chose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same spike files, our burst rate is less than half the depositors' published meaRtools value (ratio 0.4423); rerun with their stated settings, most of the gap is one choice, dividing by the electrodes that burst rather than by every active one (ratio 0.944), and it is a human iPSC effect. Post hoc.</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two definition options, off by default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xml:space="preserve">); at their defaults every feature value and every method record is byte-identical, which a golden-value test pins. A new module, </w:t>
      </w:r>
      <w:r>
        <w:rPr>
          <w:rFonts w:ascii="Consolas" w:hAnsi="Consolas"/>
          <w:b w:val="0"/>
          <w:i w:val="0"/>
          <w:color w:val="222222"/>
          <w:sz w:val="19"/>
        </w:rPr>
        <w:t>src/neuromps/models/extractor_ladder.py</w:t>
      </w:r>
      <w:r>
        <w:rPr>
          <w:rFonts w:ascii="Calibri" w:hAnsi="Calibri"/>
          <w:b w:val="0"/>
          <w:i w:val="0"/>
          <w:color w:val="222222"/>
          <w:sz w:val="21"/>
        </w:rPr>
        <w:t>, runs inside the existing extractor-agreement stage and reruns our extractor on the depositors' spike files with their stated choices switched on one at a time: active above 10 spikes/min (S1), their noisy electrodes dropped for each DIV (S2), burst rate per bursting electrode (S3), each change alone, and an assumption check. The definitions themselves are recorded retroactively as decision D33. Two wording errors in the report are fixed: the executive summary said we had run the depositors' meaRtools pipeline (we ran our extractor on their spike files and compared with the output they published), and the §3 figure caption described a different plot.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judges' question was why a reader should trust our extractor. §3 showed where it disagrees with an independent implementation but not why; a twofold burst-rate gap with no explanation reads as a possible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ladder's first step is the published comparison, unchanged (check: true); the agreement numbers in §3 do not move.</w:t>
      </w:r>
    </w:p>
    <w:p>
      <w:pPr>
        <w:spacing w:after="120"/>
        <w:ind w:left="432" w:hanging="259"/>
      </w:pPr>
      <w:r>
        <w:rPr>
          <w:rFonts w:ascii="Calibri" w:hAnsi="Calibri"/>
          <w:b w:val="0"/>
          <w:i w:val="0"/>
          <w:color w:val="222222"/>
          <w:sz w:val="21"/>
        </w:rPr>
        <w:t>•</w:t>
        <w:tab/>
      </w:r>
      <w:r>
        <w:rPr>
          <w:rFonts w:ascii="Calibri" w:hAnsi="Calibri"/>
          <w:b w:val="0"/>
          <w:i w:val="0"/>
          <w:color w:val="222222"/>
          <w:sz w:val="21"/>
        </w:rPr>
        <w:t>Pooled burst rate, median ratio ours/theirs: 0.4423 as published, 0.6998 at S1, 0.6967 at S2 and 0.944 at S3; the denominator alone gives 0.9087. The ladder closes a share of 0.9293 of the pooled log-ratio gap.</w:t>
      </w:r>
    </w:p>
    <w:p>
      <w:pPr>
        <w:spacing w:after="120"/>
        <w:ind w:left="432" w:hanging="259"/>
      </w:pPr>
      <w:r>
        <w:rPr>
          <w:rFonts w:ascii="Calibri" w:hAnsi="Calibri"/>
          <w:b w:val="0"/>
          <w:i w:val="0"/>
          <w:color w:val="222222"/>
          <w:sz w:val="21"/>
        </w:rPr>
        <w:t>•</w:t>
        <w:tab/>
      </w:r>
      <w:r>
        <w:rPr>
          <w:rFonts w:ascii="Calibri" w:hAnsi="Calibri"/>
          <w:b w:val="0"/>
          <w:i w:val="0"/>
          <w:color w:val="222222"/>
          <w:sz w:val="21"/>
        </w:rPr>
        <w:t>It is an hPSC effect: hPSC_MEA1 moves from 0.3417 to 0.8579, hPSC_MEA2 from 0.3841 to 0.8973, and the rat plate from 0.9573 to 1.04. In a median hPSC_MEA1 recording a share of only 0.6225 of active electrodes burst, against 0.9815 on the rat plate.</w:t>
      </w:r>
    </w:p>
    <w:p>
      <w:pPr>
        <w:spacing w:after="120"/>
        <w:ind w:left="432" w:hanging="259"/>
      </w:pPr>
      <w:r>
        <w:rPr>
          <w:rFonts w:ascii="Calibri" w:hAnsi="Calibri"/>
          <w:b w:val="0"/>
          <w:i w:val="0"/>
          <w:color w:val="222222"/>
          <w:sz w:val="21"/>
        </w:rPr>
        <w:t>•</w:t>
        <w:tab/>
      </w:r>
      <w:r>
        <w:rPr>
          <w:rFonts w:ascii="Calibri" w:hAnsi="Calibri"/>
          <w:b w:val="0"/>
          <w:i w:val="0"/>
          <w:color w:val="222222"/>
          <w:sz w:val="21"/>
        </w:rPr>
        <w:t>With the same electrodes (S2), firing rate, active-electrode count and STTC reproduce theirs: rank agreement 1.0 for firing rate, and an identical active-electrode count in a share of 1.0 of recordings. Burst duration and spikes per burst barely move (S3 ratios 0.8208 and 0.9433): that remainder is the burst detector, which is not tested.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assumption that the noisy-electrode file is read per DIV column was checked: read as "listed on any DIV, noisy throughout", the active-electrode count matches in a share of only 0.253 of recordings.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and not registered: a scratch analysis showed these numbers before the module was written, so the registration counts (§21, entry 43) do not change. No earlier result, record or twin output changes; the asset is not rebuilt.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("Where the difference comes from"); decision D33; </w:t>
      </w:r>
      <w:r>
        <w:rPr>
          <w:rFonts w:ascii="Consolas" w:hAnsi="Consolas"/>
          <w:b w:val="0"/>
          <w:i w:val="0"/>
          <w:color w:val="222222"/>
          <w:sz w:val="19"/>
        </w:rPr>
        <w:t>outputs/figures/extractor_settings_ladder_real.png</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tests/test_extractor_ladder.py</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