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D19. Closing the loop on a well-traced leg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stop stage 3 at the front-leg limit; close the loop on the right hind leg (25 claw neurons) through flybody's servoed tibia; build a muscle-driven hind leg (no such model at hand).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servoed hind leg (stage 3c, registration commit 22b082e): the walking command holds the right hind tibia extended (its extensor pool is tonically active, stage 2a), a 20 ms torque pushes it, and the return is timed under the resistance and assistance assignments and a sham, as in stage 3b.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tests whether the front leg's failure was the thin sensor tracing, with the one body that has the leg. </w:t>
      </w:r>
      <w:r>
        <w:rPr>
          <w:rFonts w:ascii="Calibri" w:hAnsi="Calibri"/>
          <w:b/>
          <w:i w:val="0"/>
          <w:color w:val="222222"/>
          <w:sz w:val="21"/>
        </w:rPr>
        <w:t>Cost: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feedback changes a commanded angle, not muscle force; a servo's own stiffness sets much of the return.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 (if FlyMimic or another model adds one); the walking command's other legs.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D20. Testing stage 3c's exploratory difference on its own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3c's resistance-against-sham difference as exploratory and stop; test it alone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test it (stage 3d, registration commit 8ea194a): resistance against sham, paired by seed, 32 fresh seeds, a one-sided sign test and a 5 ms margin.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difference was the one sign that the push-following part of the feedback acts on a well-traced leg, and it was seen in a noisy, unstable regime, so only a registered test on new seeds can say whether it is real.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0 of 2 (stage 3 stays a documented negative).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D21. After stage 3: replicate the headline before anything new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new science that needs a model not at hand (a muscle-driven hind leg, neuron volumes for the size rule); 13A/13B subsets or pulsed activation (a leaky integrate-and-fire network has no rebound); paper and slide writing only; a registered replication of stage 4a, the paper's headline, which ran on one set of 8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replication (stage 4b, registration commit b23f6a3): stage 4a's movements on 16 fresh seeds, against the chip detections of the parent design's own fresh-seed replication, with each movement left out in turn.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result a reviewer will press first, it is cheap (about 15 minutes), and the leave-one-out check names the assumption most likely to make it wrong (that one movement carries the disruption index).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b23f6a3). The chip is late in every family on the fresh seeds; without the bitter-gated proboscis GABA-A potentiation ties the chip.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different impairment line for movement (the 0.05 mm sensitivity is reported); a finer dose grid for GABA-A potentiation and excitability block, where the margin is one step.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D22. Resolving stage 4b's one-step margins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the two thin margins reported; a finer dose grid inside them, as the motor-level tie-break did; a different movement impairment line (a new rule chosen after the results, so not taken).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finer grid (stage 4c, registration commit f387845): GABA-A potentiation at gaba_scale 1.6-1.9 and excitability block at threshold_scale 1.24-1.36 and 1.44-1.56, with stage 4b's movement seeds and both of the parent's chip seed sets, the coarse levels rerun as a reproduction check.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4b showed that in two families the headline rests on a single step of the dose grid, and a finer grid is the direct way to ask what happens inside it.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f387845). Excitability block resolves chip later against both chip runs; GABA-A potentiation stays chip later with the full index, and tied without the bitter-gated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(for example a walking readout, once one exists) would tell whether GABA-A potentiation's lateness is specific to feeding.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D23. Stopping new science for the night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further stages (each remaining branch needs a model not at hand or is expected to fail by construction); documents for the team.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slide outline for the deck (</w:t>
      </w:r>
      <w:r>
        <w:rPr>
          <w:rFonts w:ascii="Consolas" w:hAnsi="Consolas"/>
          <w:b w:val="0"/>
          <w:i w:val="0"/>
          <w:color w:val="222222"/>
          <w:sz w:val="19"/>
        </w:rPr>
        <w:t>report/SLIDES_OUTLINE.md</w:t>
      </w:r>
      <w:r>
        <w:rPr>
          <w:rFonts w:ascii="Calibri" w:hAnsi="Calibri"/>
          <w:b w:val="0"/>
          <w:i w:val="0"/>
          <w:color w:val="222222"/>
          <w:sz w:val="21"/>
        </w:rPr>
        <w:t xml:space="preserve">, every number cited), the README's document table brought up to date, and a morning summary in </w:t>
      </w:r>
      <w:r>
        <w:rPr>
          <w:rFonts w:ascii="Consolas" w:hAnsi="Consolas"/>
          <w:b w:val="0"/>
          <w:i w:val="0"/>
          <w:color w:val="222222"/>
          <w:sz w:val="19"/>
        </w:rPr>
        <w:t>PROGRESS.md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headline has now been tested as far as the current bodies allow (stages 4a-4c), and the next scientific choices (D7 neuron volumes, a muscle-driven hind leg, a walking readout for drugs) are the team's to make.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D24. The volume size rule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(D7's unexplored branch):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from a future release, or MANC volumes through the male-CNS-to-MANC matching; found instead: the male CNS v1.0 neuPrint neuron table (same bucket, same CC-BY release) has a voxel count per 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fetch that table whole (4.65 GB, source </w:t>
      </w:r>
      <w:r>
        <w:rPr>
          <w:rFonts w:ascii="Consolas" w:hAnsi="Consolas"/>
          <w:b w:val="0"/>
          <w:i w:val="0"/>
          <w:color w:val="222222"/>
          <w:sz w:val="19"/>
        </w:rPr>
        <w:t>malecns_sizes</w:t>
      </w:r>
      <w:r>
        <w:rPr>
          <w:rFonts w:ascii="Calibri" w:hAnsi="Calibri"/>
          <w:b w:val="0"/>
          <w:i w:val="0"/>
          <w:color w:val="222222"/>
          <w:sz w:val="21"/>
        </w:rPr>
        <w:t xml:space="preserve">), checked against the bucket's CRC32C, because the bucket publishes no MD5 for it </w:t>
      </w:r>
      <w:r>
        <w:rPr>
          <w:rFonts w:ascii="Calibri" w:hAnsi="Calibri"/>
          <w:b/>
          <w:i w:val="0"/>
          <w:color w:val="222222"/>
          <w:sz w:val="21"/>
        </w:rPr>
        <w:t>(user: full file, not a column-only range read)</w:t>
      </w:r>
      <w:r>
        <w:rPr>
          <w:rFonts w:ascii="Calibri" w:hAnsi="Calibri"/>
          <w:b w:val="0"/>
          <w:i w:val="0"/>
          <w:color w:val="222222"/>
          <w:sz w:val="21"/>
        </w:rPr>
        <w:t>; rerun stage 2h with the published rule (stage 2i, registration commit d03ee27) on fresh draws. A numpy CRC32C was written rather than adding a dependency.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6 of 7 (registration commit d03ee27): the rhythm needs the circuit and promotor and remotor keep a reliable, non-antiphase offset; flexor-extensor alternation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normalizing by the median over the whole nerve cord rather than over the network (stated choice: over the network, as for the synapse-count stand-in).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D25. Checking that stage 2i comes from the neurons' own volumes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2i as it stands; name the assumption most likely to make it wrong and test it (the project rule for results that look good).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2j (registration commit 1d1d644), fresh draws: the volume rule replicated, volumes shuffled across neurons (a fresh permutation per draw), and normalization by the nerve cord's median instead of the network's.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if shuffled volumes do as well, the result is about the spread of sizes, not the identified neurons; the normalization was a stated choice the published description does not fix.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2 of 4 (registration commit 1d1d644). Shuffled volumes give no rhythm; the cord-median normalization changes nothing; the rhythm and the circuit's necessity replicate, but the promotor-remotor offset does not reach the registered reliability, so it is not claimed.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test of the offset alone with more draws, if it matters for the paper.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D26. Walking as a drug readout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(from D22's revisit):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for the drug design; the only walking readout at hand is stage 2i's fictive front-leg rhythm (rate model, volume sizes, no body).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4d (registration commit 73ffde6), fresh draws: the drug knobs applied to the walking network (weights scaled by presynaptic class, as in the spiking model; the excitability knob scales the activation threshold), each draw's DNg100 input found under vehicle and held fixed, onsets on stage 4c's combined dose series.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asks whether GABA-A potentiation's lateness is specific to feeding and whether the headline holds for a rhythm.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Stated choice: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threshold knob maps to the rate model's theta; fixed inputs, so a drug changes the response, not the stimulus.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2 of 4 (registration commit 73ffde6). GABA-A and GluCl block break walking first; acetylcholine block is chip-first; GABA-A potentiation and the threshold knob leave walking intact; with walking as a fourth movement the chip is still late in every family.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readout that respects the bimodal draws (the fraction of rhythmic draws) registered as its own test; a threshold mapping that also shifts the drive.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D27. Retesting the acetylcholine exception with a readout that respects the draws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keep stage 4d's median readout; a fraction-of-rhythmic-draws readout; a per-draw paired analysis.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fraction readout on fresh draws (stage 4e, registration commit 180476f).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4d's draws are bimodal, the median sits between the modes, and the exception entered the abstract; the fraction is the plainest readout of a bimodal outcome and uses the rhythm line registered since stage 2g.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2 of 4 (registration commit 180476f). GABA-A and GluCl block break walking first; the acetylcholine exception does not replicate: mild block raises the share of rhythmic draws, and the two-sided index counts that as a change before the chip. The exception is withdrawn from the abstract, discussion, README and slides.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one-sided walking index (only loss of rhythm counts) would be a new rule chosen after seeing this result; register it only with a reason that does not depend on the outcome.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D28. The paper and new research move to a private repository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keep everything public; make the repository private (would break the competition's links and the hosted demo, and erase stars and watchers); rewrite public history (destructive, and GitHub keeps every pull request's commits regardless); keep new work private from here 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new work private from here on. The public repository </w:t>
      </w:r>
      <w:r>
        <w:rPr>
          <w:rFonts w:ascii="Consolas" w:hAnsi="Consolas"/>
          <w:b w:val="0"/>
          <w:i w:val="0"/>
          <w:color w:val="222222"/>
          <w:sz w:val="19"/>
        </w:rPr>
        <w:t>Vodolay/AI4S</w:t>
      </w:r>
      <w:r>
        <w:rPr>
          <w:rFonts w:ascii="Calibri" w:hAnsi="Calibri"/>
          <w:b w:val="0"/>
          <w:i w:val="0"/>
          <w:color w:val="222222"/>
          <w:sz w:val="21"/>
        </w:rPr>
        <w:t xml:space="preserve"> keeps the hackathon deliverables and everything already published (up to pull request 26). A private repository </w:t>
      </w:r>
      <w:r>
        <w:rPr>
          <w:rFonts w:ascii="Consolas" w:hAnsi="Consolas"/>
          <w:b w:val="0"/>
          <w:i w:val="0"/>
          <w:color w:val="222222"/>
          <w:sz w:val="19"/>
        </w:rPr>
        <w:t>Vodolay/AI4S-paper</w:t>
      </w:r>
      <w:r>
        <w:rPr>
          <w:rFonts w:ascii="Calibri" w:hAnsi="Calibri"/>
          <w:b w:val="0"/>
          <w:i w:val="0"/>
          <w:color w:val="222222"/>
          <w:sz w:val="21"/>
        </w:rPr>
        <w:t xml:space="preserve"> mirrors public master and adds a </w:t>
      </w:r>
      <w:r>
        <w:rPr>
          <w:rFonts w:ascii="Consolas" w:hAnsi="Consolas"/>
          <w:b w:val="0"/>
          <w:i w:val="0"/>
          <w:color w:val="222222"/>
          <w:sz w:val="19"/>
        </w:rPr>
        <w:t>paper-draft</w:t>
      </w:r>
      <w:r>
        <w:rPr>
          <w:rFonts w:ascii="Calibri" w:hAnsi="Calibri"/>
          <w:b w:val="0"/>
          <w:i w:val="0"/>
          <w:color w:val="222222"/>
          <w:sz w:val="21"/>
        </w:rPr>
        <w:t xml:space="preserve"> branch holding the paper draft, its outline, the slide outline (D23) and any new research toward the paper; those three documents were removed from public master.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wants the preprint and the research leading to it kept private until submission; what was already public stays so, and its history timestamps the work.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when the paper is submitted, </w:t>
      </w:r>
      <w:r>
        <w:rPr>
          <w:rFonts w:ascii="Consolas" w:hAnsi="Consolas"/>
          <w:b w:val="0"/>
          <w:i w:val="0"/>
          <w:color w:val="222222"/>
          <w:sz w:val="19"/>
        </w:rPr>
        <w:t>paper-draft</w:t>
      </w:r>
      <w:r>
        <w:rPr>
          <w:rFonts w:ascii="Calibri" w:hAnsi="Calibri"/>
          <w:b w:val="0"/>
          <w:i w:val="0"/>
          <w:color w:val="222222"/>
          <w:sz w:val="21"/>
        </w:rPr>
        <w:t xml:space="preserve"> merges into public master.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