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6"/>
        <w:gridCol w:w="1532"/>
        <w:gridCol w:w="2824"/>
        <w:gridCol w:w="2563"/>
        <w:gridCol w:w="1171"/>
      </w:tblGrid>
      <w:tr>
        <w:trPr>
          <w:cantSplit/>
          <w:tblHeader/>
        </w:trPr>
        <w:tc>
          <w:tcPr>
            <w:tcW w:type="dxa" w:w="406"/>
            <w:shd w:val="clear" w:color="auto" w:fill="1F4E79"/>
            <w:vAlign w:val="center"/>
          </w:tcPr>
          <w:p>
            <w:pPr>
              <w:keepNext/>
              <w:spacing w:after="0"/>
              <w:jc w:val="center"/>
            </w:pPr>
            <w:r>
              <w:rPr>
                <w:rFonts w:ascii="Calibri" w:hAnsi="Calibri"/>
                <w:b/>
                <w:i w:val="0"/>
                <w:color w:val="FFFFFF"/>
                <w:sz w:val="20"/>
              </w:rPr>
              <w:t>#</w:t>
            </w:r>
          </w:p>
        </w:tc>
        <w:tc>
          <w:tcPr>
            <w:tcW w:type="dxa" w:w="1532"/>
            <w:shd w:val="clear" w:color="auto" w:fill="1F4E79"/>
            <w:vAlign w:val="center"/>
          </w:tcPr>
          <w:p>
            <w:pPr>
              <w:keepNext/>
              <w:spacing w:after="0"/>
              <w:jc w:val="center"/>
            </w:pPr>
            <w:r>
              <w:rPr>
                <w:rFonts w:ascii="Calibri" w:hAnsi="Calibri"/>
                <w:b/>
                <w:i w:val="0"/>
                <w:color w:val="FFFFFF"/>
                <w:sz w:val="20"/>
              </w:rPr>
              <w:t>Date</w:t>
            </w:r>
          </w:p>
        </w:tc>
        <w:tc>
          <w:tcPr>
            <w:tcW w:type="dxa" w:w="2824"/>
            <w:shd w:val="clear" w:color="auto" w:fill="1F4E79"/>
            <w:vAlign w:val="center"/>
          </w:tcPr>
          <w:p>
            <w:pPr>
              <w:keepNext/>
              <w:spacing w:after="0"/>
            </w:pPr>
            <w:r>
              <w:rPr>
                <w:rFonts w:ascii="Calibri" w:hAnsi="Calibri"/>
                <w:b/>
                <w:i w:val="0"/>
                <w:color w:val="FFFFFF"/>
                <w:sz w:val="20"/>
              </w:rPr>
              <w:t>Change</w:t>
            </w:r>
          </w:p>
        </w:tc>
        <w:tc>
          <w:tcPr>
            <w:tcW w:type="dxa" w:w="2563"/>
            <w:shd w:val="clear" w:color="auto" w:fill="1F4E79"/>
            <w:vAlign w:val="center"/>
          </w:tcPr>
          <w:p>
            <w:pPr>
              <w:keepNext/>
              <w:spacing w:after="0"/>
            </w:pPr>
            <w:r>
              <w:rPr>
                <w:rFonts w:ascii="Calibri" w:hAnsi="Calibri"/>
                <w:b/>
                <w:i w:val="0"/>
                <w:color w:val="FFFFFF"/>
                <w:sz w:val="20"/>
              </w:rPr>
              <w:t>Effect on results</w:t>
            </w:r>
          </w:p>
        </w:tc>
        <w:tc>
          <w:tcPr>
            <w:tcW w:type="dxa" w:w="1171"/>
            <w:shd w:val="clear" w:color="auto" w:fill="1F4E79"/>
            <w:vAlign w:val="center"/>
          </w:tcPr>
          <w:p>
            <w:pPr>
              <w:keepNext/>
              <w:spacing w:after="0"/>
            </w:pPr>
            <w:r>
              <w:rPr>
                <w:rFonts w:ascii="Calibri" w:hAnsi="Calibri"/>
                <w:b/>
                <w:i w:val="0"/>
                <w:color w:val="FFFFFF"/>
                <w:sz w:val="20"/>
              </w:rPr>
              <w:t>Commits</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w:t>
            </w:r>
          </w:p>
        </w:tc>
        <w:tc>
          <w:tcPr>
            <w:tcW w:type="dxa" w:w="1532"/>
            <w:shd w:val="clear" w:color="auto" w:fill="FFFFFF"/>
            <w:vAlign w:val="center"/>
          </w:tcPr>
          <w:p>
            <w:pPr>
              <w:keepNext/>
              <w:spacing w:after="0"/>
              <w:jc w:val="center"/>
            </w:pPr>
            <w:r>
              <w:rPr>
                <w:rFonts w:ascii="Calibri" w:hAnsi="Calibri"/>
                <w:b w:val="0"/>
                <w:i w:val="0"/>
                <w:color w:val="222222"/>
                <w:sz w:val="20"/>
              </w:rPr>
              <w:t>2026-10-10</w:t>
            </w:r>
          </w:p>
        </w:tc>
        <w:tc>
          <w:tcPr>
            <w:tcW w:type="dxa" w:w="2824"/>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63"/>
            <w:shd w:val="clear" w:color="auto" w:fill="FFFFFF"/>
            <w:vAlign w:val="center"/>
          </w:tcPr>
          <w:p>
            <w:pPr>
              <w:keepNext/>
              <w:spacing w:after="0"/>
            </w:pPr>
            <w:r>
              <w:rPr>
                <w:rFonts w:ascii="Calibri" w:hAnsi="Calibri"/>
                <w:b w:val="0"/>
                <w:i w:val="0"/>
                <w:color w:val="222222"/>
                <w:sz w:val="20"/>
              </w:rPr>
              <w:t>none (no number or claim changed)</w:t>
            </w:r>
          </w:p>
        </w:tc>
        <w:tc>
          <w:tcPr>
            <w:tcW w:type="dxa" w:w="1171"/>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w:t>
            </w:r>
          </w:p>
        </w:tc>
        <w:tc>
          <w:tcPr>
            <w:tcW w:type="dxa" w:w="1532"/>
            <w:shd w:val="clear" w:color="auto" w:fill="F7F9FB"/>
            <w:vAlign w:val="center"/>
          </w:tcPr>
          <w:p>
            <w:pPr>
              <w:keepNext/>
              <w:spacing w:after="0"/>
              <w:jc w:val="center"/>
            </w:pPr>
            <w:r>
              <w:rPr>
                <w:rFonts w:ascii="Calibri" w:hAnsi="Calibri"/>
                <w:b w:val="0"/>
                <w:i w:val="0"/>
                <w:color w:val="222222"/>
                <w:sz w:val="20"/>
              </w:rPr>
              <w:t>2026-10-11</w:t>
            </w:r>
          </w:p>
        </w:tc>
        <w:tc>
          <w:tcPr>
            <w:tcW w:type="dxa" w:w="2824"/>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63"/>
            <w:shd w:val="clear" w:color="auto" w:fill="F7F9FB"/>
            <w:vAlign w:val="center"/>
          </w:tcPr>
          <w:p>
            <w:pPr>
              <w:keepNext/>
              <w:spacing w:after="0"/>
            </w:pPr>
            <w:r>
              <w:rPr>
                <w:rFonts w:ascii="Calibri" w:hAnsi="Calibri"/>
                <w:b w:val="0"/>
                <w:i w:val="0"/>
                <w:color w:val="222222"/>
                <w:sz w:val="20"/>
              </w:rPr>
              <w:t>the dose conclusion reverses</w:t>
            </w:r>
          </w:p>
        </w:tc>
        <w:tc>
          <w:tcPr>
            <w:tcW w:type="dxa" w:w="1171"/>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w:t>
            </w:r>
          </w:p>
        </w:tc>
        <w:tc>
          <w:tcPr>
            <w:tcW w:type="dxa" w:w="1532"/>
            <w:shd w:val="clear" w:color="auto" w:fill="FFFFFF"/>
            <w:vAlign w:val="center"/>
          </w:tcPr>
          <w:p>
            <w:pPr>
              <w:keepNext/>
              <w:spacing w:after="0"/>
              <w:jc w:val="center"/>
            </w:pPr>
            <w:r>
              <w:rPr>
                <w:rFonts w:ascii="Calibri" w:hAnsi="Calibri"/>
                <w:b w:val="0"/>
                <w:i w:val="0"/>
                <w:color w:val="222222"/>
                <w:sz w:val="20"/>
              </w:rPr>
              <w:t>2026-10-22</w:t>
            </w:r>
          </w:p>
        </w:tc>
        <w:tc>
          <w:tcPr>
            <w:tcW w:type="dxa" w:w="2824"/>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63"/>
            <w:shd w:val="clear" w:color="auto" w:fill="FFFFFF"/>
            <w:vAlign w:val="center"/>
          </w:tcPr>
          <w:p>
            <w:pPr>
              <w:keepNext/>
              <w:spacing w:after="0"/>
            </w:pPr>
            <w:r>
              <w:rPr>
                <w:rFonts w:ascii="Calibri" w:hAnsi="Calibri"/>
                <w:b w:val="0"/>
                <w:i w:val="0"/>
                <w:color w:val="222222"/>
                <w:sz w:val="20"/>
              </w:rPr>
              <w:t>none; access only</w:t>
            </w:r>
          </w:p>
        </w:tc>
        <w:tc>
          <w:tcPr>
            <w:tcW w:type="dxa" w:w="1171"/>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w:t>
            </w:r>
          </w:p>
        </w:tc>
        <w:tc>
          <w:tcPr>
            <w:tcW w:type="dxa" w:w="1532"/>
            <w:shd w:val="clear" w:color="auto" w:fill="F7F9FB"/>
            <w:vAlign w:val="center"/>
          </w:tcPr>
          <w:p>
            <w:pPr>
              <w:keepNext/>
              <w:spacing w:after="0"/>
              <w:jc w:val="center"/>
            </w:pPr>
            <w:r>
              <w:rPr>
                <w:rFonts w:ascii="Calibri" w:hAnsi="Calibri"/>
                <w:b w:val="0"/>
                <w:i w:val="0"/>
                <w:color w:val="222222"/>
                <w:sz w:val="20"/>
              </w:rPr>
              <w:t>2026-10-22/23</w:t>
            </w:r>
          </w:p>
        </w:tc>
        <w:tc>
          <w:tcPr>
            <w:tcW w:type="dxa" w:w="2824"/>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63"/>
            <w:shd w:val="clear" w:color="auto" w:fill="F7F9FB"/>
            <w:vAlign w:val="center"/>
          </w:tcPr>
          <w:p>
            <w:pPr>
              <w:keepNext/>
              <w:spacing w:after="0"/>
            </w:pPr>
            <w:r>
              <w:rPr>
                <w:rFonts w:ascii="Calibri" w:hAnsi="Calibri"/>
                <w:b w:val="0"/>
                <w:i w:val="0"/>
                <w:color w:val="222222"/>
                <w:sz w:val="20"/>
              </w:rPr>
              <w:t>new results, pre-registered</w:t>
            </w:r>
          </w:p>
        </w:tc>
        <w:tc>
          <w:tcPr>
            <w:tcW w:type="dxa" w:w="1171"/>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5</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63"/>
            <w:shd w:val="clear" w:color="auto" w:fill="FFFFFF"/>
            <w:vAlign w:val="center"/>
          </w:tcPr>
          <w:p>
            <w:pPr>
              <w:keepNext/>
              <w:spacing w:after="0"/>
            </w:pPr>
            <w:r>
              <w:rPr>
                <w:rFonts w:ascii="Calibri" w:hAnsi="Calibri"/>
                <w:b w:val="0"/>
                <w:i w:val="0"/>
                <w:color w:val="222222"/>
                <w:sz w:val="20"/>
              </w:rPr>
              <w:t>none; structure only</w:t>
            </w:r>
          </w:p>
        </w:tc>
        <w:tc>
          <w:tcPr>
            <w:tcW w:type="dxa" w:w="1171"/>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6</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63"/>
            <w:shd w:val="clear" w:color="auto" w:fill="F7F9FB"/>
            <w:vAlign w:val="center"/>
          </w:tcPr>
          <w:p>
            <w:pPr>
              <w:keepNext/>
              <w:spacing w:after="0"/>
            </w:pPr>
            <w:r>
              <w:rPr>
                <w:rFonts w:ascii="Calibri" w:hAnsi="Calibri"/>
                <w:b w:val="0"/>
                <w:i w:val="0"/>
                <w:color w:val="222222"/>
                <w:sz w:val="20"/>
              </w:rPr>
              <w:t>new comparison (descriptive)</w:t>
            </w:r>
          </w:p>
        </w:tc>
        <w:tc>
          <w:tcPr>
            <w:tcW w:type="dxa" w:w="1171"/>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7</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63"/>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71"/>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8</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63"/>
            <w:shd w:val="clear" w:color="auto" w:fill="F7F9FB"/>
            <w:vAlign w:val="center"/>
          </w:tcPr>
          <w:p>
            <w:pPr>
              <w:keepNext/>
              <w:spacing w:after="0"/>
            </w:pPr>
            <w:r>
              <w:rPr>
                <w:rFonts w:ascii="Calibri" w:hAnsi="Calibri"/>
                <w:b w:val="0"/>
                <w:i w:val="0"/>
                <w:color w:val="222222"/>
                <w:sz w:val="20"/>
              </w:rPr>
              <w:t>1 of 3 registered predictions pass</w:t>
            </w:r>
          </w:p>
        </w:tc>
        <w:tc>
          <w:tcPr>
            <w:tcW w:type="dxa" w:w="1171"/>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9</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63"/>
            <w:shd w:val="clear" w:color="auto" w:fill="FFFFFF"/>
            <w:vAlign w:val="center"/>
          </w:tcPr>
          <w:p>
            <w:pPr>
              <w:keepNext/>
              <w:spacing w:after="0"/>
            </w:pPr>
            <w:r>
              <w:rPr>
                <w:rFonts w:ascii="Calibri" w:hAnsi="Calibri"/>
                <w:b w:val="0"/>
                <w:i w:val="0"/>
                <w:color w:val="222222"/>
                <w:sz w:val="20"/>
              </w:rPr>
              <w:t>4 of 4 registered predictions pass</w:t>
            </w:r>
          </w:p>
        </w:tc>
        <w:tc>
          <w:tcPr>
            <w:tcW w:type="dxa" w:w="1171"/>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10</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63"/>
            <w:shd w:val="clear" w:color="auto" w:fill="F7F9FB"/>
            <w:vAlign w:val="center"/>
          </w:tcPr>
          <w:p>
            <w:pPr>
              <w:keepNext/>
              <w:spacing w:after="0"/>
            </w:pPr>
            <w:r>
              <w:rPr>
                <w:rFonts w:ascii="Calibri" w:hAnsi="Calibri"/>
                <w:b w:val="0"/>
                <w:i w:val="0"/>
                <w:color w:val="222222"/>
                <w:sz w:val="20"/>
              </w:rPr>
              <w:t>6 of 7 registered predictions pass</w:t>
            </w:r>
          </w:p>
        </w:tc>
        <w:tc>
          <w:tcPr>
            <w:tcW w:type="dxa" w:w="1171"/>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11</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63"/>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71"/>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12</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63"/>
            <w:shd w:val="clear" w:color="auto" w:fill="F7F9FB"/>
            <w:vAlign w:val="center"/>
          </w:tcPr>
          <w:p>
            <w:pPr>
              <w:keepNext/>
              <w:spacing w:after="0"/>
            </w:pPr>
            <w:r>
              <w:rPr>
                <w:rFonts w:ascii="Calibri" w:hAnsi="Calibri"/>
                <w:b w:val="0"/>
                <w:i w:val="0"/>
                <w:color w:val="222222"/>
                <w:sz w:val="20"/>
              </w:rPr>
              <w:t>plan, no new results</w:t>
            </w:r>
          </w:p>
        </w:tc>
        <w:tc>
          <w:tcPr>
            <w:tcW w:type="dxa" w:w="1171"/>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13</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63"/>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71"/>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14</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63"/>
            <w:shd w:val="clear" w:color="auto" w:fill="F7F9FB"/>
            <w:vAlign w:val="center"/>
          </w:tcPr>
          <w:p>
            <w:pPr>
              <w:keepNext/>
              <w:spacing w:after="0"/>
            </w:pPr>
            <w:r>
              <w:rPr>
                <w:rFonts w:ascii="Calibri" w:hAnsi="Calibri"/>
                <w:b w:val="0"/>
                <w:i w:val="0"/>
                <w:color w:val="222222"/>
                <w:sz w:val="20"/>
              </w:rPr>
              <w:t>3 of 5 registered predictions pass</w:t>
            </w:r>
          </w:p>
        </w:tc>
        <w:tc>
          <w:tcPr>
            <w:tcW w:type="dxa" w:w="1171"/>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15</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63"/>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71"/>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16</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63"/>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71"/>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17</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63"/>
            <w:shd w:val="clear" w:color="auto" w:fill="FFFFFF"/>
            <w:vAlign w:val="center"/>
          </w:tcPr>
          <w:p>
            <w:pPr>
              <w:keepNext/>
              <w:spacing w:after="0"/>
            </w:pPr>
            <w:r>
              <w:rPr>
                <w:rFonts w:ascii="Calibri" w:hAnsi="Calibri"/>
                <w:b w:val="0"/>
                <w:i w:val="0"/>
                <w:color w:val="222222"/>
                <w:sz w:val="20"/>
              </w:rPr>
              <w:t>1 of 5 pass; no walking rhythm</w:t>
            </w:r>
          </w:p>
        </w:tc>
        <w:tc>
          <w:tcPr>
            <w:tcW w:type="dxa" w:w="1171"/>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18</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63"/>
            <w:shd w:val="clear" w:color="auto" w:fill="F7F9FB"/>
            <w:vAlign w:val="center"/>
          </w:tcPr>
          <w:p>
            <w:pPr>
              <w:keepNext/>
              <w:spacing w:after="0"/>
            </w:pPr>
            <w:r>
              <w:rPr>
                <w:rFonts w:ascii="Calibri" w:hAnsi="Calibri"/>
                <w:b w:val="0"/>
                <w:i w:val="0"/>
                <w:color w:val="222222"/>
                <w:sz w:val="20"/>
              </w:rPr>
              <w:t>6 of 6 registered predictions pass</w:t>
            </w:r>
          </w:p>
        </w:tc>
        <w:tc>
          <w:tcPr>
            <w:tcW w:type="dxa" w:w="1171"/>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19</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63"/>
            <w:shd w:val="clear" w:color="auto" w:fill="FFFFFF"/>
            <w:vAlign w:val="center"/>
          </w:tcPr>
          <w:p>
            <w:pPr>
              <w:keepNext/>
              <w:spacing w:after="0"/>
            </w:pPr>
            <w:r>
              <w:rPr>
                <w:rFonts w:ascii="Calibri" w:hAnsi="Calibri"/>
                <w:b w:val="0"/>
                <w:i w:val="0"/>
                <w:color w:val="222222"/>
                <w:sz w:val="20"/>
              </w:rPr>
              <w:t>stopped by its rule; no cell walks</w:t>
            </w:r>
          </w:p>
        </w:tc>
        <w:tc>
          <w:tcPr>
            <w:tcW w:type="dxa" w:w="1171"/>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20</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63"/>
            <w:shd w:val="clear" w:color="auto" w:fill="F7F9FB"/>
            <w:vAlign w:val="center"/>
          </w:tcPr>
          <w:p>
            <w:pPr>
              <w:keepNext/>
              <w:spacing w:after="0"/>
            </w:pPr>
            <w:r>
              <w:rPr>
                <w:rFonts w:ascii="Calibri" w:hAnsi="Calibri"/>
                <w:b w:val="0"/>
                <w:i w:val="0"/>
                <w:color w:val="222222"/>
                <w:sz w:val="20"/>
              </w:rPr>
              <w:t>1 of 7 at the selected cell</w:t>
            </w:r>
          </w:p>
        </w:tc>
        <w:tc>
          <w:tcPr>
            <w:tcW w:type="dxa" w:w="1171"/>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21</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63"/>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71"/>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22</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The registered rhythm-measure audit</w:t>
            </w:r>
          </w:p>
        </w:tc>
        <w:tc>
          <w:tcPr>
            <w:tcW w:type="dxa" w:w="2563"/>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71"/>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23</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63"/>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71"/>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24</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63"/>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71"/>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25</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63"/>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71"/>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26</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63"/>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71"/>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27</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63"/>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71"/>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28</w:t>
            </w:r>
          </w:p>
        </w:tc>
        <w:tc>
          <w:tcPr>
            <w:tcW w:type="dxa" w:w="1532"/>
            <w:shd w:val="clear" w:color="auto" w:fill="F7F9FB"/>
            <w:vAlign w:val="center"/>
          </w:tcPr>
          <w:p>
            <w:pPr>
              <w:keepNext/>
              <w:spacing w:after="0"/>
              <w:jc w:val="center"/>
            </w:pPr>
            <w:r>
              <w:rPr>
                <w:rFonts w:ascii="Calibri" w:hAnsi="Calibri"/>
                <w:b w:val="0"/>
                <w:i w:val="0"/>
                <w:color w:val="222222"/>
                <w:sz w:val="20"/>
              </w:rPr>
              <w:t>2026-10-24</w:t>
            </w:r>
          </w:p>
        </w:tc>
        <w:tc>
          <w:tcPr>
            <w:tcW w:type="dxa" w:w="2824"/>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63"/>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71"/>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29</w:t>
            </w:r>
          </w:p>
        </w:tc>
        <w:tc>
          <w:tcPr>
            <w:tcW w:type="dxa" w:w="1532"/>
            <w:shd w:val="clear" w:color="auto" w:fill="FFFFFF"/>
            <w:vAlign w:val="center"/>
          </w:tcPr>
          <w:p>
            <w:pPr>
              <w:keepNext/>
              <w:spacing w:after="0"/>
              <w:jc w:val="center"/>
            </w:pPr>
            <w:r>
              <w:rPr>
                <w:rFonts w:ascii="Calibri" w:hAnsi="Calibri"/>
                <w:b w:val="0"/>
                <w:i w:val="0"/>
                <w:color w:val="222222"/>
                <w:sz w:val="20"/>
              </w:rPr>
              <w:t>2026-10-24</w:t>
            </w:r>
          </w:p>
        </w:tc>
        <w:tc>
          <w:tcPr>
            <w:tcW w:type="dxa" w:w="2824"/>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63"/>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71"/>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30</w:t>
            </w:r>
          </w:p>
        </w:tc>
        <w:tc>
          <w:tcPr>
            <w:tcW w:type="dxa" w:w="1532"/>
            <w:shd w:val="clear" w:color="auto" w:fill="F7F9FB"/>
            <w:vAlign w:val="center"/>
          </w:tcPr>
          <w:p>
            <w:pPr>
              <w:keepNext/>
              <w:spacing w:after="0"/>
              <w:jc w:val="center"/>
            </w:pPr>
            <w:r>
              <w:rPr>
                <w:rFonts w:ascii="Calibri" w:hAnsi="Calibri"/>
                <w:b w:val="0"/>
                <w:i w:val="0"/>
                <w:color w:val="222222"/>
                <w:sz w:val="20"/>
              </w:rPr>
              <w:t>2026-10-24/25</w:t>
            </w:r>
          </w:p>
        </w:tc>
        <w:tc>
          <w:tcPr>
            <w:tcW w:type="dxa" w:w="2824"/>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63"/>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71"/>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31</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63"/>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71"/>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32</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63"/>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71"/>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33</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63"/>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71"/>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34</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63"/>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71"/>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35</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63"/>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71"/>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36</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63"/>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71"/>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37</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63"/>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71"/>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38</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63"/>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71"/>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39</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63"/>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71"/>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40</w:t>
            </w:r>
          </w:p>
        </w:tc>
        <w:tc>
          <w:tcPr>
            <w:tcW w:type="dxa" w:w="1532"/>
            <w:shd w:val="clear" w:color="auto" w:fill="F7F9FB"/>
            <w:vAlign w:val="center"/>
          </w:tcPr>
          <w:p>
            <w:pPr>
              <w:keepNext/>
              <w:spacing w:after="0"/>
              <w:jc w:val="center"/>
            </w:pPr>
            <w:r>
              <w:rPr>
                <w:rFonts w:ascii="Calibri" w:hAnsi="Calibri"/>
                <w:b w:val="0"/>
                <w:i w:val="0"/>
                <w:color w:val="222222"/>
                <w:sz w:val="20"/>
              </w:rPr>
              <w:t>2026-10-25</w:t>
            </w:r>
          </w:p>
        </w:tc>
        <w:tc>
          <w:tcPr>
            <w:tcW w:type="dxa" w:w="2824"/>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63"/>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71"/>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41</w:t>
            </w:r>
          </w:p>
        </w:tc>
        <w:tc>
          <w:tcPr>
            <w:tcW w:type="dxa" w:w="1532"/>
            <w:shd w:val="clear" w:color="auto" w:fill="FFFFFF"/>
            <w:vAlign w:val="center"/>
          </w:tcPr>
          <w:p>
            <w:pPr>
              <w:keepNext/>
              <w:spacing w:after="0"/>
              <w:jc w:val="center"/>
            </w:pPr>
            <w:r>
              <w:rPr>
                <w:rFonts w:ascii="Calibri" w:hAnsi="Calibri"/>
                <w:b w:val="0"/>
                <w:i w:val="0"/>
                <w:color w:val="222222"/>
                <w:sz w:val="20"/>
              </w:rPr>
              <w:t>2026-10-25</w:t>
            </w:r>
          </w:p>
        </w:tc>
        <w:tc>
          <w:tcPr>
            <w:tcW w:type="dxa" w:w="2824"/>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63"/>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71"/>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42</w:t>
            </w:r>
          </w:p>
        </w:tc>
        <w:tc>
          <w:tcPr>
            <w:tcW w:type="dxa" w:w="1532"/>
            <w:shd w:val="clear" w:color="auto" w:fill="F7F9FB"/>
            <w:vAlign w:val="center"/>
          </w:tcPr>
          <w:p>
            <w:pPr>
              <w:keepNext/>
              <w:spacing w:after="0"/>
              <w:jc w:val="center"/>
            </w:pPr>
            <w:r>
              <w:rPr>
                <w:rFonts w:ascii="Calibri" w:hAnsi="Calibri"/>
                <w:b w:val="0"/>
                <w:i w:val="0"/>
                <w:color w:val="222222"/>
                <w:sz w:val="20"/>
              </w:rPr>
              <w:t>2026-10-26</w:t>
            </w:r>
          </w:p>
        </w:tc>
        <w:tc>
          <w:tcPr>
            <w:tcW w:type="dxa" w:w="2824"/>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63"/>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71"/>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43</w:t>
            </w:r>
          </w:p>
        </w:tc>
        <w:tc>
          <w:tcPr>
            <w:tcW w:type="dxa" w:w="1532"/>
            <w:shd w:val="clear" w:color="auto" w:fill="FFFFFF"/>
            <w:vAlign w:val="center"/>
          </w:tcPr>
          <w:p>
            <w:pPr>
              <w:keepNext/>
              <w:spacing w:after="0"/>
              <w:jc w:val="center"/>
            </w:pPr>
            <w:r>
              <w:rPr>
                <w:rFonts w:ascii="Calibri" w:hAnsi="Calibri"/>
                <w:b w:val="0"/>
                <w:i w:val="0"/>
                <w:color w:val="222222"/>
                <w:sz w:val="20"/>
              </w:rPr>
              <w:t>2026-10-27</w:t>
            </w:r>
          </w:p>
        </w:tc>
        <w:tc>
          <w:tcPr>
            <w:tcW w:type="dxa" w:w="2824"/>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63"/>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71"/>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44</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63"/>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71"/>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45</w:t>
            </w:r>
          </w:p>
        </w:tc>
        <w:tc>
          <w:tcPr>
            <w:tcW w:type="dxa" w:w="1532"/>
            <w:shd w:val="clear" w:color="auto" w:fill="FFFFFF"/>
            <w:vAlign w:val="center"/>
          </w:tcPr>
          <w:p>
            <w:pPr>
              <w:keepNext/>
              <w:spacing w:after="0"/>
              <w:jc w:val="center"/>
            </w:pPr>
            <w:r>
              <w:rPr>
                <w:rFonts w:ascii="Calibri" w:hAnsi="Calibri"/>
                <w:b w:val="0"/>
                <w:i w:val="0"/>
                <w:color w:val="222222"/>
                <w:sz w:val="20"/>
              </w:rPr>
              <w:t>2026-10-27/28</w:t>
            </w:r>
          </w:p>
        </w:tc>
        <w:tc>
          <w:tcPr>
            <w:tcW w:type="dxa" w:w="2824"/>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63"/>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71"/>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46</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63"/>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71"/>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47</w:t>
            </w:r>
          </w:p>
        </w:tc>
        <w:tc>
          <w:tcPr>
            <w:tcW w:type="dxa" w:w="1532"/>
            <w:shd w:val="clear" w:color="auto" w:fill="FFFFFF"/>
            <w:vAlign w:val="center"/>
          </w:tcPr>
          <w:p>
            <w:pPr>
              <w:keepNext/>
              <w:spacing w:after="0"/>
              <w:jc w:val="center"/>
            </w:pPr>
            <w:r>
              <w:rPr>
                <w:rFonts w:ascii="Calibri" w:hAnsi="Calibri"/>
                <w:b w:val="0"/>
                <w:i w:val="0"/>
                <w:color w:val="222222"/>
                <w:sz w:val="20"/>
              </w:rPr>
              <w:t>2026-10-28</w:t>
            </w:r>
          </w:p>
        </w:tc>
        <w:tc>
          <w:tcPr>
            <w:tcW w:type="dxa" w:w="2824"/>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63"/>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71"/>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48</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63"/>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71"/>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49</w:t>
            </w:r>
          </w:p>
        </w:tc>
        <w:tc>
          <w:tcPr>
            <w:tcW w:type="dxa" w:w="1532"/>
            <w:shd w:val="clear" w:color="auto" w:fill="FFFFFF"/>
            <w:vAlign w:val="center"/>
          </w:tcPr>
          <w:p>
            <w:pPr>
              <w:keepNext/>
              <w:spacing w:after="0"/>
              <w:jc w:val="center"/>
            </w:pPr>
            <w:r>
              <w:rPr>
                <w:rFonts w:ascii="Calibri" w:hAnsi="Calibri"/>
                <w:b w:val="0"/>
                <w:i w:val="0"/>
                <w:color w:val="222222"/>
                <w:sz w:val="20"/>
              </w:rPr>
              <w:t>2026-10-28</w:t>
            </w:r>
          </w:p>
        </w:tc>
        <w:tc>
          <w:tcPr>
            <w:tcW w:type="dxa" w:w="2824"/>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563"/>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71"/>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50</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Does early network bursting predict how an untreated human iPSC well settles? A registered replication on the developmental plates (D36)</w:t>
            </w:r>
          </w:p>
        </w:tc>
        <w:tc>
          <w:tcPr>
            <w:tcW w:type="dxa" w:w="2563"/>
            <w:shd w:val="clear" w:color="auto" w:fill="F7F9FB"/>
            <w:vAlign w:val="center"/>
          </w:tcPr>
          <w:p>
            <w:pPr>
              <w:keepNext/>
              <w:spacing w:after="0"/>
            </w:pPr>
            <w:r>
              <w:rPr>
                <w:rFonts w:ascii="Calibri" w:hAnsi="Calibri"/>
                <w:b w:val="0"/>
                <w:i w:val="0"/>
                <w:color w:val="222222"/>
                <w:sz w:val="20"/>
              </w:rPr>
              <w:t>1 of 3 registered predictions pass; the post hoc 48-well relation does not replicate (N1 fails), so stratifying human wells by baseline network bursting is not supported</w:t>
            </w:r>
          </w:p>
        </w:tc>
        <w:tc>
          <w:tcPr>
            <w:tcW w:type="dxa" w:w="1171"/>
            <w:shd w:val="clear" w:color="auto" w:fill="F7F9FB"/>
            <w:vAlign w:val="center"/>
          </w:tcPr>
          <w:p>
            <w:pPr>
              <w:keepNext/>
              <w:spacing w:after="0"/>
            </w:pPr>
            <w:r>
              <w:rPr>
                <w:rFonts w:ascii="Consolas" w:hAnsi="Consolas"/>
                <w:b w:val="0"/>
                <w:i w:val="0"/>
                <w:color w:val="222222"/>
                <w:sz w:val="18"/>
              </w:rPr>
              <w:t>f669016</w:t>
            </w:r>
            <w:r>
              <w:rPr>
                <w:rFonts w:ascii="Calibri" w:hAnsi="Calibri"/>
                <w:b w:val="0"/>
                <w:i w:val="0"/>
                <w:color w:val="222222"/>
                <w:sz w:val="20"/>
              </w:rPr>
              <w:t xml:space="preserve">, </w:t>
            </w:r>
            <w:r>
              <w:rPr>
                <w:rFonts w:ascii="Consolas" w:hAnsi="Consolas"/>
                <w:b w:val="0"/>
                <w:i w:val="0"/>
                <w:color w:val="222222"/>
                <w:sz w:val="18"/>
              </w:rPr>
              <w:t>d7ba7da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51</w:t>
            </w:r>
          </w:p>
        </w:tc>
        <w:tc>
          <w:tcPr>
            <w:tcW w:type="dxa" w:w="1532"/>
            <w:shd w:val="clear" w:color="auto" w:fill="FFFFFF"/>
            <w:vAlign w:val="center"/>
          </w:tcPr>
          <w:p>
            <w:pPr>
              <w:keepNext/>
              <w:spacing w:after="0"/>
              <w:jc w:val="center"/>
            </w:pPr>
            <w:r>
              <w:rPr>
                <w:rFonts w:ascii="Calibri" w:hAnsi="Calibri"/>
                <w:b w:val="0"/>
                <w:i w:val="0"/>
                <w:color w:val="222222"/>
                <w:sz w:val="20"/>
              </w:rPr>
              <w:t>2026-10-28</w:t>
            </w:r>
          </w:p>
        </w:tc>
        <w:tc>
          <w:tcPr>
            <w:tcW w:type="dxa" w:w="2824"/>
            <w:shd w:val="clear" w:color="auto" w:fill="FFFFFF"/>
            <w:vAlign w:val="center"/>
          </w:tcPr>
          <w:p>
            <w:pPr>
              <w:keepNext/>
              <w:spacing w:after="0"/>
            </w:pPr>
            <w:r>
              <w:rPr>
                <w:rFonts w:ascii="Calibri" w:hAnsi="Calibri"/>
                <w:b w:val="0"/>
                <w:i w:val="0"/>
                <w:color w:val="222222"/>
                <w:sz w:val="20"/>
              </w:rPr>
              <w:t>Named definition sets: the asset's spike-time features under ours and the Kapucu 2022 depositors' stated definitions, in a sidecar table, with a translation table (D37)</w:t>
            </w:r>
          </w:p>
        </w:tc>
        <w:tc>
          <w:tcPr>
            <w:tcW w:type="dxa" w:w="2563"/>
            <w:shd w:val="clear" w:color="auto" w:fill="FFFFFF"/>
            <w:vAlign w:val="center"/>
          </w:tcPr>
          <w:p>
            <w:pPr>
              <w:keepNext/>
              <w:spacing w:after="0"/>
            </w:pPr>
            <w:r>
              <w:rPr>
                <w:rFonts w:ascii="Calibri" w:hAnsi="Calibri"/>
                <w:b w:val="0"/>
                <w:i w:val="0"/>
                <w:color w:val="222222"/>
                <w:sz w:val="20"/>
              </w:rPr>
              <w:t>none to earlier results (asset and metrics byte-identical); three features carry over as the same number, three by a plate-dependent factor, burst rate not at all</w:t>
            </w:r>
          </w:p>
        </w:tc>
        <w:tc>
          <w:tcPr>
            <w:tcW w:type="dxa" w:w="1171"/>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52</w:t>
            </w:r>
          </w:p>
        </w:tc>
        <w:tc>
          <w:tcPr>
            <w:tcW w:type="dxa" w:w="1532"/>
            <w:shd w:val="clear" w:color="auto" w:fill="F7F9FB"/>
            <w:vAlign w:val="center"/>
          </w:tcPr>
          <w:p>
            <w:pPr>
              <w:keepNext/>
              <w:spacing w:after="0"/>
              <w:jc w:val="center"/>
            </w:pPr>
            <w:r>
              <w:rPr>
                <w:rFonts w:ascii="Calibri" w:hAnsi="Calibri"/>
                <w:b w:val="0"/>
                <w:i w:val="0"/>
                <w:color w:val="222222"/>
                <w:sz w:val="20"/>
              </w:rPr>
              <w:t>2026-10-28</w:t>
            </w:r>
          </w:p>
        </w:tc>
        <w:tc>
          <w:tcPr>
            <w:tcW w:type="dxa" w:w="2824"/>
            <w:shd w:val="clear" w:color="auto" w:fill="F7F9FB"/>
            <w:vAlign w:val="center"/>
          </w:tcPr>
          <w:p>
            <w:pPr>
              <w:keepNext/>
              <w:spacing w:after="0"/>
            </w:pPr>
            <w:r>
              <w:rPr>
                <w:rFonts w:ascii="Calibri" w:hAnsi="Calibri"/>
                <w:b w:val="0"/>
                <w:i w:val="0"/>
                <w:color w:val="222222"/>
                <w:sz w:val="20"/>
              </w:rPr>
              <w:t xml:space="preserve">The recalibration figure (D31) redrawn: the coverage legend moved off the </w:t>
            </w:r>
            <w:r>
              <w:rPr>
                <w:rFonts w:ascii="Consolas" w:hAnsi="Consolas"/>
                <w:b w:val="0"/>
                <w:i w:val="0"/>
                <w:color w:val="222222"/>
                <w:sz w:val="18"/>
              </w:rPr>
              <w:t>threshold_scale</w:t>
            </w:r>
            <w:r>
              <w:rPr>
                <w:rFonts w:ascii="Calibri" w:hAnsi="Calibri"/>
                <w:b w:val="0"/>
                <w:i w:val="0"/>
                <w:color w:val="222222"/>
                <w:sz w:val="20"/>
              </w:rPr>
              <w:t xml:space="preserve"> panel; its lost simulation cache regenerated with the registered seeds; a </w:t>
            </w:r>
            <w:r>
              <w:rPr>
                <w:rFonts w:ascii="Consolas" w:hAnsi="Consolas"/>
                <w:b w:val="0"/>
                <w:i w:val="0"/>
                <w:color w:val="222222"/>
                <w:sz w:val="18"/>
              </w:rPr>
              <w:t>--replot</w:t>
            </w:r>
            <w:r>
              <w:rPr>
                <w:rFonts w:ascii="Calibri" w:hAnsi="Calibri"/>
                <w:b w:val="0"/>
                <w:i w:val="0"/>
                <w:color w:val="222222"/>
                <w:sz w:val="20"/>
              </w:rPr>
              <w:t xml:space="preserve"> path</w:t>
            </w:r>
          </w:p>
        </w:tc>
        <w:tc>
          <w:tcPr>
            <w:tcW w:type="dxa" w:w="2563"/>
            <w:shd w:val="clear" w:color="auto" w:fill="F7F9FB"/>
            <w:vAlign w:val="center"/>
          </w:tcPr>
          <w:p>
            <w:pPr>
              <w:keepNext/>
              <w:spacing w:after="0"/>
            </w:pPr>
            <w:r>
              <w:rPr>
                <w:rFonts w:ascii="Calibri" w:hAnsi="Calibri"/>
                <w:b w:val="0"/>
                <w:i w:val="0"/>
                <w:color w:val="222222"/>
                <w:sz w:val="20"/>
              </w:rPr>
              <w:t>none; every recorded calibration statistic reproduced exactly before the figure was redrawn</w:t>
            </w:r>
          </w:p>
        </w:tc>
        <w:tc>
          <w:tcPr>
            <w:tcW w:type="dxa" w:w="1171"/>
            <w:shd w:val="clear" w:color="auto" w:fill="F7F9FB"/>
            <w:vAlign w:val="center"/>
          </w:tcPr>
          <w:p>
            <w:pPr>
              <w:keepNext/>
              <w:spacing w:after="0"/>
            </w:pPr>
            <w:r>
              <w:rPr>
                <w:rFonts w:ascii="Calibri" w:hAnsi="Calibri"/>
                <w:b w:val="0"/>
                <w:i w:val="0"/>
                <w:color w:val="222222"/>
                <w:sz w:val="20"/>
              </w:rPr>
              <w:t>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53</w:t>
            </w:r>
          </w:p>
        </w:tc>
        <w:tc>
          <w:tcPr>
            <w:tcW w:type="dxa" w:w="1532"/>
            <w:shd w:val="clear" w:color="auto" w:fill="FFFFFF"/>
            <w:vAlign w:val="center"/>
          </w:tcPr>
          <w:p>
            <w:pPr>
              <w:keepNext/>
              <w:spacing w:after="0"/>
              <w:jc w:val="center"/>
            </w:pPr>
            <w:r>
              <w:rPr>
                <w:rFonts w:ascii="Calibri" w:hAnsi="Calibri"/>
                <w:b w:val="0"/>
                <w:i w:val="0"/>
                <w:color w:val="222222"/>
                <w:sz w:val="20"/>
              </w:rPr>
              <w:t>2026-10-28</w:t>
            </w:r>
          </w:p>
        </w:tc>
        <w:tc>
          <w:tcPr>
            <w:tcW w:type="dxa" w:w="2824"/>
            <w:shd w:val="clear" w:color="auto" w:fill="FFFFFF"/>
            <w:vAlign w:val="center"/>
          </w:tcPr>
          <w:p>
            <w:pPr>
              <w:keepNext/>
              <w:spacing w:after="0"/>
            </w:pPr>
            <w:r>
              <w:rPr>
                <w:rFonts w:ascii="Calibri" w:hAnsi="Calibri"/>
                <w:b w:val="0"/>
                <w:i w:val="0"/>
                <w:color w:val="222222"/>
                <w:sz w:val="20"/>
              </w:rPr>
              <w:t>Is the twin's distance from the real recordings the prior's range? A registered wider prior (D38)</w:t>
            </w:r>
          </w:p>
        </w:tc>
        <w:tc>
          <w:tcPr>
            <w:tcW w:type="dxa" w:w="2563"/>
            <w:shd w:val="clear" w:color="auto" w:fill="FFFFFF"/>
            <w:vAlign w:val="center"/>
          </w:tcPr>
          <w:p>
            <w:pPr>
              <w:keepNext/>
              <w:spacing w:after="0"/>
            </w:pPr>
            <w:r>
              <w:rPr>
                <w:rFonts w:ascii="Calibri" w:hAnsi="Calibri"/>
                <w:b w:val="0"/>
                <w:i w:val="0"/>
                <w:color w:val="222222"/>
                <w:sz w:val="20"/>
              </w:rPr>
              <w:t>2 of 3 registered predictions pass; widening the box where the posterior pointed barely moves the real recordings closer, so the gap is misspecification; the inverse model is not to be read on absolute real recordings</w:t>
            </w:r>
          </w:p>
        </w:tc>
        <w:tc>
          <w:tcPr>
            <w:tcW w:type="dxa" w:w="1171"/>
            <w:shd w:val="clear" w:color="auto" w:fill="FFFFFF"/>
            <w:vAlign w:val="center"/>
          </w:tcPr>
          <w:p>
            <w:pPr>
              <w:keepNext/>
              <w:spacing w:after="0"/>
            </w:pPr>
            <w:r>
              <w:rPr>
                <w:rFonts w:ascii="Consolas" w:hAnsi="Consolas"/>
                <w:b w:val="0"/>
                <w:i w:val="0"/>
                <w:color w:val="222222"/>
                <w:sz w:val="18"/>
              </w:rPr>
              <w:t>3c2e43e</w:t>
            </w:r>
            <w:r>
              <w:rPr>
                <w:rFonts w:ascii="Calibri" w:hAnsi="Calibri"/>
                <w:b w:val="0"/>
                <w:i w:val="0"/>
                <w:color w:val="222222"/>
                <w:sz w:val="20"/>
              </w:rPr>
              <w:t xml:space="preserve">, </w:t>
            </w:r>
            <w:r>
              <w:rPr>
                <w:rFonts w:ascii="Consolas" w:hAnsi="Consolas"/>
                <w:b w:val="0"/>
                <w:i w:val="0"/>
                <w:color w:val="222222"/>
                <w:sz w:val="18"/>
              </w:rPr>
              <w:t>c3a7d3a</w:t>
            </w:r>
            <w:r>
              <w:rPr>
                <w:rFonts w:ascii="Calibri" w:hAnsi="Calibri"/>
                <w:b w:val="0"/>
                <w:i w:val="0"/>
                <w:color w:val="222222"/>
                <w:sz w:val="20"/>
              </w:rPr>
              <w:t xml:space="preserve">, </w:t>
            </w:r>
            <w:r>
              <w:rPr>
                <w:rFonts w:ascii="Consolas" w:hAnsi="Consolas"/>
                <w:b w:val="0"/>
                <w:i w:val="0"/>
                <w:color w:val="222222"/>
                <w:sz w:val="18"/>
              </w:rPr>
              <w:t>44f78f1</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val="0"/>
              <w:spacing w:after="0"/>
              <w:jc w:val="center"/>
            </w:pPr>
            <w:r>
              <w:rPr>
                <w:rFonts w:ascii="Calibri" w:hAnsi="Calibri"/>
                <w:b/>
                <w:i w:val="0"/>
                <w:color w:val="222222"/>
                <w:sz w:val="20"/>
              </w:rPr>
              <w:t>54</w:t>
            </w:r>
          </w:p>
        </w:tc>
        <w:tc>
          <w:tcPr>
            <w:tcW w:type="dxa" w:w="1532"/>
            <w:shd w:val="clear" w:color="auto" w:fill="F7F9FB"/>
            <w:vAlign w:val="center"/>
          </w:tcPr>
          <w:p>
            <w:pPr>
              <w:keepNext w:val="0"/>
              <w:spacing w:after="0"/>
              <w:jc w:val="center"/>
            </w:pPr>
            <w:r>
              <w:rPr>
                <w:rFonts w:ascii="Calibri" w:hAnsi="Calibri"/>
                <w:b w:val="0"/>
                <w:i w:val="0"/>
                <w:color w:val="222222"/>
                <w:sz w:val="20"/>
              </w:rPr>
              <w:t>2026-10-29</w:t>
            </w:r>
          </w:p>
        </w:tc>
        <w:tc>
          <w:tcPr>
            <w:tcW w:type="dxa" w:w="2824"/>
            <w:shd w:val="clear" w:color="auto" w:fill="F7F9FB"/>
            <w:vAlign w:val="center"/>
          </w:tcPr>
          <w:p>
            <w:pPr>
              <w:keepNext w:val="0"/>
              <w:spacing w:after="0"/>
            </w:pPr>
            <w:r>
              <w:rPr>
                <w:rFonts w:ascii="Calibri" w:hAnsi="Calibri"/>
                <w:b w:val="0"/>
                <w:i w:val="0"/>
                <w:color w:val="222222"/>
                <w:sz w:val="20"/>
              </w:rPr>
              <w:t>The twin's inter-chamber pathway described as directional with an adjustable forward-to-backward ratio, not as a one-way axon diode; the architecture figure relabelled</w:t>
            </w:r>
          </w:p>
        </w:tc>
        <w:tc>
          <w:tcPr>
            <w:tcW w:type="dxa" w:w="2563"/>
            <w:shd w:val="clear" w:color="auto" w:fill="F7F9FB"/>
            <w:vAlign w:val="center"/>
          </w:tcPr>
          <w:p>
            <w:pPr>
              <w:keepNext w:val="0"/>
              <w:spacing w:after="0"/>
            </w:pPr>
            <w:r>
              <w:rPr>
                <w:rFonts w:ascii="Calibri" w:hAnsi="Calibri"/>
                <w:b w:val="0"/>
                <w:i w:val="0"/>
                <w:color w:val="222222"/>
                <w:sz w:val="20"/>
              </w:rPr>
              <w:t>none; wording and one figure label only</w:t>
            </w:r>
          </w:p>
        </w:tc>
        <w:tc>
          <w:tcPr>
            <w:tcW w:type="dxa" w:w="1171"/>
            <w:shd w:val="clear" w:color="auto" w:fill="F7F9FB"/>
            <w:vAlign w:val="center"/>
          </w:tcPr>
          <w:p>
            <w:pPr>
              <w:keepNext w:val="0"/>
              <w:spacing w:after="0"/>
            </w:pPr>
            <w:r>
              <w:rPr>
                <w:rFonts w:ascii="Calibri" w:hAnsi="Calibri"/>
                <w:b w:val="0"/>
                <w:i w:val="0"/>
                <w:color w:val="222222"/>
                <w:sz w:val="20"/>
              </w:rPr>
              <w:t>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48 registered studies here made 239 predictions: 108 passed, 91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43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50. Early network bursting does not predict how a human iPSC well settles, on independent plates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one 48-well plate, human iPSC wells with more network bursting in the first five minutes kept falling (post hoc rho −0.73); registered and retested on 144 recordings from the lab's developmental plates, the relation is gone (rho −0.06, interval −0.23 to 0.09), so a baseline network readout cannot yet be used to sort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replication (</w:t>
      </w:r>
      <w:r>
        <w:rPr>
          <w:rFonts w:ascii="Consolas" w:hAnsi="Consolas"/>
          <w:b w:val="0"/>
          <w:i w:val="0"/>
          <w:color w:val="222222"/>
          <w:sz w:val="19"/>
        </w:rPr>
        <w:t>src/neuromps/models/hpsc_network_state.py</w:t>
      </w:r>
      <w:r>
        <w:rPr>
          <w:rFonts w:ascii="Calibri" w:hAnsi="Calibri"/>
          <w:b w:val="0"/>
          <w:i w:val="0"/>
          <w:color w:val="222222"/>
          <w:sz w:val="21"/>
        </w:rPr>
        <w:t xml:space="preserve">, </w:t>
      </w:r>
      <w:r>
        <w:rPr>
          <w:rFonts w:ascii="Consolas" w:hAnsi="Consolas"/>
          <w:b w:val="0"/>
          <w:i w:val="0"/>
          <w:color w:val="222222"/>
          <w:sz w:val="19"/>
        </w:rPr>
        <w:t>preregistration/hpsc_network_state.json</w:t>
      </w:r>
      <w:r>
        <w:rPr>
          <w:rFonts w:ascii="Calibri" w:hAnsi="Calibri"/>
          <w:b w:val="0"/>
          <w:i w:val="0"/>
          <w:color w:val="222222"/>
          <w:sz w:val="21"/>
        </w:rPr>
        <w:t>, decision D36, report §36, "Registered replication") of a post hoc observation on entry 49's human wells. On D32's replication pool (the 12-well developmental plates, its usable untreated recordings), each 10-minute recording is cut into six windows; the first window's network-burst rate, synchrony and firing rate (the shared extractor) are set against the slope of the fixed-electrode log2 firing rate over the last five windows.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If early network state predicted settling, a lab could stratify human wells by it at baseline; a relation found by looking at one plate needed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N1 fails: the human interval does not lie below 0. N2 passes (rat rho −0.06, −0.28 to 0.20), which with N1 failing means neither species shows the relation. N3 fails (rho(mfr0) − rho(nb0) 0.02).</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recording was scored; nb0 was zero in 44% of human recordings (registered limit 80%). Post hoc, over the human recordings with an early network burst, rho is −0.17, still with an interval reaching 0.</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age check: the human partial rho on DIV is −0.39, so the age flag is not raised; the per-DIV median, −0.06, does not agree, and human early bursting falls steeply with age. Neither is a registered test of a within-age relation.</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D36; </w:t>
      </w:r>
      <w:r>
        <w:rPr>
          <w:rFonts w:ascii="Consolas" w:hAnsi="Consolas"/>
          <w:b w:val="0"/>
          <w:i w:val="0"/>
          <w:color w:val="222222"/>
          <w:sz w:val="19"/>
        </w:rPr>
        <w:t>outputs/figures/hpsc_network_state_real.png</w:t>
      </w:r>
      <w:r>
        <w:rPr>
          <w:rFonts w:ascii="Calibri" w:hAnsi="Calibri"/>
          <w:b w:val="0"/>
          <w:i w:val="0"/>
          <w:color w:val="222222"/>
          <w:sz w:val="21"/>
        </w:rPr>
        <w:t xml:space="preserve">, </w:t>
      </w:r>
      <w:r>
        <w:rPr>
          <w:rFonts w:ascii="Consolas" w:hAnsi="Consolas"/>
          <w:b w:val="0"/>
          <w:i w:val="0"/>
          <w:color w:val="222222"/>
          <w:sz w:val="19"/>
        </w:rPr>
        <w:t>outputs/hpsc_network_state_REAL.json</w:t>
      </w:r>
      <w:r>
        <w:rPr>
          <w:rFonts w:ascii="Calibri" w:hAnsi="Calibri"/>
          <w:b w:val="0"/>
          <w:i w:val="0"/>
          <w:color w:val="222222"/>
          <w:sz w:val="21"/>
        </w:rPr>
        <w:t xml:space="preserve"> (with the per-recording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xml:space="preserve">; tests </w:t>
      </w:r>
      <w:r>
        <w:rPr>
          <w:rFonts w:ascii="Consolas" w:hAnsi="Consolas"/>
          <w:b w:val="0"/>
          <w:i w:val="0"/>
          <w:color w:val="222222"/>
          <w:sz w:val="19"/>
        </w:rPr>
        <w:t>tests/test_hpsc_network_state.py</w:t>
      </w:r>
      <w:r>
        <w:rPr>
          <w:rFonts w:ascii="Calibri" w:hAnsi="Calibri"/>
          <w:b w:val="0"/>
          <w:i w:val="0"/>
          <w:color w:val="222222"/>
          <w:sz w:val="21"/>
        </w:rPr>
        <w:t>.</w:t>
      </w:r>
    </w:p>
    <w:p>
      <w:pPr>
        <w:keepNext/>
        <w:spacing w:before="240" w:after="60"/>
      </w:pPr>
      <w:r>
        <w:rPr>
          <w:rFonts w:ascii="Calibri" w:hAnsi="Calibri"/>
          <w:b/>
          <w:i w:val="0"/>
          <w:color w:val="1F4E79"/>
          <w:sz w:val="23"/>
        </w:rPr>
        <w:t>51. Our features under another laboratory's definitions, and where they translate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spike-time record in the asset now also carries its features under the Kapucu 2022 depositors' stated definitions, from the same extractor; on their plates, three of seven features are the same number under both, three differ by a factor that depends on the culture (firing rate 1.1017 rat, 1.3902 human), and burst rate cannot be converted.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registry of named definition sets, </w:t>
      </w:r>
      <w:r>
        <w:rPr>
          <w:rFonts w:ascii="Consolas" w:hAnsi="Consolas"/>
          <w:b w:val="0"/>
          <w:i w:val="0"/>
          <w:color w:val="222222"/>
          <w:sz w:val="19"/>
        </w:rPr>
        <w:t>src/neuromps/features/definitions.py</w:t>
      </w:r>
      <w:r>
        <w:rPr>
          <w:rFonts w:ascii="Calibri" w:hAnsi="Calibri"/>
          <w:b w:val="0"/>
          <w:i w:val="0"/>
          <w:color w:val="222222"/>
          <w:sz w:val="21"/>
        </w:rPr>
        <w:t xml:space="preserve">: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settings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Each is a bundle of </w:t>
      </w:r>
      <w:r>
        <w:rPr>
          <w:rFonts w:ascii="Consolas" w:hAnsi="Consolas"/>
          <w:b w:val="0"/>
          <w:i w:val="0"/>
          <w:color w:val="222222"/>
          <w:sz w:val="19"/>
        </w:rPr>
        <w:t>FeatureParams</w:t>
      </w:r>
      <w:r>
        <w:rPr>
          <w:rFonts w:ascii="Calibri" w:hAnsi="Calibri"/>
          <w:b w:val="0"/>
          <w:i w:val="0"/>
          <w:color w:val="222222"/>
          <w:sz w:val="21"/>
        </w:rPr>
        <w:t xml:space="preserve"> options plus whether a deposit's noisy electrodes are dropped, so </w:t>
      </w:r>
      <w:r>
        <w:rPr>
          <w:rFonts w:ascii="Consolas" w:hAnsi="Consolas"/>
          <w:b w:val="0"/>
          <w:i w:val="0"/>
          <w:color w:val="222222"/>
          <w:sz w:val="19"/>
        </w:rPr>
        <w:t>features/mea.py</w:t>
      </w:r>
      <w:r>
        <w:rPr>
          <w:rFonts w:ascii="Calibri" w:hAnsi="Calibri"/>
          <w:b w:val="0"/>
          <w:i w:val="0"/>
          <w:color w:val="222222"/>
          <w:sz w:val="21"/>
        </w:rPr>
        <w:t xml:space="preserve"> stays the one extractor. The ladder and the logISI study now take S3 and S4 from the registry; the definitions are equal to the old ones. A new stage in the models step (</w:t>
      </w:r>
      <w:r>
        <w:rPr>
          <w:rFonts w:ascii="Consolas" w:hAnsi="Consolas"/>
          <w:b w:val="0"/>
          <w:i w:val="0"/>
          <w:color w:val="222222"/>
          <w:sz w:val="19"/>
        </w:rPr>
        <w:t>src/neuromps/models/feature_definitions.py</w:t>
      </w:r>
      <w:r>
        <w:rPr>
          <w:rFonts w:ascii="Calibri" w:hAnsi="Calibri"/>
          <w:b w:val="0"/>
          <w:i w:val="0"/>
          <w:color w:val="222222"/>
          <w:sz w:val="21"/>
        </w:rPr>
        <w:t>, after the extractor agreement) re-reads each spike-time record with the ETL modules' own loaders (</w:t>
      </w:r>
      <w:r>
        <w:rPr>
          <w:rFonts w:ascii="Consolas" w:hAnsi="Consolas"/>
          <w:b w:val="0"/>
          <w:i w:val="0"/>
          <w:color w:val="222222"/>
          <w:sz w:val="19"/>
        </w:rPr>
        <w:t>src/neuromps/etl/spike_trains.py</w:t>
      </w:r>
      <w:r>
        <w:rPr>
          <w:rFonts w:ascii="Calibri" w:hAnsi="Calibri"/>
          <w:b w:val="0"/>
          <w:i w:val="0"/>
          <w:color w:val="222222"/>
          <w:sz w:val="21"/>
        </w:rPr>
        <w:t xml:space="preserve">), writes </w:t>
      </w:r>
      <w:r>
        <w:rPr>
          <w:rFonts w:ascii="Consolas" w:hAnsi="Consolas"/>
          <w:b w:val="0"/>
          <w:i w:val="0"/>
          <w:color w:val="222222"/>
          <w:sz w:val="19"/>
        </w:rPr>
        <w:t>data/processed/features_by_definition.parquet</w:t>
      </w:r>
      <w:r>
        <w:rPr>
          <w:rFonts w:ascii="Calibri" w:hAnsi="Calibri"/>
          <w:b w:val="0"/>
          <w:i w:val="0"/>
          <w:color w:val="222222"/>
          <w:sz w:val="21"/>
        </w:rPr>
        <w:t xml:space="preserve"> (record id, source, definition, feature, value) and generates </w:t>
      </w:r>
      <w:r>
        <w:rPr>
          <w:rFonts w:ascii="Consolas" w:hAnsi="Consolas"/>
          <w:b w:val="0"/>
          <w:i w:val="0"/>
          <w:color w:val="222222"/>
          <w:sz w:val="19"/>
        </w:rPr>
        <w:t>outputs/tables/feature_definitions.md</w:t>
      </w:r>
      <w:r>
        <w:rPr>
          <w:rFonts w:ascii="Calibri" w:hAnsi="Calibri"/>
          <w:b w:val="0"/>
          <w:i w:val="0"/>
          <w:color w:val="222222"/>
          <w:sz w:val="21"/>
        </w:rPr>
        <w:t xml:space="preserve">. Decision D37; report §3, "Named definition sets"; </w:t>
      </w:r>
      <w:r>
        <w:rPr>
          <w:rFonts w:ascii="Consolas" w:hAnsi="Consolas"/>
          <w:b w:val="0"/>
          <w:i w:val="0"/>
          <w:color w:val="222222"/>
          <w:sz w:val="19"/>
        </w:rPr>
        <w:t>schema/STANDARD.md</w:t>
      </w:r>
      <w:r>
        <w:rPr>
          <w:rFonts w:ascii="Calibri" w:hAnsi="Calibri"/>
          <w:b w:val="0"/>
          <w:i w:val="0"/>
          <w:color w:val="222222"/>
          <w:sz w:val="21"/>
        </w:rPr>
        <w:t xml:space="preserve"> §4.4.</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D33 recorded this as the future option: a laboratory reading our numbers beside its own needs to know where a translation is supported by evidence, and the evidence (the ladder and the logISI test) was only in a metrics file.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sidecar holds 1,512 records under every set (40,824 rows). Its </w:t>
      </w:r>
      <w:r>
        <w:rPr>
          <w:rFonts w:ascii="Consolas" w:hAnsi="Consolas"/>
          <w:b w:val="0"/>
          <w:i w:val="0"/>
          <w:color w:val="222222"/>
          <w:sz w:val="19"/>
        </w:rPr>
        <w:t>neuromps</w:t>
      </w:r>
      <w:r>
        <w:rPr>
          <w:rFonts w:ascii="Calibri" w:hAnsi="Calibri"/>
          <w:b w:val="0"/>
          <w:i w:val="0"/>
          <w:color w:val="222222"/>
          <w:sz w:val="21"/>
        </w:rPr>
        <w:t xml:space="preserve"> rows equal the asset in all 13,608 values; on the developmental plates the </w:t>
      </w:r>
      <w:r>
        <w:rPr>
          <w:rFonts w:ascii="Consolas" w:hAnsi="Consolas"/>
          <w:b w:val="0"/>
          <w:i w:val="0"/>
          <w:color w:val="222222"/>
          <w:sz w:val="19"/>
        </w:rPr>
        <w:t>kapucu2022</w:t>
      </w:r>
      <w:r>
        <w:rPr>
          <w:rFonts w:ascii="Calibri" w:hAnsi="Calibri"/>
          <w:b w:val="0"/>
          <w:i w:val="0"/>
          <w:color w:val="222222"/>
          <w:sz w:val="21"/>
        </w:rPr>
        <w:t xml:space="preserve"> ratios against the depositors equal the ladder's S3 numbers in 28 of 28 comparisons (all checks: true).</w:t>
      </w:r>
    </w:p>
    <w:p>
      <w:pPr>
        <w:spacing w:after="120"/>
        <w:ind w:left="432" w:hanging="259"/>
      </w:pPr>
      <w:r>
        <w:rPr>
          <w:rFonts w:ascii="Calibri" w:hAnsi="Calibri"/>
          <w:b w:val="0"/>
          <w:i w:val="0"/>
          <w:color w:val="222222"/>
          <w:sz w:val="21"/>
        </w:rPr>
        <w:t>•</w:t>
        <w:tab/>
      </w:r>
      <w:r>
        <w:rPr>
          <w:rFonts w:ascii="Consolas" w:hAnsi="Consolas"/>
          <w:b w:val="0"/>
          <w:i w:val="0"/>
          <w:color w:val="222222"/>
          <w:sz w:val="19"/>
        </w:rPr>
        <w:t>kapucu2022</w:t>
      </w:r>
      <w:r>
        <w:rPr>
          <w:rFonts w:ascii="Calibri" w:hAnsi="Calibri"/>
          <w:b w:val="0"/>
          <w:i w:val="0"/>
          <w:color w:val="222222"/>
          <w:sz w:val="21"/>
        </w:rPr>
        <w:t xml:space="preserve"> against ours, on 336 recordings: share of spikes in bursts, spikes per burst and burst duration are the same number (ratio 1.0132 for the first); active electrodes, firing rate and STTC are a scale factor (0.734, 1.3264 and 1.315); burst rate has no conversion (ratio 2.0584, rank agreement 0.9299).</w:t>
      </w:r>
    </w:p>
    <w:p>
      <w:pPr>
        <w:spacing w:after="120"/>
        <w:ind w:left="432" w:hanging="259"/>
      </w:pPr>
      <w:r>
        <w:rPr>
          <w:rFonts w:ascii="Calibri" w:hAnsi="Calibri"/>
          <w:b w:val="0"/>
          <w:i w:val="0"/>
          <w:color w:val="222222"/>
          <w:sz w:val="21"/>
        </w:rPr>
        <w:t>•</w:t>
        <w:tab/>
      </w:r>
      <w:r>
        <w:rPr>
          <w:rFonts w:ascii="Calibri" w:hAnsi="Calibri"/>
          <w:b w:val="0"/>
          <w:i w:val="0"/>
          <w:color w:val="222222"/>
          <w:sz w:val="21"/>
        </w:rPr>
        <w:t>The factors differ by plate, so they are properties of these cultures, not constants of the definitions: active electrodes 0.9008 on the rat plate against 0.6958 on hPSC_MEA2.</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A same number between two of our sets is not agreement with the depositors: burst duration is unchanged by the switch, and </w:t>
      </w:r>
      <w:r>
        <w:rPr>
          <w:rFonts w:ascii="Consolas" w:hAnsi="Consolas"/>
          <w:b w:val="0"/>
          <w:i w:val="0"/>
          <w:color w:val="222222"/>
          <w:sz w:val="19"/>
        </w:rPr>
        <w:t>kapucu2022</w:t>
      </w:r>
      <w:r>
        <w:rPr>
          <w:rFonts w:ascii="Calibri" w:hAnsi="Calibri"/>
          <w:b w:val="0"/>
          <w:i w:val="0"/>
          <w:color w:val="222222"/>
          <w:sz w:val="21"/>
        </w:rPr>
        <w:t xml:space="preserve"> sits at 0.8208 of their value.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Not a registered study, so the registration counts (§21, entry 43) do not change. No record of </w:t>
      </w:r>
      <w:r>
        <w:rPr>
          <w:rFonts w:ascii="Consolas" w:hAnsi="Consolas"/>
          <w:b w:val="0"/>
          <w:i w:val="0"/>
          <w:color w:val="222222"/>
          <w:sz w:val="19"/>
        </w:rPr>
        <w:t>neuromps.parquet</w:t>
      </w:r>
      <w:r>
        <w:rPr>
          <w:rFonts w:ascii="Calibri" w:hAnsi="Calibri"/>
          <w:b w:val="0"/>
          <w:i w:val="0"/>
          <w:color w:val="222222"/>
          <w:sz w:val="21"/>
        </w:rPr>
        <w:t xml:space="preserve">, no method block, no twin target and no earlier key of </w:t>
      </w:r>
      <w:r>
        <w:rPr>
          <w:rFonts w:ascii="Consolas" w:hAnsi="Consolas"/>
          <w:b w:val="0"/>
          <w:i w:val="0"/>
          <w:color w:val="222222"/>
          <w:sz w:val="19"/>
        </w:rPr>
        <w:t>outputs/metrics.json</w:t>
      </w:r>
      <w:r>
        <w:rPr>
          <w:rFonts w:ascii="Calibri" w:hAnsi="Calibri"/>
          <w:b w:val="0"/>
          <w:i w:val="0"/>
          <w:color w:val="222222"/>
          <w:sz w:val="21"/>
        </w:rPr>
        <w:t xml:space="preserve"> changes; the stage adds the key </w:t>
      </w:r>
      <w:r>
        <w:rPr>
          <w:rFonts w:ascii="Consolas" w:hAnsi="Consolas"/>
          <w:b w:val="0"/>
          <w:i w:val="0"/>
          <w:color w:val="222222"/>
          <w:sz w:val="19"/>
        </w:rPr>
        <w:t>feature_definitions</w:t>
      </w:r>
      <w:r>
        <w:rPr>
          <w:rFonts w:ascii="Calibri" w:hAnsi="Calibri"/>
          <w:b w:val="0"/>
          <w:i w:val="0"/>
          <w:color w:val="222222"/>
          <w:sz w:val="21"/>
        </w:rPr>
        <w:t xml:space="preserve"> and costs a few seconds on the quick tier, which has no developmental-plate spike files and so skips the translation.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("Named definition sets"); decision D37; </w:t>
      </w:r>
      <w:r>
        <w:rPr>
          <w:rFonts w:ascii="Consolas" w:hAnsi="Consolas"/>
          <w:b w:val="0"/>
          <w:i w:val="0"/>
          <w:color w:val="222222"/>
          <w:sz w:val="19"/>
        </w:rPr>
        <w:t>schema/STANDARD.md</w:t>
      </w:r>
      <w:r>
        <w:rPr>
          <w:rFonts w:ascii="Calibri" w:hAnsi="Calibri"/>
          <w:b w:val="0"/>
          <w:i w:val="0"/>
          <w:color w:val="222222"/>
          <w:sz w:val="21"/>
        </w:rPr>
        <w:t xml:space="preserve"> §4.4; </w:t>
      </w:r>
      <w:r>
        <w:rPr>
          <w:rFonts w:ascii="Consolas" w:hAnsi="Consolas"/>
          <w:b w:val="0"/>
          <w:i w:val="0"/>
          <w:color w:val="222222"/>
          <w:sz w:val="19"/>
        </w:rPr>
        <w:t>data/processed/features_by_definition.parquet</w:t>
      </w:r>
      <w:r>
        <w:rPr>
          <w:rFonts w:ascii="Calibri" w:hAnsi="Calibri"/>
          <w:b w:val="0"/>
          <w:i w:val="0"/>
          <w:color w:val="222222"/>
          <w:sz w:val="21"/>
        </w:rPr>
        <w:t xml:space="preserve">; </w:t>
      </w:r>
      <w:r>
        <w:rPr>
          <w:rFonts w:ascii="Consolas" w:hAnsi="Consolas"/>
          <w:b w:val="0"/>
          <w:i w:val="0"/>
          <w:color w:val="222222"/>
          <w:sz w:val="19"/>
        </w:rPr>
        <w:t>outputs/tables/feature_definitions.md</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tests </w:t>
      </w:r>
      <w:r>
        <w:rPr>
          <w:rFonts w:ascii="Consolas" w:hAnsi="Consolas"/>
          <w:b w:val="0"/>
          <w:i w:val="0"/>
          <w:color w:val="222222"/>
          <w:sz w:val="19"/>
        </w:rPr>
        <w:t>tests/test_feature_definitions.py</w:t>
      </w:r>
      <w:r>
        <w:rPr>
          <w:rFonts w:ascii="Calibri" w:hAnsi="Calibri"/>
          <w:b w:val="0"/>
          <w:i w:val="0"/>
          <w:color w:val="222222"/>
          <w:sz w:val="21"/>
        </w:rPr>
        <w:t xml:space="preserve">, </w:t>
      </w:r>
      <w:r>
        <w:rPr>
          <w:rFonts w:ascii="Consolas" w:hAnsi="Consolas"/>
          <w:b w:val="0"/>
          <w:i w:val="0"/>
          <w:color w:val="222222"/>
          <w:sz w:val="19"/>
        </w:rPr>
        <w:t>tests/test_definition_sidecar.py</w:t>
      </w:r>
      <w:r>
        <w:rPr>
          <w:rFonts w:ascii="Calibri" w:hAnsi="Calibri"/>
          <w:b w:val="0"/>
          <w:i w:val="0"/>
          <w:color w:val="222222"/>
          <w:sz w:val="21"/>
        </w:rPr>
        <w:t xml:space="preserve">, </w:t>
      </w:r>
      <w:r>
        <w:rPr>
          <w:rFonts w:ascii="Consolas" w:hAnsi="Consolas"/>
          <w:b w:val="0"/>
          <w:i w:val="0"/>
          <w:color w:val="222222"/>
          <w:sz w:val="19"/>
        </w:rPr>
        <w:t>tests/test_feature_translation.py</w:t>
      </w:r>
      <w:r>
        <w:rPr>
          <w:rFonts w:ascii="Calibri" w:hAnsi="Calibri"/>
          <w:b w:val="0"/>
          <w:i w:val="0"/>
          <w:color w:val="222222"/>
          <w:sz w:val="21"/>
        </w:rPr>
        <w:t>.</w:t>
      </w:r>
    </w:p>
    <w:p>
      <w:pPr>
        <w:keepNext/>
        <w:spacing w:before="240" w:after="60"/>
      </w:pPr>
      <w:r>
        <w:rPr>
          <w:rFonts w:ascii="Calibri" w:hAnsi="Calibri"/>
          <w:b/>
          <w:i w:val="0"/>
          <w:color w:val="1F4E79"/>
          <w:sz w:val="23"/>
        </w:rPr>
        <w:t>52. The recalibration figure, redrawn from regenerated simulations; no number changed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D31 figure's coverage legend no longer covers a panel. It was redrawn from simulations regenerated with the registered seeds, and only after every recorded calibration statistic of the study had been reproduced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coverage row's legend in </w:t>
      </w:r>
      <w:r>
        <w:rPr>
          <w:rFonts w:ascii="Consolas" w:hAnsi="Consolas"/>
          <w:b w:val="0"/>
          <w:i w:val="0"/>
          <w:color w:val="222222"/>
          <w:sz w:val="19"/>
        </w:rPr>
        <w:t>outputs/twin/hd14b_recalibration_simulated.png</w:t>
      </w:r>
      <w:r>
        <w:rPr>
          <w:rFonts w:ascii="Calibri" w:hAnsi="Calibri"/>
          <w:b w:val="0"/>
          <w:i w:val="0"/>
          <w:color w:val="222222"/>
          <w:sz w:val="21"/>
        </w:rPr>
        <w:t xml:space="preserve"> sat on the </w:t>
      </w:r>
      <w:r>
        <w:rPr>
          <w:rFonts w:ascii="Consolas" w:hAnsi="Consolas"/>
          <w:b w:val="0"/>
          <w:i w:val="0"/>
          <w:color w:val="222222"/>
          <w:sz w:val="19"/>
        </w:rPr>
        <w:t>threshold_scale</w:t>
      </w:r>
      <w:r>
        <w:rPr>
          <w:rFonts w:ascii="Calibri" w:hAnsi="Calibri"/>
          <w:b w:val="0"/>
          <w:i w:val="0"/>
          <w:color w:val="222222"/>
          <w:sz w:val="21"/>
        </w:rPr>
        <w:t xml:space="preserve"> panel; it is now one figure-level legend below the bottom row (same panels, same data, same title). The figure is drawn from ranks that existed only in memory during the run, and the simulation chunks and trained models behind them, git-ignored, had been deleted with a worktree. A new path, </w:t>
      </w:r>
      <w:r>
        <w:rPr>
          <w:rFonts w:ascii="Consolas" w:hAnsi="Consolas"/>
          <w:b w:val="0"/>
          <w:i w:val="0"/>
          <w:color w:val="222222"/>
          <w:sz w:val="19"/>
        </w:rPr>
        <w:t>python -m neuromps.twin.recalibration --replot</w:t>
      </w:r>
      <w:r>
        <w:rPr>
          <w:rFonts w:ascii="Calibri" w:hAnsi="Calibri"/>
          <w:b w:val="0"/>
          <w:i w:val="0"/>
          <w:color w:val="222222"/>
          <w:sz w:val="21"/>
        </w:rPr>
        <w:t xml:space="preserve"> (</w:t>
      </w:r>
      <w:r>
        <w:rPr>
          <w:rFonts w:ascii="Consolas" w:hAnsi="Consolas"/>
          <w:b w:val="0"/>
          <w:i w:val="0"/>
          <w:color w:val="222222"/>
          <w:sz w:val="19"/>
        </w:rPr>
        <w:t>src/neuromps/twin/recalibration_replot.py</w:t>
      </w:r>
      <w:r>
        <w:rPr>
          <w:rFonts w:ascii="Calibri" w:hAnsi="Calibri"/>
          <w:b w:val="0"/>
          <w:i w:val="0"/>
          <w:color w:val="222222"/>
          <w:sz w:val="21"/>
        </w:rPr>
        <w:t>), simulates only what the record fixes: the registered held-out set (1,000) and exactly the 51 training chunks the run completed, never one beyond. It retrains M1, M2 and M3 with their registered seeds, draws the ranks with the registered evaluation seed, persists them (</w:t>
      </w:r>
      <w:r>
        <w:rPr>
          <w:rFonts w:ascii="Consolas" w:hAnsi="Consolas"/>
          <w:b w:val="0"/>
          <w:i w:val="0"/>
          <w:color w:val="222222"/>
          <w:sz w:val="19"/>
        </w:rPr>
        <w:t>data/interim/recalibration/ranks_simulated.npz</w:t>
      </w:r>
      <w:r>
        <w:rPr>
          <w:rFonts w:ascii="Calibri" w:hAnsi="Calibri"/>
          <w:b w:val="0"/>
          <w:i w:val="0"/>
          <w:color w:val="222222"/>
          <w:sz w:val="21"/>
        </w:rPr>
        <w:t xml:space="preserve">, git-ignored) so a later redraw takes seconds, and compares every value under </w:t>
      </w:r>
      <w:r>
        <w:rPr>
          <w:rFonts w:ascii="Consolas" w:hAnsi="Consolas"/>
          <w:b w:val="0"/>
          <w:i w:val="0"/>
          <w:color w:val="222222"/>
          <w:sz w:val="19"/>
        </w:rPr>
        <w:t>twin_hd14b_recalibration.results</w:t>
      </w:r>
      <w:r>
        <w:rPr>
          <w:rFonts w:ascii="Calibri" w:hAnsi="Calibri"/>
          <w:b w:val="0"/>
          <w:i w:val="0"/>
          <w:color w:val="222222"/>
          <w:sz w:val="21"/>
        </w:rPr>
        <w:t xml:space="preserve">, </w:t>
      </w:r>
      <w:r>
        <w:rPr>
          <w:rFonts w:ascii="Consolas" w:hAnsi="Consolas"/>
          <w:b w:val="0"/>
          <w:i w:val="0"/>
          <w:color w:val="222222"/>
          <w:sz w:val="19"/>
        </w:rPr>
        <w:t>near_real</w:t>
      </w:r>
      <w:r>
        <w:rPr>
          <w:rFonts w:ascii="Calibri" w:hAnsi="Calibri"/>
          <w:b w:val="0"/>
          <w:i w:val="0"/>
          <w:color w:val="222222"/>
          <w:sz w:val="21"/>
        </w:rPr>
        <w:t xml:space="preserve"> and </w:t>
      </w:r>
      <w:r>
        <w:rPr>
          <w:rFonts w:ascii="Consolas" w:hAnsi="Consolas"/>
          <w:b w:val="0"/>
          <w:i w:val="0"/>
          <w:color w:val="222222"/>
          <w:sz w:val="19"/>
        </w:rPr>
        <w:t>budget</w:t>
      </w:r>
      <w:r>
        <w:rPr>
          <w:rFonts w:ascii="Calibri" w:hAnsi="Calibri"/>
          <w:b w:val="0"/>
          <w:i w:val="0"/>
          <w:color w:val="222222"/>
          <w:sz w:val="21"/>
        </w:rPr>
        <w:t xml:space="preserve"> with the record. The figure is drawn only if all of them are equal. The path reads </w:t>
      </w:r>
      <w:r>
        <w:rPr>
          <w:rFonts w:ascii="Consolas" w:hAnsi="Consolas"/>
          <w:b w:val="0"/>
          <w:i w:val="0"/>
          <w:color w:val="222222"/>
          <w:sz w:val="19"/>
        </w:rPr>
        <w:t>outputs/metrics.json</w:t>
      </w:r>
      <w:r>
        <w:rPr>
          <w:rFonts w:ascii="Calibri" w:hAnsi="Calibri"/>
          <w:b w:val="0"/>
          <w:i w:val="0"/>
          <w:color w:val="222222"/>
          <w:sz w:val="21"/>
        </w:rPr>
        <w:t xml:space="preserve"> and never writes it; the timing is not recomputed.</w:t>
      </w:r>
    </w:p>
    <w:p>
      <w:pPr>
        <w:spacing w:after="120"/>
        <w:ind w:left="432" w:hanging="259"/>
      </w:pPr>
      <w:r>
        <w:rPr>
          <w:rFonts w:ascii="Calibri" w:hAnsi="Calibri"/>
          <w:b w:val="0"/>
          <w:i w:val="0"/>
          <w:color w:val="222222"/>
          <w:sz w:val="21"/>
        </w:rPr>
        <w:t>•</w:t>
        <w:tab/>
      </w:r>
      <w:r>
        <w:rPr>
          <w:rFonts w:ascii="Calibri" w:hAnsi="Calibri"/>
          <w:b/>
          <w:i w:val="0"/>
          <w:color w:val="156082"/>
          <w:sz w:val="21"/>
        </w:rPr>
        <w:t>One guard, relaxed narrowly.</w:t>
      </w:r>
      <w:r>
        <w:rPr>
          <w:rFonts w:ascii="Calibri" w:hAnsi="Calibri"/>
          <w:b w:val="0"/>
          <w:i w:val="0"/>
          <w:color w:val="222222"/>
          <w:sz w:val="21"/>
        </w:rPr>
        <w:t xml:space="preserve"> HD14's simulation cache carries the summary-code fingerprint the run was made under. Entries 47 and 48 added definition options, off by default, to the feature extractor, which changes that fingerprint without changing a value. The redraw path accepts the cache only if the six rows the study's post hoc check re-simulates come out identical under today's code (they did, with a largest difference of zero); every other cache guard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any result. Every value checked (all of </w:t>
      </w:r>
      <w:r>
        <w:rPr>
          <w:rFonts w:ascii="Consolas" w:hAnsi="Consolas"/>
          <w:b w:val="0"/>
          <w:i w:val="0"/>
          <w:color w:val="222222"/>
          <w:sz w:val="19"/>
        </w:rPr>
        <w:t>results</w:t>
      </w:r>
      <w:r>
        <w:rPr>
          <w:rFonts w:ascii="Calibri" w:hAnsi="Calibri"/>
          <w:b w:val="0"/>
          <w:i w:val="0"/>
          <w:color w:val="222222"/>
          <w:sz w:val="21"/>
        </w:rPr>
        <w:t xml:space="preserve">, </w:t>
      </w:r>
      <w:r>
        <w:rPr>
          <w:rFonts w:ascii="Consolas" w:hAnsi="Consolas"/>
          <w:b w:val="0"/>
          <w:i w:val="0"/>
          <w:color w:val="222222"/>
          <w:sz w:val="19"/>
        </w:rPr>
        <w:t>near_real</w:t>
      </w:r>
      <w:r>
        <w:rPr>
          <w:rFonts w:ascii="Calibri" w:hAnsi="Calibri"/>
          <w:b w:val="0"/>
          <w:i w:val="0"/>
          <w:color w:val="222222"/>
          <w:sz w:val="21"/>
        </w:rPr>
        <w:t xml:space="preserve"> and </w:t>
      </w:r>
      <w:r>
        <w:rPr>
          <w:rFonts w:ascii="Consolas" w:hAnsi="Consolas"/>
          <w:b w:val="0"/>
          <w:i w:val="0"/>
          <w:color w:val="222222"/>
          <w:sz w:val="19"/>
        </w:rPr>
        <w:t>budget</w:t>
      </w:r>
      <w:r>
        <w:rPr>
          <w:rFonts w:ascii="Calibri" w:hAnsi="Calibri"/>
          <w:b w:val="0"/>
          <w:i w:val="0"/>
          <w:color w:val="222222"/>
          <w:sz w:val="21"/>
        </w:rPr>
        <w:t xml:space="preserve">) was reproduced exactly, so training and sampling are bit-reproducible here and no value needed a tolerance; </w:t>
      </w:r>
      <w:r>
        <w:rPr>
          <w:rFonts w:ascii="Consolas" w:hAnsi="Consolas"/>
          <w:b w:val="0"/>
          <w:i w:val="0"/>
          <w:color w:val="222222"/>
          <w:sz w:val="19"/>
        </w:rPr>
        <w:t>outputs/metrics.json</w:t>
      </w:r>
      <w:r>
        <w:rPr>
          <w:rFonts w:ascii="Calibri" w:hAnsi="Calibri"/>
          <w:b w:val="0"/>
          <w:i w:val="0"/>
          <w:color w:val="222222"/>
          <w:sz w:val="21"/>
        </w:rPr>
        <w:t xml:space="preserve"> is byte-identical. Appendix G gains one sentence.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outputs/twin/hd14b_recalibration_simulated.png</w:t>
      </w:r>
      <w:r>
        <w:rPr>
          <w:rFonts w:ascii="Calibri" w:hAnsi="Calibri"/>
          <w:b w:val="0"/>
          <w:i w:val="0"/>
          <w:color w:val="222222"/>
          <w:sz w:val="21"/>
        </w:rPr>
        <w:t xml:space="preserve">; the check is printed by </w:t>
      </w:r>
      <w:r>
        <w:rPr>
          <w:rFonts w:ascii="Consolas" w:hAnsi="Consolas"/>
          <w:b w:val="0"/>
          <w:i w:val="0"/>
          <w:color w:val="222222"/>
          <w:sz w:val="19"/>
        </w:rPr>
        <w:t>python -m neuromps.twin.recalibration --replot</w:t>
      </w:r>
      <w:r>
        <w:rPr>
          <w:rFonts w:ascii="Calibri" w:hAnsi="Calibri"/>
          <w:b w:val="0"/>
          <w:i w:val="0"/>
          <w:color w:val="222222"/>
          <w:sz w:val="21"/>
        </w:rPr>
        <w:t xml:space="preserve">; tests </w:t>
      </w:r>
      <w:r>
        <w:rPr>
          <w:rFonts w:ascii="Consolas" w:hAnsi="Consolas"/>
          <w:b w:val="0"/>
          <w:i w:val="0"/>
          <w:color w:val="222222"/>
          <w:sz w:val="19"/>
        </w:rPr>
        <w:t>tests/test_twin_recalibration_replot.py</w:t>
      </w:r>
      <w:r>
        <w:rPr>
          <w:rFonts w:ascii="Calibri" w:hAnsi="Calibri"/>
          <w:b w:val="0"/>
          <w:i w:val="0"/>
          <w:color w:val="222222"/>
          <w:sz w:val="21"/>
        </w:rPr>
        <w:t xml:space="preserve"> (the comparison, the ranks file, the cache rule, and a legend that overlaps no panel).</w:t>
      </w:r>
    </w:p>
    <w:p>
      <w:pPr>
        <w:keepNext/>
        <w:spacing w:before="240" w:after="60"/>
      </w:pPr>
      <w:r>
        <w:rPr>
          <w:rFonts w:ascii="Calibri" w:hAnsi="Calibri"/>
          <w:b/>
          <w:i w:val="0"/>
          <w:color w:val="1F4E79"/>
          <w:sz w:val="23"/>
        </w:rPr>
        <w:t>53. A wider prior does not bring the twin to the real recordings: the gap is the model</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Widening the twin's prior where its posterior pointed moves the median real recording only from 2.43 to 2.211 units from its nearest simulation (registered target: half); the twin does not produce these recordings, so its inverse model is not to be read on them, under either prior.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45 (</w:t>
      </w:r>
      <w:r>
        <w:rPr>
          <w:rFonts w:ascii="Consolas" w:hAnsi="Consolas"/>
          <w:b w:val="0"/>
          <w:i w:val="0"/>
          <w:color w:val="222222"/>
          <w:sz w:val="19"/>
        </w:rPr>
        <w:t>src/neuromps/twin/prior_reach.py</w:t>
      </w:r>
      <w:r>
        <w:rPr>
          <w:rFonts w:ascii="Calibri" w:hAnsi="Calibri"/>
          <w:b w:val="0"/>
          <w:i w:val="0"/>
          <w:color w:val="222222"/>
          <w:sz w:val="21"/>
        </w:rPr>
        <w:t xml:space="preserve">, </w:t>
      </w:r>
      <w:r>
        <w:rPr>
          <w:rFonts w:ascii="Consolas" w:hAnsi="Consolas"/>
          <w:b w:val="0"/>
          <w:i w:val="0"/>
          <w:color w:val="222222"/>
          <w:sz w:val="19"/>
        </w:rPr>
        <w:t>src/neuromps/twin/prior_reach_run.py</w:t>
      </w:r>
      <w:r>
        <w:rPr>
          <w:rFonts w:ascii="Calibri" w:hAnsi="Calibri"/>
          <w:b w:val="0"/>
          <w:i w:val="0"/>
          <w:color w:val="222222"/>
          <w:sz w:val="21"/>
        </w:rPr>
        <w:t xml:space="preserve">, </w:t>
      </w:r>
      <w:r>
        <w:rPr>
          <w:rFonts w:ascii="Consolas" w:hAnsi="Consolas"/>
          <w:b w:val="0"/>
          <w:i w:val="0"/>
          <w:color w:val="222222"/>
          <w:sz w:val="19"/>
        </w:rPr>
        <w:t>preregistration/twin_prior_reach.json</w:t>
      </w:r>
      <w:r>
        <w:rPr>
          <w:rFonts w:ascii="Calibri" w:hAnsi="Calibri"/>
          <w:b w:val="0"/>
          <w:i w:val="0"/>
          <w:color w:val="222222"/>
          <w:sz w:val="21"/>
        </w:rPr>
        <w:t xml:space="preserve">, decision D38, report §16, "A registered follow-up"). A diagnostic on the round-1 pool, declared as seen, located the gap in four summaries (the chambers' rate ratio, the coupling lag, the two active-electrode counts) and showed the round-1 posterior pushing past the </w:t>
      </w:r>
      <w:r>
        <w:rPr>
          <w:rFonts w:ascii="Consolas" w:hAnsi="Consolas"/>
          <w:b w:val="0"/>
          <w:i w:val="0"/>
          <w:color w:val="222222"/>
          <w:sz w:val="19"/>
        </w:rPr>
        <w:t>threshold_scale</w:t>
      </w:r>
      <w:r>
        <w:rPr>
          <w:rFonts w:ascii="Calibri" w:hAnsi="Calibri"/>
          <w:b w:val="0"/>
          <w:i w:val="0"/>
          <w:color w:val="222222"/>
          <w:sz w:val="21"/>
        </w:rPr>
        <w:t xml:space="preserve"> and </w:t>
      </w:r>
      <w:r>
        <w:rPr>
          <w:rFonts w:ascii="Consolas" w:hAnsi="Consolas"/>
          <w:b w:val="0"/>
          <w:i w:val="0"/>
          <w:color w:val="222222"/>
          <w:sz w:val="19"/>
        </w:rPr>
        <w:t>log10_forward_ratio</w:t>
      </w:r>
      <w:r>
        <w:rPr>
          <w:rFonts w:ascii="Calibri" w:hAnsi="Calibri"/>
          <w:b w:val="0"/>
          <w:i w:val="0"/>
          <w:color w:val="222222"/>
          <w:sz w:val="21"/>
        </w:rPr>
        <w:t xml:space="preserve"> bounds for the real recordings. The registered box widens those two and </w:t>
      </w:r>
      <w:r>
        <w:rPr>
          <w:rFonts w:ascii="Consolas" w:hAnsi="Consolas"/>
          <w:b w:val="0"/>
          <w:i w:val="0"/>
          <w:color w:val="222222"/>
          <w:sz w:val="19"/>
        </w:rPr>
        <w:t>ampa_scale</w:t>
      </w:r>
      <w:r>
        <w:rPr>
          <w:rFonts w:ascii="Calibri" w:hAnsi="Calibri"/>
          <w:b w:val="0"/>
          <w:i w:val="0"/>
          <w:color w:val="222222"/>
          <w:sz w:val="21"/>
        </w:rPr>
        <w:t xml:space="preserve"> and keeps the other two; 3,000 fresh simulations (600 held out) were run from it, all before the registered cut-off, and every distance is read on the round-1 pool's scale at equal pool sizes. </w:t>
      </w:r>
      <w:r>
        <w:rPr>
          <w:rFonts w:ascii="Consolas" w:hAnsi="Consolas"/>
          <w:b w:val="0"/>
          <w:i w:val="0"/>
          <w:color w:val="222222"/>
          <w:sz w:val="19"/>
        </w:rPr>
        <w:t>neuromps.twin.inference</w:t>
      </w:r>
      <w:r>
        <w:rPr>
          <w:rFonts w:ascii="Calibri" w:hAnsi="Calibri"/>
          <w:b w:val="0"/>
          <w:i w:val="0"/>
          <w:color w:val="222222"/>
          <w:sz w:val="21"/>
        </w:rPr>
        <w:t xml:space="preserve"> now takes an optional prior box (unchanged when none is given), and </w:t>
      </w:r>
      <w:r>
        <w:rPr>
          <w:rFonts w:ascii="Consolas" w:hAnsi="Consolas"/>
          <w:b w:val="0"/>
          <w:i w:val="0"/>
          <w:color w:val="222222"/>
          <w:sz w:val="19"/>
        </w:rPr>
        <w:t>run_all.py</w:t>
      </w:r>
      <w:r>
        <w:rPr>
          <w:rFonts w:ascii="Calibri" w:hAnsi="Calibri"/>
          <w:b w:val="0"/>
          <w:i w:val="0"/>
          <w:color w:val="222222"/>
          <w:sz w:val="21"/>
        </w:rPr>
        <w:t xml:space="preserve"> gains a full-tier step; the quick tier only re-scores the committed record.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45 found the real recordings far from every simulation; whether that is the prior's range or something the twin cannot produce decides whether a wider prior or a different model is the next step.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R1 fails: the ratio of median distances is 0.91 (registered pass at 0.5 or below), and the verdict holds on the new pool's own scale (0.876) and on the pooled one. The chambers' rate ratio still carries a share of 0.2998 of what remains.</w:t>
      </w:r>
    </w:p>
    <w:p>
      <w:pPr>
        <w:spacing w:after="120"/>
        <w:ind w:left="432" w:hanging="259"/>
      </w:pPr>
      <w:r>
        <w:rPr>
          <w:rFonts w:ascii="Calibri" w:hAnsi="Calibri"/>
          <w:b w:val="0"/>
          <w:i w:val="0"/>
          <w:color w:val="222222"/>
          <w:sz w:val="21"/>
        </w:rPr>
        <w:t>•</w:t>
        <w:tab/>
      </w:r>
      <w:r>
        <w:rPr>
          <w:rFonts w:ascii="Calibri" w:hAnsi="Calibri"/>
          <w:b w:val="0"/>
          <w:i w:val="0"/>
          <w:color w:val="222222"/>
          <w:sz w:val="21"/>
        </w:rPr>
        <w:t>R2 passes: the new pool keeps a near neighbour for a share of 0.8233 of the round-1 held-out simulations.</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R3 passes: one flow on the new pool is calibrated for </w:t>
      </w:r>
      <w:r>
        <w:rPr>
          <w:rFonts w:ascii="Consolas" w:hAnsi="Consolas"/>
          <w:b w:val="0"/>
          <w:i w:val="0"/>
          <w:color w:val="222222"/>
          <w:sz w:val="19"/>
        </w:rPr>
        <w:t>threshold_scale</w:t>
      </w:r>
      <w:r>
        <w:rPr>
          <w:rFonts w:ascii="Calibri" w:hAnsi="Calibri"/>
          <w:b w:val="0"/>
          <w:i w:val="0"/>
          <w:color w:val="222222"/>
          <w:sz w:val="21"/>
        </w:rPr>
        <w:t xml:space="preserve"> on the 200 held-out simulations nearest the real recordings (p = 0.2682); on the same simulations it fails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cache, whose summary-code hash moved with two off-by-default extractor options (entry 47), reproduces exactly (6 of 6 rows), so both pools come from one simulator.</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45's record (</w:t>
      </w:r>
      <w:r>
        <w:rPr>
          <w:rFonts w:ascii="Consolas" w:hAnsi="Consolas"/>
          <w:b w:val="0"/>
          <w:i w:val="0"/>
          <w:color w:val="222222"/>
          <w:sz w:val="19"/>
        </w:rPr>
        <w:t>twin_hd14b_recalibration</w:t>
      </w:r>
      <w:r>
        <w:rPr>
          <w:rFonts w:ascii="Calibri" w:hAnsi="Calibri"/>
          <w:b w:val="0"/>
          <w:i w:val="0"/>
          <w:color w:val="222222"/>
          <w:sz w:val="21"/>
        </w:rPr>
        <w:t>) is untouched. §18's support-rejection row now says the gap is misspecification, not the prior's range. The registration counts in §21 and entry 43 rise by this study's three predictions, one registration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decision D38; </w:t>
      </w:r>
      <w:r>
        <w:rPr>
          <w:rFonts w:ascii="Consolas" w:hAnsi="Consolas"/>
          <w:b w:val="0"/>
          <w:i w:val="0"/>
          <w:color w:val="222222"/>
          <w:sz w:val="19"/>
        </w:rPr>
        <w:t>outputs/twin/prior_reach_simulated.png</w:t>
      </w:r>
      <w:r>
        <w:rPr>
          <w:rFonts w:ascii="Calibri" w:hAnsi="Calibri"/>
          <w:b w:val="0"/>
          <w:i w:val="0"/>
          <w:color w:val="222222"/>
          <w:sz w:val="21"/>
        </w:rPr>
        <w:t xml:space="preserve">, </w:t>
      </w:r>
      <w:r>
        <w:rPr>
          <w:rFonts w:ascii="Consolas" w:hAnsi="Consolas"/>
          <w:b w:val="0"/>
          <w:i w:val="0"/>
          <w:color w:val="222222"/>
          <w:sz w:val="19"/>
        </w:rPr>
        <w:t>outputs/twin/prior_reach_SIMULATED.json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twin_prior_reach</w:t>
      </w:r>
      <w:r>
        <w:rPr>
          <w:rFonts w:ascii="Calibri" w:hAnsi="Calibri"/>
          <w:b w:val="0"/>
          <w:i w:val="0"/>
          <w:color w:val="222222"/>
          <w:sz w:val="21"/>
        </w:rPr>
        <w:t xml:space="preserve">; tests </w:t>
      </w:r>
      <w:r>
        <w:rPr>
          <w:rFonts w:ascii="Consolas" w:hAnsi="Consolas"/>
          <w:b w:val="0"/>
          <w:i w:val="0"/>
          <w:color w:val="222222"/>
          <w:sz w:val="19"/>
        </w:rPr>
        <w:t>tests/test_twin_prior_reach.py</w:t>
      </w:r>
      <w:r>
        <w:rPr>
          <w:rFonts w:ascii="Calibri" w:hAnsi="Calibri"/>
          <w:b w:val="0"/>
          <w:i w:val="0"/>
          <w:color w:val="222222"/>
          <w:sz w:val="21"/>
        </w:rPr>
        <w:t>.</w:t>
      </w:r>
    </w:p>
    <w:p>
      <w:pPr>
        <w:keepNext/>
        <w:spacing w:before="240" w:after="60"/>
      </w:pPr>
      <w:r>
        <w:rPr>
          <w:rFonts w:ascii="Calibri" w:hAnsi="Calibri"/>
          <w:b/>
          <w:i w:val="0"/>
          <w:color w:val="1F4E79"/>
          <w:sz w:val="23"/>
        </w:rPr>
        <w:t>54. The twin's pathway is directional, not one-way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twin's two chambers are joined by a directional pathway with an adjustable forward-to-backward ratio, not a one-way axon diode: signals cross both ways, and how much more one way than the other is what the inversion estimates.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technical report called the twin's inter-chamber wiring a "one-way axon diode" (the caption of the §12 architecture figure) and a directional "axon diode" (the twin's line in the executive summary). The code does not build a one-way pathway. </w:t>
      </w:r>
      <w:r>
        <w:rPr>
          <w:rFonts w:ascii="Consolas" w:hAnsi="Consolas"/>
          <w:b w:val="0"/>
          <w:i w:val="0"/>
          <w:color w:val="222222"/>
          <w:sz w:val="19"/>
        </w:rPr>
        <w:t>forward_ratio</w:t>
      </w:r>
      <w:r>
        <w:rPr>
          <w:rFonts w:ascii="Calibri" w:hAnsi="Calibri"/>
          <w:b w:val="0"/>
          <w:i w:val="0"/>
          <w:color w:val="222222"/>
          <w:sz w:val="21"/>
        </w:rPr>
        <w:t xml:space="preserve"> in </w:t>
      </w:r>
      <w:r>
        <w:rPr>
          <w:rFonts w:ascii="Consolas" w:hAnsi="Consolas"/>
          <w:b w:val="0"/>
          <w:i w:val="0"/>
          <w:color w:val="222222"/>
          <w:sz w:val="19"/>
        </w:rPr>
        <w:t>src/neuromps/twin/network.py</w:t>
      </w:r>
      <w:r>
        <w:rPr>
          <w:rFonts w:ascii="Calibri" w:hAnsi="Calibri"/>
          <w:b w:val="0"/>
          <w:i w:val="0"/>
          <w:color w:val="222222"/>
          <w:sz w:val="21"/>
        </w:rPr>
        <w:t xml:space="preserve"> defaults to a symmetric pathway, and </w:t>
      </w:r>
      <w:r>
        <w:rPr>
          <w:rFonts w:ascii="Consolas" w:hAnsi="Consolas"/>
          <w:b w:val="0"/>
          <w:i w:val="0"/>
          <w:color w:val="222222"/>
          <w:sz w:val="19"/>
        </w:rPr>
        <w:t>_inter_probabilities</w:t>
      </w:r>
      <w:r>
        <w:rPr>
          <w:rFonts w:ascii="Calibri" w:hAnsi="Calibri"/>
          <w:b w:val="0"/>
          <w:i w:val="0"/>
          <w:color w:val="222222"/>
          <w:sz w:val="21"/>
        </w:rPr>
        <w:t xml:space="preserve"> turns it into a forward and a backward connection probability, so the backward pathway is never closed. The inversion samples </w:t>
      </w:r>
      <w:r>
        <w:rPr>
          <w:rFonts w:ascii="Consolas" w:hAnsi="Consolas"/>
          <w:b w:val="0"/>
          <w:i w:val="0"/>
          <w:color w:val="222222"/>
          <w:sz w:val="19"/>
        </w:rPr>
        <w:t>log10_forward_ratio</w:t>
      </w:r>
      <w:r>
        <w:rPr>
          <w:rFonts w:ascii="Calibri" w:hAnsi="Calibri"/>
          <w:b w:val="0"/>
          <w:i w:val="0"/>
          <w:color w:val="222222"/>
          <w:sz w:val="21"/>
        </w:rPr>
        <w:t xml:space="preserve"> from 0.0 to 1.3, and the wider prior of entry 53 from -1.3, where the backward pathway is the stronger. Both passages now say "a directional pathway with an adjustable forward-to-backward ratio".</w:t>
      </w:r>
    </w:p>
    <w:p>
      <w:pPr>
        <w:spacing w:after="120"/>
        <w:ind w:left="432" w:hanging="259"/>
      </w:pPr>
      <w:r>
        <w:rPr>
          <w:rFonts w:ascii="Calibri" w:hAnsi="Calibri"/>
          <w:b w:val="0"/>
          <w:i w:val="0"/>
          <w:color w:val="222222"/>
          <w:sz w:val="21"/>
        </w:rPr>
        <w:t>•</w:t>
        <w:tab/>
      </w:r>
      <w:r>
        <w:rPr>
          <w:rFonts w:ascii="Calibri" w:hAnsi="Calibri"/>
          <w:b/>
          <w:i w:val="0"/>
          <w:color w:val="156082"/>
          <w:sz w:val="21"/>
        </w:rPr>
        <w:t>The figure.</w:t>
      </w:r>
      <w:r>
        <w:rPr>
          <w:rFonts w:ascii="Calibri" w:hAnsi="Calibri"/>
          <w:b w:val="0"/>
          <w:i w:val="0"/>
          <w:color w:val="222222"/>
          <w:sz w:val="21"/>
        </w:rPr>
        <w:t xml:space="preserve"> </w:t>
      </w:r>
      <w:r>
        <w:rPr>
          <w:rFonts w:ascii="Consolas" w:hAnsi="Consolas"/>
          <w:b w:val="0"/>
          <w:i w:val="0"/>
          <w:color w:val="222222"/>
          <w:sz w:val="19"/>
        </w:rPr>
        <w:t>draw_twin</w:t>
      </w:r>
      <w:r>
        <w:rPr>
          <w:rFonts w:ascii="Calibri" w:hAnsi="Calibri"/>
          <w:b w:val="0"/>
          <w:i w:val="0"/>
          <w:color w:val="222222"/>
          <w:sz w:val="21"/>
        </w:rPr>
        <w:t xml:space="preserve"> in </w:t>
      </w:r>
      <w:r>
        <w:rPr>
          <w:rFonts w:ascii="Consolas" w:hAnsi="Consolas"/>
          <w:b w:val="0"/>
          <w:i w:val="0"/>
          <w:color w:val="222222"/>
          <w:sz w:val="19"/>
        </w:rPr>
        <w:t>src/neuromps/report/diagrams.py</w:t>
      </w:r>
      <w:r>
        <w:rPr>
          <w:rFonts w:ascii="Calibri" w:hAnsi="Calibri"/>
          <w:b w:val="0"/>
          <w:i w:val="0"/>
          <w:color w:val="222222"/>
          <w:sz w:val="21"/>
        </w:rPr>
        <w:t xml:space="preserve"> labelled the pathway "axon diode". It now reads "directional pathway", with "ratio adjustable" under the forward and back arrows, and </w:t>
      </w:r>
      <w:r>
        <w:rPr>
          <w:rFonts w:ascii="Consolas" w:hAnsi="Consolas"/>
          <w:b w:val="0"/>
          <w:i w:val="0"/>
          <w:color w:val="222222"/>
          <w:sz w:val="19"/>
        </w:rPr>
        <w:t>outputs/figures/twin_architecture_simulated.png</w:t>
      </w:r>
      <w:r>
        <w:rPr>
          <w:rFonts w:ascii="Calibri" w:hAnsi="Calibri"/>
          <w:b w:val="0"/>
          <w:i w:val="0"/>
          <w:color w:val="222222"/>
          <w:sz w:val="21"/>
        </w:rPr>
        <w:t xml:space="preserve"> was redrawn with </w:t>
      </w:r>
      <w:r>
        <w:rPr>
          <w:rFonts w:ascii="Consolas" w:hAnsi="Consolas"/>
          <w:b w:val="0"/>
          <w:i w:val="0"/>
          <w:color w:val="222222"/>
          <w:sz w:val="19"/>
        </w:rPr>
        <w:t>python -m neuromps.report.diagrams</w:t>
      </w:r>
      <w:r>
        <w:rPr>
          <w:rFonts w:ascii="Calibri" w:hAnsi="Calibri"/>
          <w:b w:val="0"/>
          <w:i w:val="0"/>
          <w:color w:val="222222"/>
          <w:sz w:val="21"/>
        </w:rPr>
        <w:t>. The other two diagrams that command draws came out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Left as written.</w:t>
      </w:r>
      <w:r>
        <w:rPr>
          <w:rFonts w:ascii="Calibri" w:hAnsi="Calibri"/>
          <w:b w:val="0"/>
          <w:i w:val="0"/>
          <w:color w:val="222222"/>
          <w:sz w:val="21"/>
        </w:rPr>
        <w:t xml:space="preserve"> Three passages about real chips, not the twin, keep their wording: a chip designer's aim of showing that a microchannel makes signals flow one way (§1), the "axon diode" idea that microchannel geometry biases which way axons grow (§15), and the advice that showing axons conduct one way needs electrodes inside the microchannels (§20). </w:t>
      </w:r>
      <w:r>
        <w:rPr>
          <w:rFonts w:ascii="Consolas" w:hAnsi="Consolas"/>
          <w:b w:val="0"/>
          <w:i w:val="0"/>
          <w:color w:val="222222"/>
          <w:sz w:val="19"/>
        </w:rPr>
        <w:t>axon_diode</w:t>
      </w:r>
      <w:r>
        <w:rPr>
          <w:rFonts w:ascii="Calibri" w:hAnsi="Calibri"/>
          <w:b w:val="0"/>
          <w:i w:val="0"/>
          <w:color w:val="222222"/>
          <w:sz w:val="21"/>
        </w:rPr>
        <w:t xml:space="preserve"> stays the name of the source asset.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any result; </w:t>
      </w:r>
      <w:r>
        <w:rPr>
          <w:rFonts w:ascii="Consolas" w:hAnsi="Consolas"/>
          <w:b w:val="0"/>
          <w:i w:val="0"/>
          <w:color w:val="222222"/>
          <w:sz w:val="19"/>
        </w:rPr>
        <w:t>outputs/metrics.json</w:t>
      </w:r>
      <w:r>
        <w:rPr>
          <w:rFonts w:ascii="Calibri" w:hAnsi="Calibri"/>
          <w:b w:val="0"/>
          <w:i w:val="0"/>
          <w:color w:val="222222"/>
          <w:sz w:val="21"/>
        </w:rPr>
        <w:t xml:space="preserv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executive summary and §12 (figure and caption); </w:t>
      </w:r>
      <w:r>
        <w:rPr>
          <w:rFonts w:ascii="Consolas" w:hAnsi="Consolas"/>
          <w:b w:val="0"/>
          <w:i w:val="0"/>
          <w:color w:val="222222"/>
          <w:sz w:val="19"/>
        </w:rPr>
        <w:t>outputs/figures/twin_architecture_simulated.png</w:t>
      </w:r>
      <w:r>
        <w:rPr>
          <w:rFonts w:ascii="Calibri" w:hAnsi="Calibri"/>
          <w:b w:val="0"/>
          <w:i w:val="0"/>
          <w:color w:val="222222"/>
          <w:sz w:val="21"/>
        </w:rPr>
        <w:t xml:space="preserve">; </w:t>
      </w:r>
      <w:r>
        <w:rPr>
          <w:rFonts w:ascii="Consolas" w:hAnsi="Consolas"/>
          <w:b w:val="0"/>
          <w:i w:val="0"/>
          <w:color w:val="222222"/>
          <w:sz w:val="19"/>
        </w:rPr>
        <w:t>src/neuromps/report/diagrams.py</w:t>
      </w:r>
      <w:r>
        <w:rPr>
          <w:rFonts w:ascii="Calibri" w:hAnsi="Calibri"/>
          <w:b w:val="0"/>
          <w:i w:val="0"/>
          <w:color w:val="222222"/>
          <w:sz w:val="21"/>
        </w:rPr>
        <w:t xml:space="preserve">; </w:t>
      </w:r>
      <w:r>
        <w:rPr>
          <w:rFonts w:ascii="Consolas" w:hAnsi="Consolas"/>
          <w:b w:val="0"/>
          <w:i w:val="0"/>
          <w:color w:val="222222"/>
          <w:sz w:val="19"/>
        </w:rPr>
        <w:t>src/neuromps/twin/network.py</w:t>
      </w:r>
      <w:r>
        <w:rPr>
          <w:rFonts w:ascii="Calibri" w:hAnsi="Calibri"/>
          <w:b w:val="0"/>
          <w:i w:val="0"/>
          <w:color w:val="222222"/>
          <w:sz w:val="21"/>
        </w:rPr>
        <w:t xml:space="preserve"> (</w:t>
      </w:r>
      <w:r>
        <w:rPr>
          <w:rFonts w:ascii="Consolas" w:hAnsi="Consolas"/>
          <w:b w:val="0"/>
          <w:i w:val="0"/>
          <w:color w:val="222222"/>
          <w:sz w:val="19"/>
        </w:rPr>
        <w:t>forward_ratio</w:t>
      </w:r>
      <w:r>
        <w:rPr>
          <w:rFonts w:ascii="Calibri" w:hAnsi="Calibri"/>
          <w:b w:val="0"/>
          <w:i w:val="0"/>
          <w:color w:val="222222"/>
          <w:sz w:val="21"/>
        </w:rPr>
        <w:t xml:space="preserve">, </w:t>
      </w:r>
      <w:r>
        <w:rPr>
          <w:rFonts w:ascii="Consolas" w:hAnsi="Consolas"/>
          <w:b w:val="0"/>
          <w:i w:val="0"/>
          <w:color w:val="222222"/>
          <w:sz w:val="19"/>
        </w:rPr>
        <w:t>_inter_probabilities</w:t>
      </w:r>
      <w:r>
        <w:rPr>
          <w:rFonts w:ascii="Calibri" w:hAnsi="Calibri"/>
          <w:b w:val="0"/>
          <w:i w:val="0"/>
          <w:color w:val="222222"/>
          <w:sz w:val="21"/>
        </w:rPr>
        <w:t xml:space="preserve">); </w:t>
      </w:r>
      <w:r>
        <w:rPr>
          <w:rFonts w:ascii="Consolas" w:hAnsi="Consolas"/>
          <w:b w:val="0"/>
          <w:i w:val="0"/>
          <w:color w:val="222222"/>
          <w:sz w:val="19"/>
        </w:rPr>
        <w:t>src/neuromps/twin/inference.py</w:t>
      </w:r>
      <w:r>
        <w:rPr>
          <w:rFonts w:ascii="Calibri" w:hAnsi="Calibri"/>
          <w:b w:val="0"/>
          <w:i w:val="0"/>
          <w:color w:val="222222"/>
          <w:sz w:val="21"/>
        </w:rPr>
        <w:t xml:space="preserve"> (the prior on </w:t>
      </w:r>
      <w:r>
        <w:rPr>
          <w:rFonts w:ascii="Consolas" w:hAnsi="Consolas"/>
          <w:b w:val="0"/>
          <w:i w:val="0"/>
          <w:color w:val="222222"/>
          <w:sz w:val="19"/>
        </w:rPr>
        <w:t>log10_forward_ratio</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