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p>
      <w:pPr>
        <w:keepNext/>
        <w:spacing w:before="240" w:after="60"/>
      </w:pPr>
      <w:r>
        <w:rPr>
          <w:rFonts w:ascii="Calibri" w:hAnsi="Calibri"/>
          <w:b/>
          <w:i w:val="0"/>
          <w:color w:val="1F4E79"/>
          <w:sz w:val="23"/>
        </w:rPr>
        <w:t>D31. Recalibrating the twin's inverse model: more simulations, then an ensemble</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inverse model (one masked autoregressive flow, 2,700 training simulations, </w:t>
      </w:r>
      <w:r>
        <w:rPr>
          <w:rFonts w:ascii="Consolas" w:hAnsi="Consolas"/>
          <w:b w:val="0"/>
          <w:i w:val="0"/>
          <w:color w:val="222222"/>
          <w:sz w:val="19"/>
        </w:rPr>
        <w:t>twin_hd14_inference</w:t>
      </w:r>
      <w:r>
        <w:rPr>
          <w:rFonts w:ascii="Calibri" w:hAnsi="Calibri"/>
          <w:b w:val="0"/>
          <w:i w:val="0"/>
          <w:color w:val="222222"/>
          <w:sz w:val="21"/>
        </w:rPr>
        <w:t xml:space="preserve">) fails the rank-uniformity check for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so the slide withholds both.</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withholding them; correct the check for five parameters (Bonferroni would pass both, which lowers the bar rather than fixes the model); retrain the same flow on more simulations; average several flows; change the flow family.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two remedies that do not touch the bar: about 15,000 fresh simulations (5x; truncated at 05:00 EDT on 2026-10-28 by a prefix rule fixed in advance) for the same flow, and an equal-weight ensemble of five flows on the same pool, both judged on 1,000 fresh held-out simulations by the original per-parameter test at 0.05, plus coverage, contraction against the old model on the same simulations, and a check near the real recordings. The flow family is not changed, so budget and averaging are the only differences. </w:t>
      </w:r>
      <w:r>
        <w:rPr>
          <w:rFonts w:ascii="Calibri" w:hAnsi="Calibri"/>
          <w:b/>
          <w:i w:val="0"/>
          <w:color w:val="222222"/>
          <w:sz w:val="21"/>
        </w:rPr>
        <w:t>Why:</w:t>
      </w:r>
      <w:r>
        <w:rPr>
          <w:rFonts w:ascii="Calibri" w:hAnsi="Calibri"/>
          <w:b w:val="0"/>
          <w:i w:val="0"/>
          <w:color w:val="222222"/>
          <w:sz w:val="21"/>
        </w:rPr>
        <w:t xml:space="preserve"> a slide that withholds two of five parameters should say whether that is a limit of the budget, of the estimator, or of what the summaries carry.</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preregistration/twin_inference_recalibration.json</w:t>
      </w:r>
      <w:r>
        <w:rPr>
          <w:rFonts w:ascii="Calibri" w:hAnsi="Calibri"/>
          <w:b w:val="0"/>
          <w:i w:val="0"/>
          <w:color w:val="222222"/>
          <w:sz w:val="21"/>
        </w:rPr>
        <w:t xml:space="preserve"> (seven predictions and the assumption check), committed before any new simulation.</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7 (registration commit 0bc29aa, amended before any simulation in 176b36e). 51 of 60 training chunks finished before the cut. On fresh simulations the round-1 model fails all five parameters, not two; the ensemble keeps its sharpness and passes four of five on the 300-run test, but fails </w:t>
      </w:r>
      <w:r>
        <w:rPr>
          <w:rFonts w:ascii="Consolas" w:hAnsi="Consolas"/>
          <w:b w:val="0"/>
          <w:i w:val="0"/>
          <w:color w:val="222222"/>
          <w:sz w:val="19"/>
        </w:rPr>
        <w:t>inter_in_degree</w:t>
      </w:r>
      <w:r>
        <w:rPr>
          <w:rFonts w:ascii="Calibri" w:hAnsi="Calibri"/>
          <w:b w:val="0"/>
          <w:i w:val="0"/>
          <w:color w:val="222222"/>
          <w:sz w:val="21"/>
        </w:rPr>
        <w:t xml:space="preserve">, stays over-confident by coverage for four parameters, and takes about 2 s per posterior. Budget alone fixes neither failing parameter. Under the registered rule the slide quotes </w:t>
      </w:r>
      <w:r>
        <w:rPr>
          <w:rFonts w:ascii="Consolas" w:hAnsi="Consolas"/>
          <w:b w:val="0"/>
          <w:i w:val="0"/>
          <w:color w:val="222222"/>
          <w:sz w:val="19"/>
        </w:rPr>
        <w:t>threshold_scale</w:t>
      </w:r>
      <w:r>
        <w:rPr>
          <w:rFonts w:ascii="Calibri" w:hAnsi="Calibri"/>
          <w:b w:val="0"/>
          <w:i w:val="0"/>
          <w:color w:val="222222"/>
          <w:sz w:val="21"/>
        </w:rPr>
        <w:t xml:space="preserve"> only. Report §16, change-log entry 45.</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neuromps.twin.recalibration</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Next branches, each to be registered with fresh seeds: a different flow family (neural spline flow) on the same pool, which would separate estimator from summaries; or summaries that carry connectivity more directly (the failure that neither remedy moves).</w:t>
      </w:r>
    </w:p>
    <w:p>
      <w:pPr>
        <w:keepNext/>
        <w:spacing w:before="240" w:after="60"/>
      </w:pPr>
      <w:r>
        <w:rPr>
          <w:rFonts w:ascii="Calibri" w:hAnsi="Calibri"/>
          <w:b/>
          <w:i w:val="0"/>
          <w:color w:val="1F4E79"/>
          <w:sz w:val="23"/>
        </w:rPr>
        <w:t xml:space="preserve">D32. How noisy an untreated human iPSC chip is, against a rat chip from the same lab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practical-value result (§32) gives the wells an assay needs for rat cortical chips only. The natural human analogue, untreated wells recorded before and after a treatment step, exists in Kapucu 2022, but only 4 human and 6 rat such wells pass QC.</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drop the human question; search for another licensed human iPSC set with re-recorded untreated wells; measure the noise inside one untreated recording, by comparing its two halves, on the lab's matched 48-well baselines (human DIV29, rat DIV22).</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split-half comparison, registered in </w:t>
      </w:r>
      <w:r>
        <w:rPr>
          <w:rFonts w:ascii="Consolas" w:hAnsi="Consolas"/>
          <w:b w:val="0"/>
          <w:i w:val="0"/>
          <w:color w:val="222222"/>
          <w:sz w:val="19"/>
        </w:rPr>
        <w:t>preregistration/hpsc_split_half.json</w:t>
      </w:r>
      <w:r>
        <w:rPr>
          <w:rFonts w:ascii="Calibri" w:hAnsi="Calibri"/>
          <w:b w:val="0"/>
          <w:i w:val="0"/>
          <w:color w:val="222222"/>
          <w:sz w:val="21"/>
        </w:rPr>
        <w:t xml:space="preserve"> before any half-recording feature was computed: three predictions (human firing rate noisier; noisier across features; replicates on the lab's 12-well developmental plates), and the wells per arm a 20% or 50% fall would need, reported as a lower bound. </w:t>
      </w:r>
      <w:r>
        <w:rPr>
          <w:rFonts w:ascii="Calibri" w:hAnsi="Calibri"/>
          <w:b/>
          <w:i w:val="0"/>
          <w:color w:val="222222"/>
          <w:sz w:val="21"/>
        </w:rPr>
        <w:t>Why:</w:t>
      </w:r>
      <w:r>
        <w:rPr>
          <w:rFonts w:ascii="Calibri" w:hAnsi="Calibri"/>
          <w:b w:val="0"/>
          <w:i w:val="0"/>
          <w:color w:val="222222"/>
          <w:sz w:val="21"/>
        </w:rPr>
        <w:t xml:space="preserve"> it is the only comparison with enough wells in both species, and the same lab, protocol and extractor make the species the main difference.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species difference could be a firing-rate difference, because fewer spikes give noisier rates; checked on wells whose firing rates overlap between species.</w:t>
      </w:r>
    </w:p>
    <w:p>
      <w:pPr>
        <w:spacing w:after="120"/>
        <w:ind w:left="432" w:hanging="259"/>
      </w:pPr>
      <w:r>
        <w:rPr>
          <w:rFonts w:ascii="Calibri" w:hAnsi="Calibri"/>
          <w:b w:val="0"/>
          <w:i w:val="0"/>
          <w:color w:val="222222"/>
          <w:sz w:val="21"/>
        </w:rPr>
        <w:t>•</w:t>
        <w:tab/>
      </w:r>
      <w:r>
        <w:rPr>
          <w:rFonts w:ascii="Calibri" w:hAnsi="Calibri"/>
          <w:b/>
          <w:i w:val="0"/>
          <w:color w:val="156082"/>
          <w:sz w:val="21"/>
        </w:rPr>
        <w:t>Limit stated in advance:</w:t>
      </w:r>
      <w:r>
        <w:rPr>
          <w:rFonts w:ascii="Calibri" w:hAnsi="Calibri"/>
          <w:b w:val="0"/>
          <w:i w:val="0"/>
          <w:color w:val="222222"/>
          <w:sz w:val="21"/>
        </w:rPr>
        <w:t xml:space="preserve"> split-half noise leaves out handling, compound addition and day-to-day variation, so the wells it implies are a lower bound, and are not compared numerically with the ToxCast vehicle-well numbers.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D33. The feature definitions, recorded retroactively, and what they cost</w:t>
      </w:r>
    </w:p>
    <w:p>
      <w:pPr>
        <w:spacing w:after="120"/>
        <w:ind w:left="432" w:hanging="259"/>
      </w:pPr>
      <w:r>
        <w:rPr>
          <w:rFonts w:ascii="Calibri" w:hAnsi="Calibri"/>
          <w:b w:val="0"/>
          <w:i w:val="0"/>
          <w:color w:val="222222"/>
          <w:sz w:val="21"/>
        </w:rPr>
        <w:t>•</w:t>
        <w:tab/>
      </w:r>
      <w:r>
        <w:rPr>
          <w:rFonts w:ascii="Calibri" w:hAnsi="Calibri"/>
          <w:b/>
          <w:i w:val="0"/>
          <w:color w:val="156082"/>
          <w:sz w:val="21"/>
        </w:rPr>
        <w:t>What was decided, in Phase 1 (2026-09-16, `dd3d59b`):</w:t>
      </w:r>
      <w:r>
        <w:rPr>
          <w:rFonts w:ascii="Calibri" w:hAnsi="Calibri"/>
          <w:b w:val="0"/>
          <w:i w:val="0"/>
          <w:color w:val="222222"/>
          <w:sz w:val="21"/>
        </w:rPr>
        <w:t xml:space="preserve"> an electrode is active at 5 or more spikes per minute; a burst is a run of at least 5 spikes with every inter-spike interval at most 100 ms; burst rate is bursts per minute per active electrode; the deposits' noisy electrodes are flagged in each record's QC block and not dropped; synchrony is STTC with a 50 ms window. All live as the defaults of </w:t>
      </w:r>
      <w:r>
        <w:rPr>
          <w:rFonts w:ascii="Consolas" w:hAnsi="Consolas"/>
          <w:b w:val="0"/>
          <w:i w:val="0"/>
          <w:color w:val="222222"/>
          <w:sz w:val="19"/>
        </w:rPr>
        <w:t>FeatureParams</w:t>
      </w:r>
      <w:r>
        <w:rPr>
          <w:rFonts w:ascii="Calibri" w:hAnsi="Calibri"/>
          <w:b w:val="0"/>
          <w:i w:val="0"/>
          <w:color w:val="222222"/>
          <w:sz w:val="21"/>
        </w:rPr>
        <w:t xml:space="preserve"> in </w:t>
      </w:r>
      <w:r>
        <w:rPr>
          <w:rFonts w:ascii="Consolas" w:hAnsi="Consolas"/>
          <w:b w:val="0"/>
          <w:i w:val="0"/>
          <w:color w:val="222222"/>
          <w:sz w:val="19"/>
        </w:rPr>
        <w:t>src/neuromps/features/mea.py</w:t>
      </w:r>
      <w:r>
        <w:rPr>
          <w:rFonts w:ascii="Calibri" w:hAnsi="Calibri"/>
          <w:b w:val="0"/>
          <w:i w:val="0"/>
          <w:color w:val="222222"/>
          <w:sz w:val="21"/>
        </w:rPr>
        <w:t>, the one extractor the ETL and the twin both call.</w:t>
      </w:r>
    </w:p>
    <w:p>
      <w:pPr>
        <w:spacing w:after="120"/>
        <w:ind w:left="432" w:hanging="259"/>
      </w:pPr>
      <w:r>
        <w:rPr>
          <w:rFonts w:ascii="Calibri" w:hAnsi="Calibri"/>
          <w:b w:val="0"/>
          <w:i w:val="0"/>
          <w:color w:val="222222"/>
          <w:sz w:val="21"/>
        </w:rPr>
        <w:t>•</w:t>
        <w:tab/>
      </w:r>
      <w:r>
        <w:rPr>
          <w:rFonts w:ascii="Calibri" w:hAnsi="Calibri"/>
          <w:b/>
          <w:i w:val="0"/>
          <w:color w:val="156082"/>
          <w:sz w:val="21"/>
        </w:rPr>
        <w:t>What was not recorded at the time:</w:t>
      </w:r>
      <w:r>
        <w:rPr>
          <w:rFonts w:ascii="Calibri" w:hAnsi="Calibri"/>
          <w:b w:val="0"/>
          <w:i w:val="0"/>
          <w:color w:val="222222"/>
          <w:sz w:val="21"/>
        </w:rPr>
        <w:t xml:space="preserve"> the rationale. The lab notebook's Phase-1 entry lists the values, and gives a source only for the activity threshold; the burst rule, the burst-rate denominator and keeping noisy electrodes were chosen without a written reason. This entry records them after the fact.</w:t>
      </w:r>
    </w:p>
    <w:p>
      <w:pPr>
        <w:spacing w:after="120"/>
        <w:ind w:left="432" w:hanging="259"/>
      </w:pPr>
      <w:r>
        <w:rPr>
          <w:rFonts w:ascii="Calibri" w:hAnsi="Calibri"/>
          <w:b w:val="0"/>
          <w:i w:val="0"/>
          <w:color w:val="222222"/>
          <w:sz w:val="21"/>
        </w:rPr>
        <w:t>•</w:t>
        <w:tab/>
      </w:r>
      <w:r>
        <w:rPr>
          <w:rFonts w:ascii="Calibri" w:hAnsi="Calibri"/>
          <w:b/>
          <w:i w:val="0"/>
          <w:color w:val="156082"/>
          <w:sz w:val="21"/>
        </w:rPr>
        <w:t>The reason, stated now:</w:t>
      </w:r>
      <w:r>
        <w:rPr>
          <w:rFonts w:ascii="Calibri" w:hAnsi="Calibri"/>
          <w:b w:val="0"/>
          <w:i w:val="0"/>
          <w:color w:val="222222"/>
          <w:sz w:val="21"/>
        </w:rPr>
        <w:t xml:space="preserve"> one fixed, stated definition applied identically to every source and to the twin, so that a feature means the same thing in every record and in every simulation; the values follow the common fixed-threshold convention. The activity threshold is the one the EPA acute MEA assay states (its assay documents, e.g. </w:t>
      </w:r>
      <w:r>
        <w:rPr>
          <w:rFonts w:ascii="Consolas" w:hAnsi="Consolas"/>
          <w:b w:val="0"/>
          <w:i w:val="0"/>
          <w:color w:val="222222"/>
          <w:sz w:val="19"/>
        </w:rPr>
        <w:t>data/raw/toxcast_mea/assay_docs/AEID2466_CCTE_Shafer_MEA_acute_burst_percentage_mean.pdf</w:t>
      </w:r>
      <w:r>
        <w:rPr>
          <w:rFonts w:ascii="Calibri" w:hAnsi="Calibri"/>
          <w:b w:val="0"/>
          <w:i w:val="0"/>
          <w:color w:val="222222"/>
          <w:sz w:val="21"/>
        </w:rPr>
        <w:t xml:space="preserve">, §2.5). The 50 ms STTC window is the one the Kapucu 2022 depositors state. Whether the burst rule matches a vendor's (Axion AxIS) default is </w:t>
      </w:r>
      <w:r>
        <w:rPr>
          <w:rFonts w:ascii="Calibri" w:hAnsi="Calibri"/>
          <w:b/>
          <w:i w:val="0"/>
          <w:color w:val="222222"/>
          <w:sz w:val="21"/>
        </w:rPr>
        <w:t>unverified</w:t>
      </w:r>
      <w:r>
        <w:rPr>
          <w:rFonts w:ascii="Calibri" w:hAnsi="Calibri"/>
          <w:b w:val="0"/>
          <w:i w:val="0"/>
          <w:color w:val="222222"/>
          <w:sz w:val="21"/>
        </w:rPr>
        <w:t xml:space="preserve">: no document in </w:t>
      </w:r>
      <w:r>
        <w:rPr>
          <w:rFonts w:ascii="Consolas" w:hAnsi="Consolas"/>
          <w:b w:val="0"/>
          <w:i w:val="0"/>
          <w:color w:val="222222"/>
          <w:sz w:val="19"/>
        </w:rPr>
        <w:t>data/raw</w:t>
      </w:r>
      <w:r>
        <w:rPr>
          <w:rFonts w:ascii="Calibri" w:hAnsi="Calibri"/>
          <w:b w:val="0"/>
          <w:i w:val="0"/>
          <w:color w:val="222222"/>
          <w:sz w:val="21"/>
        </w:rPr>
        <w:t xml:space="preserve"> or the repository states it, so we do not claim it. Keeping noisy electrodes follows the standard's rule that upstream exclusions are preserved and flagged rather than silently dropped (</w:t>
      </w:r>
      <w:r>
        <w:rPr>
          <w:rFonts w:ascii="Consolas" w:hAnsi="Consolas"/>
          <w:b w:val="0"/>
          <w:i w:val="0"/>
          <w:color w:val="222222"/>
          <w:sz w:val="19"/>
        </w:rPr>
        <w:t>schema/STANDARD.md</w:t>
      </w:r>
      <w:r>
        <w:rPr>
          <w:rFonts w:ascii="Calibri" w:hAnsi="Calibri"/>
          <w:b w:val="0"/>
          <w:i w:val="0"/>
          <w:color w:val="222222"/>
          <w:sz w:val="21"/>
        </w:rPr>
        <w:t xml:space="preserve"> §5).</w:t>
      </w:r>
    </w:p>
    <w:p>
      <w:pPr>
        <w:spacing w:after="120"/>
        <w:ind w:left="432" w:hanging="259"/>
      </w:pPr>
      <w:r>
        <w:rPr>
          <w:rFonts w:ascii="Calibri" w:hAnsi="Calibri"/>
          <w:b w:val="0"/>
          <w:i w:val="0"/>
          <w:color w:val="222222"/>
          <w:sz w:val="21"/>
        </w:rPr>
        <w:t>•</w:t>
        <w:tab/>
      </w:r>
      <w:r>
        <w:rPr>
          <w:rFonts w:ascii="Calibri" w:hAnsi="Calibri"/>
          <w:b/>
          <w:i w:val="0"/>
          <w:color w:val="156082"/>
          <w:sz w:val="21"/>
        </w:rPr>
        <w:t>What the choices cost (post hoc evidence):</w:t>
      </w:r>
      <w:r>
        <w:rPr>
          <w:rFonts w:ascii="Calibri" w:hAnsi="Calibri"/>
          <w:b w:val="0"/>
          <w:i w:val="0"/>
          <w:color w:val="222222"/>
          <w:sz w:val="21"/>
        </w:rPr>
        <w:t xml:space="preserve"> </w:t>
      </w:r>
      <w:r>
        <w:rPr>
          <w:rFonts w:ascii="Consolas" w:hAnsi="Consolas"/>
          <w:b w:val="0"/>
          <w:i w:val="0"/>
          <w:color w:val="222222"/>
          <w:sz w:val="19"/>
        </w:rPr>
        <w:t>src/neuromps/models/extractor_ladder.py</w:t>
      </w:r>
      <w:r>
        <w:rPr>
          <w:rFonts w:ascii="Calibri" w:hAnsi="Calibri"/>
          <w:b w:val="0"/>
          <w:i w:val="0"/>
          <w:color w:val="222222"/>
          <w:sz w:val="21"/>
        </w:rPr>
        <w:t xml:space="preserve"> reruns the extractor under the Kapucu 2022 depositors' stated settings one change at a time, against the meaRtools output they published. With their active threshold and their noisy-electrode lists, firing rate, active-electrode count and STTC reproduce theirs; most of the twofold burst-rate difference is the denominator, and it is an hPSC effect (report §3). The ladder closes a share of 0.9293 of the pooled burst-rate log-ratio gap. The detector difference (fixed rule against adaptive logISI) is named and not tested. This is post hoc: the result was seen before the code was written, and it is not registered.</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the definitions (taken); switch the asset to meaRtools-like settings (rejected: it would rebuild every record and the twin's calibration targets for a gain on one source); or store features under named definition sets.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keep the definitions unchanged; the extractor gains two options, off by default and named in the method record only when used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so the asset, its method records and the twin are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a future version could store each record's features under named definition sets (for example </w:t>
      </w:r>
      <w:r>
        <w:rPr>
          <w:rFonts w:ascii="Consolas" w:hAnsi="Consolas"/>
          <w:b w:val="0"/>
          <w:i w:val="0"/>
          <w:color w:val="222222"/>
          <w:sz w:val="19"/>
        </w:rPr>
        <w:t>neuromps_v1</w:t>
      </w:r>
      <w:r>
        <w:rPr>
          <w:rFonts w:ascii="Calibri" w:hAnsi="Calibri"/>
          <w:b w:val="0"/>
          <w:i w:val="0"/>
          <w:color w:val="222222"/>
          <w:sz w:val="21"/>
        </w:rPr>
        <w:t xml:space="preserve"> and </w:t>
      </w:r>
      <w:r>
        <w:rPr>
          <w:rFonts w:ascii="Consolas" w:hAnsi="Consolas"/>
          <w:b w:val="0"/>
          <w:i w:val="0"/>
          <w:color w:val="222222"/>
          <w:sz w:val="19"/>
        </w:rPr>
        <w:t>meartools_like</w:t>
      </w:r>
      <w:r>
        <w:rPr>
          <w:rFonts w:ascii="Calibri" w:hAnsi="Calibri"/>
          <w:b w:val="0"/>
          <w:i w:val="0"/>
          <w:color w:val="222222"/>
          <w:sz w:val="21"/>
        </w:rPr>
        <w:t xml:space="preserve">), selected per consumer, with the method record naming the set.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w:t>
      </w:r>
    </w:p>
    <w:p>
      <w:pPr>
        <w:keepNext/>
        <w:spacing w:before="240" w:after="60"/>
      </w:pPr>
      <w:r>
        <w:rPr>
          <w:rFonts w:ascii="Calibri" w:hAnsi="Calibri"/>
          <w:b/>
          <w:i w:val="0"/>
          <w:color w:val="1F4E79"/>
          <w:sz w:val="23"/>
        </w:rPr>
        <w:t xml:space="preserve">D35. Separating settling from steady noise in untreated human iPSC wells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D32 (report §36) measured human iPSC firing rate about twice as noisy as rat between the halves of one untreated recording, and noted that human wells fall more within the recording; part of that spread may be wells settling at different speeds, not steady noise.</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state the ambiguity and stop; separate the two within the same recordings.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six windows per 30-minute baseline, a straight-line trend per well on a fixed electrode set, and three registered predictions (</w:t>
      </w:r>
      <w:r>
        <w:rPr>
          <w:rFonts w:ascii="Consolas" w:hAnsi="Consolas"/>
          <w:b w:val="0"/>
          <w:i w:val="0"/>
          <w:color w:val="222222"/>
          <w:sz w:val="19"/>
        </w:rPr>
        <w:t>preregistration/hpsc_settling.json</w:t>
      </w:r>
      <w:r>
        <w:rPr>
          <w:rFonts w:ascii="Calibri" w:hAnsi="Calibri"/>
          <w:b w:val="0"/>
          <w:i w:val="0"/>
          <w:color w:val="222222"/>
          <w:sz w:val="21"/>
        </w:rPr>
        <w:t xml:space="preserve">): human wells settle more unevenly; human wells are also noisier around their own trend; in human wells the trend carries most of the split-half spread. </w:t>
      </w:r>
      <w:r>
        <w:rPr>
          <w:rFonts w:ascii="Calibri" w:hAnsi="Calibri"/>
          <w:b/>
          <w:i w:val="0"/>
          <w:color w:val="222222"/>
          <w:sz w:val="21"/>
        </w:rPr>
        <w:t>Why:</w:t>
      </w:r>
      <w:r>
        <w:rPr>
          <w:rFonts w:ascii="Calibri" w:hAnsi="Calibri"/>
          <w:b w:val="0"/>
          <w:i w:val="0"/>
          <w:color w:val="222222"/>
          <w:sz w:val="21"/>
        </w:rPr>
        <w:t xml:space="preserve"> for assay design the two call for different fixes (a longer settling period before dosing against more wells), so which one dominates matters.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straight line describes the settling; checked with a quadratic term.</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3 (registration commit e743c4c; code and tests committed before the first real-data run in bc6a56b). Human slopes spread 3.65 times as widely as rat; the trend carries a share of 0.996 of the human split-half variance. The linearity check fails for human wells (a fall and partial recovery), so T1 and T3 carry that caveat, and T2's residual SD is mostly curvature, not steady noise. The T3 threshold turned out to sit below what a line absorbs from pure noise (about 0.77); recorded, not changed. Reading: D32's human spread is mostly uneven settling; a longer settling period is the first fix to try, but five more minutes would not close the gap (post hoc), and the 30-minute recordings do not show how long it must be. Report §36, change-log entry 49.</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Next: longer untreated human recordings, to find where the fall ends.</w:t>
      </w:r>
    </w:p>
    <w:p>
      <w:pPr>
        <w:keepNext/>
        <w:spacing w:before="240" w:after="60"/>
      </w:pPr>
      <w:r>
        <w:rPr>
          <w:rFonts w:ascii="Calibri" w:hAnsi="Calibri"/>
          <w:b/>
          <w:i w:val="0"/>
          <w:color w:val="1F4E79"/>
          <w:sz w:val="23"/>
        </w:rPr>
        <w:t xml:space="preserve">D36. Testing whether early network bursting predicts how a human iPSC well settles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an exploratory look at D35's human wells (post hoc, 24 wells, one plate) found two settling behaviours, wells that keep falling and wells that recover, and the network-burst rate in the first five minutes predicted which (Spearman -0.73), while the early firing rate did not; rat wells showed no such relation.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the exploratory result as it stands; replicate it on independent recordings first.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replication on the lab's 12-well developmental plates (</w:t>
      </w:r>
      <w:r>
        <w:rPr>
          <w:rFonts w:ascii="Consolas" w:hAnsi="Consolas"/>
          <w:b w:val="0"/>
          <w:i w:val="0"/>
          <w:color w:val="222222"/>
          <w:sz w:val="19"/>
        </w:rPr>
        <w:t>preregistration/hpsc_network_state.json</w:t>
      </w:r>
      <w:r>
        <w:rPr>
          <w:rFonts w:ascii="Calibri" w:hAnsi="Calibri"/>
          <w:b w:val="0"/>
          <w:i w:val="0"/>
          <w:color w:val="222222"/>
          <w:sz w:val="21"/>
        </w:rPr>
        <w:t xml:space="preserve">), which D32 already uses as its replication pool: three predictions (the relation holds in human recordings; not in rat; network state predicts better than firing rate), with intervals from resampling whole wells. </w:t>
      </w:r>
      <w:r>
        <w:rPr>
          <w:rFonts w:ascii="Calibri" w:hAnsi="Calibri"/>
          <w:b/>
          <w:i w:val="0"/>
          <w:color w:val="222222"/>
          <w:sz w:val="21"/>
        </w:rPr>
        <w:t>Why:</w:t>
      </w:r>
      <w:r>
        <w:rPr>
          <w:rFonts w:ascii="Calibri" w:hAnsi="Calibri"/>
          <w:b w:val="0"/>
          <w:i w:val="0"/>
          <w:color w:val="222222"/>
          <w:sz w:val="21"/>
        </w:rPr>
        <w:t xml:space="preserve"> a post hoc finding on one plate is a hypothesis; if it replicates, a lab could cut the wells it needs by stratifying human wells by baseline network state.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relation is not an age effect; checked with a partial correlation on culture age.</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1 of 3 (registration commit f669016; code and tests committed before the real-data run in d7ba7da). N1 fails: in 144 human developmental recordings rho(nb0, late_b) is −0.06, interval −0.23 to 0.09; N2 passes (rat rho −0.06, no relation in either species); N3 fails. The age flag is not raised (human partial rho −0.39), but the per-DIV median (−0.06) does not agree with it. The post hoc baseline result recomputes as −0.73 and stays a hypothesis tied to one plate. Reading: stratifying human wells by baseline network bursting is not supported by the replication. Report §36, change-log entry 50.</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hpsc_network_state</w:t>
      </w:r>
      <w:r>
        <w:rPr>
          <w:rFonts w:ascii="Calibri" w:hAnsi="Calibri"/>
          <w:b w:val="0"/>
          <w:i w:val="0"/>
          <w:color w:val="222222"/>
          <w:sz w:val="21"/>
        </w:rPr>
        <w:t>. Next, if pursued: 30-minute untreated recordings of more human plates at matched ages.</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