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7"/>
        <w:gridCol w:w="1539"/>
        <w:gridCol w:w="2814"/>
        <w:gridCol w:w="2569"/>
        <w:gridCol w:w="1166"/>
      </w:tblGrid>
      <w:tr>
        <w:trPr>
          <w:cantSplit/>
          <w:tblHeader/>
        </w:trPr>
        <w:tc>
          <w:tcPr>
            <w:tcW w:type="dxa" w:w="407"/>
            <w:shd w:val="clear" w:color="auto" w:fill="1F4E79"/>
            <w:vAlign w:val="center"/>
          </w:tcPr>
          <w:p>
            <w:pPr>
              <w:keepNext/>
              <w:spacing w:after="0"/>
              <w:jc w:val="center"/>
            </w:pPr>
            <w:r>
              <w:rPr>
                <w:rFonts w:ascii="Calibri" w:hAnsi="Calibri"/>
                <w:b/>
                <w:i w:val="0"/>
                <w:color w:val="FFFFFF"/>
                <w:sz w:val="20"/>
              </w:rPr>
              <w:t>#</w:t>
            </w:r>
          </w:p>
        </w:tc>
        <w:tc>
          <w:tcPr>
            <w:tcW w:type="dxa" w:w="1539"/>
            <w:shd w:val="clear" w:color="auto" w:fill="1F4E79"/>
            <w:vAlign w:val="center"/>
          </w:tcPr>
          <w:p>
            <w:pPr>
              <w:keepNext/>
              <w:spacing w:after="0"/>
              <w:jc w:val="center"/>
            </w:pPr>
            <w:r>
              <w:rPr>
                <w:rFonts w:ascii="Calibri" w:hAnsi="Calibri"/>
                <w:b/>
                <w:i w:val="0"/>
                <w:color w:val="FFFFFF"/>
                <w:sz w:val="20"/>
              </w:rPr>
              <w:t>Date</w:t>
            </w:r>
          </w:p>
        </w:tc>
        <w:tc>
          <w:tcPr>
            <w:tcW w:type="dxa" w:w="2814"/>
            <w:shd w:val="clear" w:color="auto" w:fill="1F4E79"/>
            <w:vAlign w:val="center"/>
          </w:tcPr>
          <w:p>
            <w:pPr>
              <w:keepNext/>
              <w:spacing w:after="0"/>
            </w:pPr>
            <w:r>
              <w:rPr>
                <w:rFonts w:ascii="Calibri" w:hAnsi="Calibri"/>
                <w:b/>
                <w:i w:val="0"/>
                <w:color w:val="FFFFFF"/>
                <w:sz w:val="20"/>
              </w:rPr>
              <w:t>Change</w:t>
            </w:r>
          </w:p>
        </w:tc>
        <w:tc>
          <w:tcPr>
            <w:tcW w:type="dxa" w:w="2569"/>
            <w:shd w:val="clear" w:color="auto" w:fill="1F4E79"/>
            <w:vAlign w:val="center"/>
          </w:tcPr>
          <w:p>
            <w:pPr>
              <w:keepNext/>
              <w:spacing w:after="0"/>
            </w:pPr>
            <w:r>
              <w:rPr>
                <w:rFonts w:ascii="Calibri" w:hAnsi="Calibri"/>
                <w:b/>
                <w:i w:val="0"/>
                <w:color w:val="FFFFFF"/>
                <w:sz w:val="20"/>
              </w:rPr>
              <w:t>Effect on results</w:t>
            </w:r>
          </w:p>
        </w:tc>
        <w:tc>
          <w:tcPr>
            <w:tcW w:type="dxa" w:w="1166"/>
            <w:shd w:val="clear" w:color="auto" w:fill="1F4E79"/>
            <w:vAlign w:val="center"/>
          </w:tcPr>
          <w:p>
            <w:pPr>
              <w:keepNext/>
              <w:spacing w:after="0"/>
            </w:pPr>
            <w:r>
              <w:rPr>
                <w:rFonts w:ascii="Calibri" w:hAnsi="Calibri"/>
                <w:b/>
                <w:i w:val="0"/>
                <w:color w:val="FFFFFF"/>
                <w:sz w:val="20"/>
              </w:rPr>
              <w:t>Commits</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w:t>
            </w:r>
          </w:p>
        </w:tc>
        <w:tc>
          <w:tcPr>
            <w:tcW w:type="dxa" w:w="1539"/>
            <w:shd w:val="clear" w:color="auto" w:fill="FFFFFF"/>
            <w:vAlign w:val="center"/>
          </w:tcPr>
          <w:p>
            <w:pPr>
              <w:keepNext/>
              <w:spacing w:after="0"/>
              <w:jc w:val="center"/>
            </w:pPr>
            <w:r>
              <w:rPr>
                <w:rFonts w:ascii="Calibri" w:hAnsi="Calibri"/>
                <w:b w:val="0"/>
                <w:i w:val="0"/>
                <w:color w:val="222222"/>
                <w:sz w:val="20"/>
              </w:rPr>
              <w:t>2026-10-10</w:t>
            </w:r>
          </w:p>
        </w:tc>
        <w:tc>
          <w:tcPr>
            <w:tcW w:type="dxa" w:w="2814"/>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69"/>
            <w:shd w:val="clear" w:color="auto" w:fill="FFFFFF"/>
            <w:vAlign w:val="center"/>
          </w:tcPr>
          <w:p>
            <w:pPr>
              <w:keepNext/>
              <w:spacing w:after="0"/>
            </w:pPr>
            <w:r>
              <w:rPr>
                <w:rFonts w:ascii="Calibri" w:hAnsi="Calibri"/>
                <w:b w:val="0"/>
                <w:i w:val="0"/>
                <w:color w:val="222222"/>
                <w:sz w:val="20"/>
              </w:rPr>
              <w:t>none (no number or claim changed)</w:t>
            </w:r>
          </w:p>
        </w:tc>
        <w:tc>
          <w:tcPr>
            <w:tcW w:type="dxa" w:w="1166"/>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w:t>
            </w:r>
          </w:p>
        </w:tc>
        <w:tc>
          <w:tcPr>
            <w:tcW w:type="dxa" w:w="1539"/>
            <w:shd w:val="clear" w:color="auto" w:fill="F7F9FB"/>
            <w:vAlign w:val="center"/>
          </w:tcPr>
          <w:p>
            <w:pPr>
              <w:keepNext/>
              <w:spacing w:after="0"/>
              <w:jc w:val="center"/>
            </w:pPr>
            <w:r>
              <w:rPr>
                <w:rFonts w:ascii="Calibri" w:hAnsi="Calibri"/>
                <w:b w:val="0"/>
                <w:i w:val="0"/>
                <w:color w:val="222222"/>
                <w:sz w:val="20"/>
              </w:rPr>
              <w:t>2026-10-11</w:t>
            </w:r>
          </w:p>
        </w:tc>
        <w:tc>
          <w:tcPr>
            <w:tcW w:type="dxa" w:w="2814"/>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69"/>
            <w:shd w:val="clear" w:color="auto" w:fill="F7F9FB"/>
            <w:vAlign w:val="center"/>
          </w:tcPr>
          <w:p>
            <w:pPr>
              <w:keepNext/>
              <w:spacing w:after="0"/>
            </w:pPr>
            <w:r>
              <w:rPr>
                <w:rFonts w:ascii="Calibri" w:hAnsi="Calibri"/>
                <w:b w:val="0"/>
                <w:i w:val="0"/>
                <w:color w:val="222222"/>
                <w:sz w:val="20"/>
              </w:rPr>
              <w:t>the dose conclusion reverses</w:t>
            </w:r>
          </w:p>
        </w:tc>
        <w:tc>
          <w:tcPr>
            <w:tcW w:type="dxa" w:w="1166"/>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w:t>
            </w:r>
          </w:p>
        </w:tc>
        <w:tc>
          <w:tcPr>
            <w:tcW w:type="dxa" w:w="1539"/>
            <w:shd w:val="clear" w:color="auto" w:fill="FFFFFF"/>
            <w:vAlign w:val="center"/>
          </w:tcPr>
          <w:p>
            <w:pPr>
              <w:keepNext/>
              <w:spacing w:after="0"/>
              <w:jc w:val="center"/>
            </w:pPr>
            <w:r>
              <w:rPr>
                <w:rFonts w:ascii="Calibri" w:hAnsi="Calibri"/>
                <w:b w:val="0"/>
                <w:i w:val="0"/>
                <w:color w:val="222222"/>
                <w:sz w:val="20"/>
              </w:rPr>
              <w:t>2026-10-22</w:t>
            </w:r>
          </w:p>
        </w:tc>
        <w:tc>
          <w:tcPr>
            <w:tcW w:type="dxa" w:w="2814"/>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69"/>
            <w:shd w:val="clear" w:color="auto" w:fill="FFFFFF"/>
            <w:vAlign w:val="center"/>
          </w:tcPr>
          <w:p>
            <w:pPr>
              <w:keepNext/>
              <w:spacing w:after="0"/>
            </w:pPr>
            <w:r>
              <w:rPr>
                <w:rFonts w:ascii="Calibri" w:hAnsi="Calibri"/>
                <w:b w:val="0"/>
                <w:i w:val="0"/>
                <w:color w:val="222222"/>
                <w:sz w:val="20"/>
              </w:rPr>
              <w:t>none; access only</w:t>
            </w:r>
          </w:p>
        </w:tc>
        <w:tc>
          <w:tcPr>
            <w:tcW w:type="dxa" w:w="1166"/>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w:t>
            </w:r>
          </w:p>
        </w:tc>
        <w:tc>
          <w:tcPr>
            <w:tcW w:type="dxa" w:w="1539"/>
            <w:shd w:val="clear" w:color="auto" w:fill="F7F9FB"/>
            <w:vAlign w:val="center"/>
          </w:tcPr>
          <w:p>
            <w:pPr>
              <w:keepNext/>
              <w:spacing w:after="0"/>
              <w:jc w:val="center"/>
            </w:pPr>
            <w:r>
              <w:rPr>
                <w:rFonts w:ascii="Calibri" w:hAnsi="Calibri"/>
                <w:b w:val="0"/>
                <w:i w:val="0"/>
                <w:color w:val="222222"/>
                <w:sz w:val="20"/>
              </w:rPr>
              <w:t>2026-10-22/23</w:t>
            </w:r>
          </w:p>
        </w:tc>
        <w:tc>
          <w:tcPr>
            <w:tcW w:type="dxa" w:w="2814"/>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69"/>
            <w:shd w:val="clear" w:color="auto" w:fill="F7F9FB"/>
            <w:vAlign w:val="center"/>
          </w:tcPr>
          <w:p>
            <w:pPr>
              <w:keepNext/>
              <w:spacing w:after="0"/>
            </w:pPr>
            <w:r>
              <w:rPr>
                <w:rFonts w:ascii="Calibri" w:hAnsi="Calibri"/>
                <w:b w:val="0"/>
                <w:i w:val="0"/>
                <w:color w:val="222222"/>
                <w:sz w:val="20"/>
              </w:rPr>
              <w:t>new results, pre-registered</w:t>
            </w:r>
          </w:p>
        </w:tc>
        <w:tc>
          <w:tcPr>
            <w:tcW w:type="dxa" w:w="1166"/>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69"/>
            <w:shd w:val="clear" w:color="auto" w:fill="FFFFFF"/>
            <w:vAlign w:val="center"/>
          </w:tcPr>
          <w:p>
            <w:pPr>
              <w:keepNext/>
              <w:spacing w:after="0"/>
            </w:pPr>
            <w:r>
              <w:rPr>
                <w:rFonts w:ascii="Calibri" w:hAnsi="Calibri"/>
                <w:b w:val="0"/>
                <w:i w:val="0"/>
                <w:color w:val="222222"/>
                <w:sz w:val="20"/>
              </w:rPr>
              <w:t>none; structure only</w:t>
            </w:r>
          </w:p>
        </w:tc>
        <w:tc>
          <w:tcPr>
            <w:tcW w:type="dxa" w:w="1166"/>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6</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69"/>
            <w:shd w:val="clear" w:color="auto" w:fill="F7F9FB"/>
            <w:vAlign w:val="center"/>
          </w:tcPr>
          <w:p>
            <w:pPr>
              <w:keepNext/>
              <w:spacing w:after="0"/>
            </w:pPr>
            <w:r>
              <w:rPr>
                <w:rFonts w:ascii="Calibri" w:hAnsi="Calibri"/>
                <w:b w:val="0"/>
                <w:i w:val="0"/>
                <w:color w:val="222222"/>
                <w:sz w:val="20"/>
              </w:rPr>
              <w:t>new comparison (descriptive)</w:t>
            </w:r>
          </w:p>
        </w:tc>
        <w:tc>
          <w:tcPr>
            <w:tcW w:type="dxa" w:w="1166"/>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7</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69"/>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66"/>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8</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69"/>
            <w:shd w:val="clear" w:color="auto" w:fill="F7F9FB"/>
            <w:vAlign w:val="center"/>
          </w:tcPr>
          <w:p>
            <w:pPr>
              <w:keepNext/>
              <w:spacing w:after="0"/>
            </w:pPr>
            <w:r>
              <w:rPr>
                <w:rFonts w:ascii="Calibri" w:hAnsi="Calibri"/>
                <w:b w:val="0"/>
                <w:i w:val="0"/>
                <w:color w:val="222222"/>
                <w:sz w:val="20"/>
              </w:rPr>
              <w:t>1 of 3 registered predictions pass</w:t>
            </w:r>
          </w:p>
        </w:tc>
        <w:tc>
          <w:tcPr>
            <w:tcW w:type="dxa" w:w="1166"/>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9</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69"/>
            <w:shd w:val="clear" w:color="auto" w:fill="FFFFFF"/>
            <w:vAlign w:val="center"/>
          </w:tcPr>
          <w:p>
            <w:pPr>
              <w:keepNext/>
              <w:spacing w:after="0"/>
            </w:pPr>
            <w:r>
              <w:rPr>
                <w:rFonts w:ascii="Calibri" w:hAnsi="Calibri"/>
                <w:b w:val="0"/>
                <w:i w:val="0"/>
                <w:color w:val="222222"/>
                <w:sz w:val="20"/>
              </w:rPr>
              <w:t>4 of 4 registered predictions pass</w:t>
            </w:r>
          </w:p>
        </w:tc>
        <w:tc>
          <w:tcPr>
            <w:tcW w:type="dxa" w:w="1166"/>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10</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69"/>
            <w:shd w:val="clear" w:color="auto" w:fill="F7F9FB"/>
            <w:vAlign w:val="center"/>
          </w:tcPr>
          <w:p>
            <w:pPr>
              <w:keepNext/>
              <w:spacing w:after="0"/>
            </w:pPr>
            <w:r>
              <w:rPr>
                <w:rFonts w:ascii="Calibri" w:hAnsi="Calibri"/>
                <w:b w:val="0"/>
                <w:i w:val="0"/>
                <w:color w:val="222222"/>
                <w:sz w:val="20"/>
              </w:rPr>
              <w:t>6 of 7 registered predictions pass</w:t>
            </w:r>
          </w:p>
        </w:tc>
        <w:tc>
          <w:tcPr>
            <w:tcW w:type="dxa" w:w="1166"/>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11</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69"/>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66"/>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12</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69"/>
            <w:shd w:val="clear" w:color="auto" w:fill="F7F9FB"/>
            <w:vAlign w:val="center"/>
          </w:tcPr>
          <w:p>
            <w:pPr>
              <w:keepNext/>
              <w:spacing w:after="0"/>
            </w:pPr>
            <w:r>
              <w:rPr>
                <w:rFonts w:ascii="Calibri" w:hAnsi="Calibri"/>
                <w:b w:val="0"/>
                <w:i w:val="0"/>
                <w:color w:val="222222"/>
                <w:sz w:val="20"/>
              </w:rPr>
              <w:t>plan, no new results</w:t>
            </w:r>
          </w:p>
        </w:tc>
        <w:tc>
          <w:tcPr>
            <w:tcW w:type="dxa" w:w="1166"/>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13</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69"/>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66"/>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14</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69"/>
            <w:shd w:val="clear" w:color="auto" w:fill="F7F9FB"/>
            <w:vAlign w:val="center"/>
          </w:tcPr>
          <w:p>
            <w:pPr>
              <w:keepNext/>
              <w:spacing w:after="0"/>
            </w:pPr>
            <w:r>
              <w:rPr>
                <w:rFonts w:ascii="Calibri" w:hAnsi="Calibri"/>
                <w:b w:val="0"/>
                <w:i w:val="0"/>
                <w:color w:val="222222"/>
                <w:sz w:val="20"/>
              </w:rPr>
              <w:t>3 of 5 registered predictions pass</w:t>
            </w:r>
          </w:p>
        </w:tc>
        <w:tc>
          <w:tcPr>
            <w:tcW w:type="dxa" w:w="1166"/>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15</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69"/>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66"/>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16</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69"/>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66"/>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17</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69"/>
            <w:shd w:val="clear" w:color="auto" w:fill="FFFFFF"/>
            <w:vAlign w:val="center"/>
          </w:tcPr>
          <w:p>
            <w:pPr>
              <w:keepNext/>
              <w:spacing w:after="0"/>
            </w:pPr>
            <w:r>
              <w:rPr>
                <w:rFonts w:ascii="Calibri" w:hAnsi="Calibri"/>
                <w:b w:val="0"/>
                <w:i w:val="0"/>
                <w:color w:val="222222"/>
                <w:sz w:val="20"/>
              </w:rPr>
              <w:t>1 of 5 pass; no walking rhythm</w:t>
            </w:r>
          </w:p>
        </w:tc>
        <w:tc>
          <w:tcPr>
            <w:tcW w:type="dxa" w:w="1166"/>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18</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69"/>
            <w:shd w:val="clear" w:color="auto" w:fill="F7F9FB"/>
            <w:vAlign w:val="center"/>
          </w:tcPr>
          <w:p>
            <w:pPr>
              <w:keepNext/>
              <w:spacing w:after="0"/>
            </w:pPr>
            <w:r>
              <w:rPr>
                <w:rFonts w:ascii="Calibri" w:hAnsi="Calibri"/>
                <w:b w:val="0"/>
                <w:i w:val="0"/>
                <w:color w:val="222222"/>
                <w:sz w:val="20"/>
              </w:rPr>
              <w:t>6 of 6 registered predictions pass</w:t>
            </w:r>
          </w:p>
        </w:tc>
        <w:tc>
          <w:tcPr>
            <w:tcW w:type="dxa" w:w="1166"/>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19</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69"/>
            <w:shd w:val="clear" w:color="auto" w:fill="FFFFFF"/>
            <w:vAlign w:val="center"/>
          </w:tcPr>
          <w:p>
            <w:pPr>
              <w:keepNext/>
              <w:spacing w:after="0"/>
            </w:pPr>
            <w:r>
              <w:rPr>
                <w:rFonts w:ascii="Calibri" w:hAnsi="Calibri"/>
                <w:b w:val="0"/>
                <w:i w:val="0"/>
                <w:color w:val="222222"/>
                <w:sz w:val="20"/>
              </w:rPr>
              <w:t>stopped by its rule; no cell walks</w:t>
            </w:r>
          </w:p>
        </w:tc>
        <w:tc>
          <w:tcPr>
            <w:tcW w:type="dxa" w:w="1166"/>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20</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69"/>
            <w:shd w:val="clear" w:color="auto" w:fill="F7F9FB"/>
            <w:vAlign w:val="center"/>
          </w:tcPr>
          <w:p>
            <w:pPr>
              <w:keepNext/>
              <w:spacing w:after="0"/>
            </w:pPr>
            <w:r>
              <w:rPr>
                <w:rFonts w:ascii="Calibri" w:hAnsi="Calibri"/>
                <w:b w:val="0"/>
                <w:i w:val="0"/>
                <w:color w:val="222222"/>
                <w:sz w:val="20"/>
              </w:rPr>
              <w:t>1 of 7 at the selected cell</w:t>
            </w:r>
          </w:p>
        </w:tc>
        <w:tc>
          <w:tcPr>
            <w:tcW w:type="dxa" w:w="1166"/>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21</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69"/>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66"/>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22</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The registered rhythm-measure audit</w:t>
            </w:r>
          </w:p>
        </w:tc>
        <w:tc>
          <w:tcPr>
            <w:tcW w:type="dxa" w:w="2569"/>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66"/>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23</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69"/>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66"/>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24</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69"/>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66"/>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25</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69"/>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66"/>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26</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69"/>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66"/>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27</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69"/>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66"/>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28</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69"/>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66"/>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29</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69"/>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66"/>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30</w:t>
            </w:r>
          </w:p>
        </w:tc>
        <w:tc>
          <w:tcPr>
            <w:tcW w:type="dxa" w:w="1539"/>
            <w:shd w:val="clear" w:color="auto" w:fill="F7F9FB"/>
            <w:vAlign w:val="center"/>
          </w:tcPr>
          <w:p>
            <w:pPr>
              <w:keepNext/>
              <w:spacing w:after="0"/>
              <w:jc w:val="center"/>
            </w:pPr>
            <w:r>
              <w:rPr>
                <w:rFonts w:ascii="Calibri" w:hAnsi="Calibri"/>
                <w:b w:val="0"/>
                <w:i w:val="0"/>
                <w:color w:val="222222"/>
                <w:sz w:val="20"/>
              </w:rPr>
              <w:t>2026-10-24/25</w:t>
            </w:r>
          </w:p>
        </w:tc>
        <w:tc>
          <w:tcPr>
            <w:tcW w:type="dxa" w:w="2814"/>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69"/>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66"/>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31</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69"/>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66"/>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32</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69"/>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66"/>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33</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69"/>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66"/>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34</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69"/>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66"/>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35</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69"/>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66"/>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36</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69"/>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66"/>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37</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69"/>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66"/>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38</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69"/>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66"/>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39</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69"/>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66"/>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40</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69"/>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66"/>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41</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69"/>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66"/>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42</w:t>
            </w:r>
          </w:p>
        </w:tc>
        <w:tc>
          <w:tcPr>
            <w:tcW w:type="dxa" w:w="1539"/>
            <w:shd w:val="clear" w:color="auto" w:fill="F7F9FB"/>
            <w:vAlign w:val="center"/>
          </w:tcPr>
          <w:p>
            <w:pPr>
              <w:keepNext/>
              <w:spacing w:after="0"/>
              <w:jc w:val="center"/>
            </w:pPr>
            <w:r>
              <w:rPr>
                <w:rFonts w:ascii="Calibri" w:hAnsi="Calibri"/>
                <w:b w:val="0"/>
                <w:i w:val="0"/>
                <w:color w:val="222222"/>
                <w:sz w:val="20"/>
              </w:rPr>
              <w:t>2026-10-26</w:t>
            </w:r>
          </w:p>
        </w:tc>
        <w:tc>
          <w:tcPr>
            <w:tcW w:type="dxa" w:w="2814"/>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69"/>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66"/>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43</w:t>
            </w:r>
          </w:p>
        </w:tc>
        <w:tc>
          <w:tcPr>
            <w:tcW w:type="dxa" w:w="1539"/>
            <w:shd w:val="clear" w:color="auto" w:fill="FFFFFF"/>
            <w:vAlign w:val="center"/>
          </w:tcPr>
          <w:p>
            <w:pPr>
              <w:keepNext/>
              <w:spacing w:after="0"/>
              <w:jc w:val="center"/>
            </w:pPr>
            <w:r>
              <w:rPr>
                <w:rFonts w:ascii="Calibri" w:hAnsi="Calibri"/>
                <w:b w:val="0"/>
                <w:i w:val="0"/>
                <w:color w:val="222222"/>
                <w:sz w:val="20"/>
              </w:rPr>
              <w:t>2026-10-27</w:t>
            </w:r>
          </w:p>
        </w:tc>
        <w:tc>
          <w:tcPr>
            <w:tcW w:type="dxa" w:w="2814"/>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69"/>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66"/>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44</w:t>
            </w:r>
          </w:p>
        </w:tc>
        <w:tc>
          <w:tcPr>
            <w:tcW w:type="dxa" w:w="1539"/>
            <w:shd w:val="clear" w:color="auto" w:fill="F7F9FB"/>
            <w:vAlign w:val="center"/>
          </w:tcPr>
          <w:p>
            <w:pPr>
              <w:keepNext/>
              <w:spacing w:after="0"/>
              <w:jc w:val="center"/>
            </w:pPr>
            <w:r>
              <w:rPr>
                <w:rFonts w:ascii="Calibri" w:hAnsi="Calibri"/>
                <w:b w:val="0"/>
                <w:i w:val="0"/>
                <w:color w:val="222222"/>
                <w:sz w:val="20"/>
              </w:rPr>
              <w:t>2026-10-28</w:t>
            </w:r>
          </w:p>
        </w:tc>
        <w:tc>
          <w:tcPr>
            <w:tcW w:type="dxa" w:w="2814"/>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69"/>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66"/>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45</w:t>
            </w:r>
          </w:p>
        </w:tc>
        <w:tc>
          <w:tcPr>
            <w:tcW w:type="dxa" w:w="1539"/>
            <w:shd w:val="clear" w:color="auto" w:fill="FFFFFF"/>
            <w:vAlign w:val="center"/>
          </w:tcPr>
          <w:p>
            <w:pPr>
              <w:keepNext/>
              <w:spacing w:after="0"/>
              <w:jc w:val="center"/>
            </w:pPr>
            <w:r>
              <w:rPr>
                <w:rFonts w:ascii="Calibri" w:hAnsi="Calibri"/>
                <w:b w:val="0"/>
                <w:i w:val="0"/>
                <w:color w:val="222222"/>
                <w:sz w:val="20"/>
              </w:rPr>
              <w:t>2026-10-27/28</w:t>
            </w:r>
          </w:p>
        </w:tc>
        <w:tc>
          <w:tcPr>
            <w:tcW w:type="dxa" w:w="2814"/>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69"/>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66"/>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46</w:t>
            </w:r>
          </w:p>
        </w:tc>
        <w:tc>
          <w:tcPr>
            <w:tcW w:type="dxa" w:w="1539"/>
            <w:shd w:val="clear" w:color="auto" w:fill="F7F9FB"/>
            <w:vAlign w:val="center"/>
          </w:tcPr>
          <w:p>
            <w:pPr>
              <w:keepNext/>
              <w:spacing w:after="0"/>
              <w:jc w:val="center"/>
            </w:pPr>
            <w:r>
              <w:rPr>
                <w:rFonts w:ascii="Calibri" w:hAnsi="Calibri"/>
                <w:b w:val="0"/>
                <w:i w:val="0"/>
                <w:color w:val="222222"/>
                <w:sz w:val="20"/>
              </w:rPr>
              <w:t>2026-10-28</w:t>
            </w:r>
          </w:p>
        </w:tc>
        <w:tc>
          <w:tcPr>
            <w:tcW w:type="dxa" w:w="2814"/>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69"/>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66"/>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47</w:t>
            </w:r>
          </w:p>
        </w:tc>
        <w:tc>
          <w:tcPr>
            <w:tcW w:type="dxa" w:w="1539"/>
            <w:shd w:val="clear" w:color="auto" w:fill="FFFFFF"/>
            <w:vAlign w:val="center"/>
          </w:tcPr>
          <w:p>
            <w:pPr>
              <w:keepNext/>
              <w:spacing w:after="0"/>
              <w:jc w:val="center"/>
            </w:pPr>
            <w:r>
              <w:rPr>
                <w:rFonts w:ascii="Calibri" w:hAnsi="Calibri"/>
                <w:b w:val="0"/>
                <w:i w:val="0"/>
                <w:color w:val="222222"/>
                <w:sz w:val="20"/>
              </w:rPr>
              <w:t>2026-10-28</w:t>
            </w:r>
          </w:p>
        </w:tc>
        <w:tc>
          <w:tcPr>
            <w:tcW w:type="dxa" w:w="2814"/>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69"/>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66"/>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49</w:t>
            </w:r>
          </w:p>
        </w:tc>
        <w:tc>
          <w:tcPr>
            <w:tcW w:type="dxa" w:w="1539"/>
            <w:shd w:val="clear" w:color="auto" w:fill="F7F9FB"/>
            <w:vAlign w:val="center"/>
          </w:tcPr>
          <w:p>
            <w:pPr>
              <w:keepNext/>
              <w:spacing w:after="0"/>
              <w:jc w:val="center"/>
            </w:pPr>
            <w:r>
              <w:rPr>
                <w:rFonts w:ascii="Calibri" w:hAnsi="Calibri"/>
                <w:b w:val="0"/>
                <w:i w:val="0"/>
                <w:color w:val="222222"/>
                <w:sz w:val="20"/>
              </w:rPr>
              <w:t>2026-10-28</w:t>
            </w:r>
          </w:p>
        </w:tc>
        <w:tc>
          <w:tcPr>
            <w:tcW w:type="dxa" w:w="2814"/>
            <w:shd w:val="clear" w:color="auto" w:fill="F7F9FB"/>
            <w:vAlign w:val="center"/>
          </w:tcPr>
          <w:p>
            <w:pPr>
              <w:keepNext/>
              <w:spacing w:after="0"/>
            </w:pPr>
            <w:r>
              <w:rPr>
                <w:rFonts w:ascii="Calibri" w:hAnsi="Calibri"/>
                <w:b w:val="0"/>
                <w:i w:val="0"/>
                <w:color w:val="222222"/>
                <w:sz w:val="20"/>
              </w:rPr>
              <w:t>Settling or steady noise in the human iPSC split-half spread (D35)</w:t>
            </w:r>
          </w:p>
        </w:tc>
        <w:tc>
          <w:tcPr>
            <w:tcW w:type="dxa" w:w="2569"/>
            <w:shd w:val="clear" w:color="auto" w:fill="F7F9FB"/>
            <w:vAlign w:val="center"/>
          </w:tcPr>
          <w:p>
            <w:pPr>
              <w:keepNext/>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66"/>
            <w:shd w:val="clear" w:color="auto" w:fill="F7F9FB"/>
            <w:vAlign w:val="center"/>
          </w:tcPr>
          <w:p>
            <w:pPr>
              <w:keepNext/>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val="0"/>
              <w:spacing w:after="0"/>
              <w:jc w:val="center"/>
            </w:pPr>
            <w:r>
              <w:rPr>
                <w:rFonts w:ascii="Calibri" w:hAnsi="Calibri"/>
                <w:b/>
                <w:i w:val="0"/>
                <w:color w:val="222222"/>
                <w:sz w:val="20"/>
              </w:rPr>
              <w:t>50</w:t>
            </w:r>
          </w:p>
        </w:tc>
        <w:tc>
          <w:tcPr>
            <w:tcW w:type="dxa" w:w="1539"/>
            <w:shd w:val="clear" w:color="auto" w:fill="FFFFFF"/>
            <w:vAlign w:val="center"/>
          </w:tcPr>
          <w:p>
            <w:pPr>
              <w:keepNext w:val="0"/>
              <w:spacing w:after="0"/>
              <w:jc w:val="center"/>
            </w:pPr>
            <w:r>
              <w:rPr>
                <w:rFonts w:ascii="Calibri" w:hAnsi="Calibri"/>
                <w:b w:val="0"/>
                <w:i w:val="0"/>
                <w:color w:val="222222"/>
                <w:sz w:val="20"/>
              </w:rPr>
              <w:t>2026-10-28</w:t>
            </w:r>
          </w:p>
        </w:tc>
        <w:tc>
          <w:tcPr>
            <w:tcW w:type="dxa" w:w="2814"/>
            <w:shd w:val="clear" w:color="auto" w:fill="FFFFFF"/>
            <w:vAlign w:val="center"/>
          </w:tcPr>
          <w:p>
            <w:pPr>
              <w:keepNext w:val="0"/>
              <w:spacing w:after="0"/>
            </w:pPr>
            <w:r>
              <w:rPr>
                <w:rFonts w:ascii="Calibri" w:hAnsi="Calibri"/>
                <w:b w:val="0"/>
                <w:i w:val="0"/>
                <w:color w:val="222222"/>
                <w:sz w:val="20"/>
              </w:rPr>
              <w:t>Does early network bursting predict how an untreated human iPSC well settles? A registered replication on the developmental plates (D36)</w:t>
            </w:r>
          </w:p>
        </w:tc>
        <w:tc>
          <w:tcPr>
            <w:tcW w:type="dxa" w:w="2569"/>
            <w:shd w:val="clear" w:color="auto" w:fill="FFFFFF"/>
            <w:vAlign w:val="center"/>
          </w:tcPr>
          <w:p>
            <w:pPr>
              <w:keepNext w:val="0"/>
              <w:spacing w:after="0"/>
            </w:pPr>
            <w:r>
              <w:rPr>
                <w:rFonts w:ascii="Calibri" w:hAnsi="Calibri"/>
                <w:b w:val="0"/>
                <w:i w:val="0"/>
                <w:color w:val="222222"/>
                <w:sz w:val="20"/>
              </w:rPr>
              <w:t>1 of 3 registered predictions pass; the post hoc 48-well relation does not replicate (N1 fails), so stratifying human wells by baseline network bursting is not supported</w:t>
            </w:r>
          </w:p>
        </w:tc>
        <w:tc>
          <w:tcPr>
            <w:tcW w:type="dxa" w:w="1166"/>
            <w:shd w:val="clear" w:color="auto" w:fill="FFFFFF"/>
            <w:vAlign w:val="center"/>
          </w:tcPr>
          <w:p>
            <w:pPr>
              <w:keepNext w:val="0"/>
              <w:spacing w:after="0"/>
            </w:pPr>
            <w:r>
              <w:rPr>
                <w:rFonts w:ascii="Consolas" w:hAnsi="Consolas"/>
                <w:b w:val="0"/>
                <w:i w:val="0"/>
                <w:color w:val="222222"/>
                <w:sz w:val="18"/>
              </w:rPr>
              <w:t>f669016</w:t>
            </w:r>
            <w:r>
              <w:rPr>
                <w:rFonts w:ascii="Calibri" w:hAnsi="Calibri"/>
                <w:b w:val="0"/>
                <w:i w:val="0"/>
                <w:color w:val="222222"/>
                <w:sz w:val="20"/>
              </w:rPr>
              <w:t xml:space="preserve">, </w:t>
            </w:r>
            <w:r>
              <w:rPr>
                <w:rFonts w:ascii="Consolas" w:hAnsi="Consolas"/>
                <w:b w:val="0"/>
                <w:i w:val="0"/>
                <w:color w:val="222222"/>
                <w:sz w:val="18"/>
              </w:rPr>
              <w:t>d7ba7da</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46 registered studies here made 232 predictions: 105 passed, 88 failed, 38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41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50. Early network bursting does not predict how a human iPSC well settles, on independent plates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one 48-well plate, human iPSC wells with more network bursting in the first five minutes kept falling (post hoc rho −0.73); registered and retested on 144 recordings from the lab's developmental plates, the relation is gone (rho −0.06, interval −0.23 to 0.09), so a baseline network readout cannot yet be used to sort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replication (</w:t>
      </w:r>
      <w:r>
        <w:rPr>
          <w:rFonts w:ascii="Consolas" w:hAnsi="Consolas"/>
          <w:b w:val="0"/>
          <w:i w:val="0"/>
          <w:color w:val="222222"/>
          <w:sz w:val="19"/>
        </w:rPr>
        <w:t>src/neuromps/models/hpsc_network_state.py</w:t>
      </w:r>
      <w:r>
        <w:rPr>
          <w:rFonts w:ascii="Calibri" w:hAnsi="Calibri"/>
          <w:b w:val="0"/>
          <w:i w:val="0"/>
          <w:color w:val="222222"/>
          <w:sz w:val="21"/>
        </w:rPr>
        <w:t xml:space="preserve">, </w:t>
      </w:r>
      <w:r>
        <w:rPr>
          <w:rFonts w:ascii="Consolas" w:hAnsi="Consolas"/>
          <w:b w:val="0"/>
          <w:i w:val="0"/>
          <w:color w:val="222222"/>
          <w:sz w:val="19"/>
        </w:rPr>
        <w:t>preregistration/hpsc_network_state.json</w:t>
      </w:r>
      <w:r>
        <w:rPr>
          <w:rFonts w:ascii="Calibri" w:hAnsi="Calibri"/>
          <w:b w:val="0"/>
          <w:i w:val="0"/>
          <w:color w:val="222222"/>
          <w:sz w:val="21"/>
        </w:rPr>
        <w:t>, decision D36, report §36, "Registered replication") of a post hoc observation on entry 49's human wells. On D32's replication pool (the 12-well developmental plates, its usable untreated recordings), each 10-minute recording is cut into six windows; the first window's network-burst rate, synchrony and firing rate (the shared extractor) are set against the slope of the fixed-electrode log2 firing rate over the last five windows.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If early network state predicted settling, a lab could stratify human wells by it at baseline; a relation found by looking at one plate needed independent recordings first.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N1 fails: the human interval does not lie below 0. N2 passes (rat rho −0.06, −0.28 to 0.20), which with N1 failing means neither species shows the relation. N3 fails (rho(mfr0) − rho(nb0) 0.02).</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recording was scored; nb0 was zero in 44% of human recordings (registered limit 80%). Post hoc, over the human recordings with an early network burst, rho is −0.17, still with an interval reaching 0.</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age check: the human partial rho on DIV is −0.39, so the age flag is not raised; the per-DIV median, −0.06, does not agree, and human early bursting falls steeply with age. Neither is a registered test of a within-age relation.</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D36; </w:t>
      </w:r>
      <w:r>
        <w:rPr>
          <w:rFonts w:ascii="Consolas" w:hAnsi="Consolas"/>
          <w:b w:val="0"/>
          <w:i w:val="0"/>
          <w:color w:val="222222"/>
          <w:sz w:val="19"/>
        </w:rPr>
        <w:t>outputs/figures/hpsc_network_state_real.png</w:t>
      </w:r>
      <w:r>
        <w:rPr>
          <w:rFonts w:ascii="Calibri" w:hAnsi="Calibri"/>
          <w:b w:val="0"/>
          <w:i w:val="0"/>
          <w:color w:val="222222"/>
          <w:sz w:val="21"/>
        </w:rPr>
        <w:t xml:space="preserve">, </w:t>
      </w:r>
      <w:r>
        <w:rPr>
          <w:rFonts w:ascii="Consolas" w:hAnsi="Consolas"/>
          <w:b w:val="0"/>
          <w:i w:val="0"/>
          <w:color w:val="222222"/>
          <w:sz w:val="19"/>
        </w:rPr>
        <w:t>outputs/hpsc_network_state_REAL.json</w:t>
      </w:r>
      <w:r>
        <w:rPr>
          <w:rFonts w:ascii="Calibri" w:hAnsi="Calibri"/>
          <w:b w:val="0"/>
          <w:i w:val="0"/>
          <w:color w:val="222222"/>
          <w:sz w:val="21"/>
        </w:rPr>
        <w:t xml:space="preserve"> (with the per-recording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hpsc_network_state</w:t>
      </w:r>
      <w:r>
        <w:rPr>
          <w:rFonts w:ascii="Calibri" w:hAnsi="Calibri"/>
          <w:b w:val="0"/>
          <w:i w:val="0"/>
          <w:color w:val="222222"/>
          <w:sz w:val="21"/>
        </w:rPr>
        <w:t xml:space="preserve">; tests </w:t>
      </w:r>
      <w:r>
        <w:rPr>
          <w:rFonts w:ascii="Consolas" w:hAnsi="Consolas"/>
          <w:b w:val="0"/>
          <w:i w:val="0"/>
          <w:color w:val="222222"/>
          <w:sz w:val="19"/>
        </w:rPr>
        <w:t>tests/test_hpsc_network_state.py</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