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875"/>
        <w:gridCol w:w="2732"/>
        <w:gridCol w:w="2780"/>
        <w:gridCol w:w="1110"/>
      </w:tblGrid>
      <w:tr>
        <w:trPr>
          <w:cantSplit/>
          <w:tblHeader/>
        </w:trPr>
        <w:tc>
          <w:tcPr>
            <w:tcW w:type="dxa" w:w="1875"/>
            <w:shd w:val="clear" w:color="auto" w:fill="1F4E79"/>
            <w:vAlign w:val="center"/>
          </w:tcPr>
          <w:p>
            <w:pPr>
              <w:keepNext/>
              <w:spacing w:after="0"/>
            </w:pPr>
            <w:r>
              <w:rPr>
                <w:rFonts w:ascii="Calibri" w:hAnsi="Calibri"/>
                <w:b/>
                <w:i w:val="0"/>
                <w:color w:val="FFFFFF"/>
                <w:sz w:val="20"/>
              </w:rPr>
              <w:t>setting</w:t>
            </w:r>
          </w:p>
        </w:tc>
        <w:tc>
          <w:tcPr>
            <w:tcW w:type="dxa" w:w="2732"/>
            <w:shd w:val="clear" w:color="auto" w:fill="1F4E79"/>
            <w:vAlign w:val="center"/>
          </w:tcPr>
          <w:p>
            <w:pPr>
              <w:keepNext/>
              <w:spacing w:after="0"/>
            </w:pPr>
            <w:r>
              <w:rPr>
                <w:rFonts w:ascii="Calibri" w:hAnsi="Calibri"/>
                <w:b/>
                <w:i w:val="0"/>
                <w:color w:val="FFFFFF"/>
                <w:sz w:val="20"/>
              </w:rPr>
              <w:t>depositors (meaRtools, as stated)</w:t>
            </w:r>
          </w:p>
        </w:tc>
        <w:tc>
          <w:tcPr>
            <w:tcW w:type="dxa" w:w="2780"/>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110"/>
            <w:shd w:val="clear" w:color="auto" w:fill="1F4E79"/>
            <w:vAlign w:val="center"/>
          </w:tcPr>
          <w:p>
            <w:pPr>
              <w:keepNext/>
              <w:spacing w:after="0"/>
            </w:pPr>
            <w:r>
              <w:rPr>
                <w:rFonts w:ascii="Calibri" w:hAnsi="Calibri"/>
                <w:b/>
                <w:i w:val="0"/>
                <w:color w:val="FFFFFF"/>
                <w:sz w:val="20"/>
              </w:rPr>
              <w:t>ladder step</w:t>
            </w:r>
          </w:p>
        </w:tc>
      </w:tr>
      <w:tr>
        <w:trPr>
          <w:cantSplit/>
        </w:trPr>
        <w:tc>
          <w:tcPr>
            <w:tcW w:type="dxa" w:w="1875"/>
            <w:shd w:val="clear" w:color="auto" w:fill="FFFFFF"/>
            <w:vAlign w:val="center"/>
          </w:tcPr>
          <w:p>
            <w:pPr>
              <w:keepNext/>
              <w:spacing w:after="0"/>
            </w:pPr>
            <w:r>
              <w:rPr>
                <w:rFonts w:ascii="Calibri" w:hAnsi="Calibri"/>
                <w:b/>
                <w:i w:val="0"/>
                <w:color w:val="222222"/>
                <w:sz w:val="20"/>
              </w:rPr>
              <w:t>active electrode</w:t>
            </w:r>
          </w:p>
        </w:tc>
        <w:tc>
          <w:tcPr>
            <w:tcW w:type="dxa" w:w="2732"/>
            <w:shd w:val="clear" w:color="auto" w:fill="FFFFFF"/>
            <w:vAlign w:val="center"/>
          </w:tcPr>
          <w:p>
            <w:pPr>
              <w:keepNext/>
              <w:spacing w:after="0"/>
            </w:pPr>
            <w:r>
              <w:rPr>
                <w:rFonts w:ascii="Calibri" w:hAnsi="Calibri"/>
                <w:b w:val="0"/>
                <w:i w:val="0"/>
                <w:color w:val="222222"/>
                <w:sz w:val="20"/>
              </w:rPr>
              <w:t>more than 10 spikes/min</w:t>
            </w:r>
          </w:p>
        </w:tc>
        <w:tc>
          <w:tcPr>
            <w:tcW w:type="dxa" w:w="2780"/>
            <w:shd w:val="clear" w:color="auto" w:fill="FFFFFF"/>
            <w:vAlign w:val="center"/>
          </w:tcPr>
          <w:p>
            <w:pPr>
              <w:keepNext/>
              <w:spacing w:after="0"/>
            </w:pPr>
            <w:r>
              <w:rPr>
                <w:rFonts w:ascii="Calibri" w:hAnsi="Calibri"/>
                <w:b w:val="0"/>
                <w:i w:val="0"/>
                <w:color w:val="222222"/>
                <w:sz w:val="20"/>
              </w:rPr>
              <w:t>at least 5 spikes/min</w:t>
            </w:r>
          </w:p>
        </w:tc>
        <w:tc>
          <w:tcPr>
            <w:tcW w:type="dxa" w:w="1110"/>
            <w:shd w:val="clear" w:color="auto" w:fill="FFFFFF"/>
            <w:vAlign w:val="center"/>
          </w:tcPr>
          <w:p>
            <w:pPr>
              <w:keepNext/>
              <w:spacing w:after="0"/>
            </w:pPr>
            <w:r>
              <w:rPr>
                <w:rFonts w:ascii="Calibri" w:hAnsi="Calibri"/>
                <w:b w:val="0"/>
                <w:i w:val="0"/>
                <w:color w:val="222222"/>
                <w:sz w:val="20"/>
              </w:rPr>
              <w:t>S1</w:t>
            </w:r>
          </w:p>
        </w:tc>
      </w:tr>
      <w:tr>
        <w:trPr>
          <w:cantSplit/>
        </w:trPr>
        <w:tc>
          <w:tcPr>
            <w:tcW w:type="dxa" w:w="1875"/>
            <w:shd w:val="clear" w:color="auto" w:fill="F7F9FB"/>
            <w:vAlign w:val="center"/>
          </w:tcPr>
          <w:p>
            <w:pPr>
              <w:keepNext/>
              <w:spacing w:after="0"/>
            </w:pPr>
            <w:r>
              <w:rPr>
                <w:rFonts w:ascii="Calibri" w:hAnsi="Calibri"/>
                <w:b/>
                <w:i w:val="0"/>
                <w:color w:val="222222"/>
                <w:sz w:val="20"/>
              </w:rPr>
              <w:t>noisy electrodes</w:t>
            </w:r>
          </w:p>
        </w:tc>
        <w:tc>
          <w:tcPr>
            <w:tcW w:type="dxa" w:w="2732"/>
            <w:shd w:val="clear" w:color="auto" w:fill="F7F9FB"/>
            <w:vAlign w:val="center"/>
          </w:tcPr>
          <w:p>
            <w:pPr>
              <w:keepNext/>
              <w:spacing w:after="0"/>
            </w:pPr>
            <w:r>
              <w:rPr>
                <w:rFonts w:ascii="Calibri" w:hAnsi="Calibri"/>
                <w:b w:val="0"/>
                <w:i w:val="0"/>
                <w:color w:val="222222"/>
                <w:sz w:val="20"/>
              </w:rPr>
              <w:t>discarded</w:t>
            </w:r>
          </w:p>
        </w:tc>
        <w:tc>
          <w:tcPr>
            <w:tcW w:type="dxa" w:w="2780"/>
            <w:shd w:val="clear" w:color="auto" w:fill="F7F9FB"/>
            <w:vAlign w:val="center"/>
          </w:tcPr>
          <w:p>
            <w:pPr>
              <w:keepNext/>
              <w:spacing w:after="0"/>
            </w:pPr>
            <w:r>
              <w:rPr>
                <w:rFonts w:ascii="Calibri" w:hAnsi="Calibri"/>
                <w:b w:val="0"/>
                <w:i w:val="0"/>
                <w:color w:val="222222"/>
                <w:sz w:val="20"/>
              </w:rPr>
              <w:t>flagged, kept</w:t>
            </w:r>
          </w:p>
        </w:tc>
        <w:tc>
          <w:tcPr>
            <w:tcW w:type="dxa" w:w="1110"/>
            <w:shd w:val="clear" w:color="auto" w:fill="F7F9FB"/>
            <w:vAlign w:val="center"/>
          </w:tcPr>
          <w:p>
            <w:pPr>
              <w:keepNext/>
              <w:spacing w:after="0"/>
            </w:pPr>
            <w:r>
              <w:rPr>
                <w:rFonts w:ascii="Calibri" w:hAnsi="Calibri"/>
                <w:b w:val="0"/>
                <w:i w:val="0"/>
                <w:color w:val="222222"/>
                <w:sz w:val="20"/>
              </w:rPr>
              <w:t>S2</w:t>
            </w:r>
          </w:p>
        </w:tc>
      </w:tr>
      <w:tr>
        <w:trPr>
          <w:cantSplit/>
        </w:trPr>
        <w:tc>
          <w:tcPr>
            <w:tcW w:type="dxa" w:w="1875"/>
            <w:shd w:val="clear" w:color="auto" w:fill="FFFFFF"/>
            <w:vAlign w:val="center"/>
          </w:tcPr>
          <w:p>
            <w:pPr>
              <w:keepNext/>
              <w:spacing w:after="0"/>
            </w:pPr>
            <w:r>
              <w:rPr>
                <w:rFonts w:ascii="Calibri" w:hAnsi="Calibri"/>
                <w:b/>
                <w:i w:val="0"/>
                <w:color w:val="222222"/>
                <w:sz w:val="20"/>
              </w:rPr>
              <w:t>burst rate divided by</w:t>
            </w:r>
          </w:p>
        </w:tc>
        <w:tc>
          <w:tcPr>
            <w:tcW w:type="dxa" w:w="2732"/>
            <w:shd w:val="clear" w:color="auto" w:fill="FFFFFF"/>
            <w:vAlign w:val="center"/>
          </w:tcPr>
          <w:p>
            <w:pPr>
              <w:keepNext/>
              <w:spacing w:after="0"/>
            </w:pPr>
            <w:r>
              <w:rPr>
                <w:rFonts w:ascii="Calibri" w:hAnsi="Calibri"/>
                <w:b w:val="0"/>
                <w:i w:val="0"/>
                <w:color w:val="222222"/>
                <w:sz w:val="20"/>
              </w:rPr>
              <w:t>electrodes that burst</w:t>
            </w:r>
          </w:p>
        </w:tc>
        <w:tc>
          <w:tcPr>
            <w:tcW w:type="dxa" w:w="2780"/>
            <w:shd w:val="clear" w:color="auto" w:fill="FFFFFF"/>
            <w:vAlign w:val="center"/>
          </w:tcPr>
          <w:p>
            <w:pPr>
              <w:keepNext/>
              <w:spacing w:after="0"/>
            </w:pPr>
            <w:r>
              <w:rPr>
                <w:rFonts w:ascii="Calibri" w:hAnsi="Calibri"/>
                <w:b w:val="0"/>
                <w:i w:val="0"/>
                <w:color w:val="222222"/>
                <w:sz w:val="20"/>
              </w:rPr>
              <w:t>every active electrode</w:t>
            </w:r>
          </w:p>
        </w:tc>
        <w:tc>
          <w:tcPr>
            <w:tcW w:type="dxa" w:w="1110"/>
            <w:shd w:val="clear" w:color="auto" w:fill="FFFFFF"/>
            <w:vAlign w:val="center"/>
          </w:tcPr>
          <w:p>
            <w:pPr>
              <w:keepNext/>
              <w:spacing w:after="0"/>
            </w:pPr>
            <w:r>
              <w:rPr>
                <w:rFonts w:ascii="Calibri" w:hAnsi="Calibri"/>
                <w:b w:val="0"/>
                <w:i w:val="0"/>
                <w:color w:val="222222"/>
                <w:sz w:val="20"/>
              </w:rPr>
              <w:t>S3</w:t>
            </w:r>
          </w:p>
        </w:tc>
      </w:tr>
      <w:tr>
        <w:trPr>
          <w:cantSplit/>
        </w:trPr>
        <w:tc>
          <w:tcPr>
            <w:tcW w:type="dxa" w:w="1875"/>
            <w:shd w:val="clear" w:color="auto" w:fill="F7F9FB"/>
            <w:vAlign w:val="center"/>
          </w:tcPr>
          <w:p>
            <w:pPr>
              <w:keepNext/>
              <w:spacing w:after="0"/>
            </w:pPr>
            <w:r>
              <w:rPr>
                <w:rFonts w:ascii="Calibri" w:hAnsi="Calibri"/>
                <w:b/>
                <w:i w:val="0"/>
                <w:color w:val="222222"/>
                <w:sz w:val="20"/>
              </w:rPr>
              <w:t>burst detector</w:t>
            </w:r>
          </w:p>
        </w:tc>
        <w:tc>
          <w:tcPr>
            <w:tcW w:type="dxa" w:w="2732"/>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780"/>
            <w:shd w:val="clear" w:color="auto" w:fill="F7F9FB"/>
            <w:vAlign w:val="center"/>
          </w:tcPr>
          <w:p>
            <w:pPr>
              <w:keepNext/>
              <w:spacing w:after="0"/>
            </w:pPr>
            <w:r>
              <w:rPr>
                <w:rFonts w:ascii="Calibri" w:hAnsi="Calibri"/>
                <w:b w:val="0"/>
                <w:i w:val="0"/>
                <w:color w:val="222222"/>
                <w:sz w:val="20"/>
              </w:rPr>
              <w:t>fixed: ISI ≤ 100 ms</w:t>
            </w:r>
          </w:p>
        </w:tc>
        <w:tc>
          <w:tcPr>
            <w:tcW w:type="dxa" w:w="1110"/>
            <w:shd w:val="clear" w:color="auto" w:fill="F7F9FB"/>
            <w:vAlign w:val="center"/>
          </w:tcPr>
          <w:p>
            <w:pPr>
              <w:keepNext/>
              <w:spacing w:after="0"/>
            </w:pPr>
            <w:r>
              <w:rPr>
                <w:rFonts w:ascii="Calibri" w:hAnsi="Calibri"/>
                <w:b w:val="0"/>
                <w:i w:val="0"/>
                <w:color w:val="222222"/>
                <w:sz w:val="20"/>
              </w:rPr>
              <w:t>not tested</w:t>
            </w:r>
          </w:p>
        </w:tc>
      </w:tr>
      <w:tr>
        <w:trPr>
          <w:cantSplit/>
        </w:trPr>
        <w:tc>
          <w:tcPr>
            <w:tcW w:type="dxa" w:w="1875"/>
            <w:shd w:val="clear" w:color="auto" w:fill="FFFFFF"/>
            <w:vAlign w:val="center"/>
          </w:tcPr>
          <w:p>
            <w:pPr>
              <w:keepNext/>
              <w:spacing w:after="0"/>
            </w:pPr>
            <w:r>
              <w:rPr>
                <w:rFonts w:ascii="Calibri" w:hAnsi="Calibri"/>
                <w:b/>
                <w:i w:val="0"/>
                <w:color w:val="222222"/>
                <w:sz w:val="20"/>
              </w:rPr>
              <w:t>minimum spikes per burst</w:t>
            </w:r>
          </w:p>
        </w:tc>
        <w:tc>
          <w:tcPr>
            <w:tcW w:type="dxa" w:w="2732"/>
            <w:shd w:val="clear" w:color="auto" w:fill="FFFFFF"/>
            <w:vAlign w:val="center"/>
          </w:tcPr>
          <w:p>
            <w:pPr>
              <w:keepNext/>
              <w:spacing w:after="0"/>
              <w:jc w:val="center"/>
            </w:pPr>
            <w:r>
              <w:rPr>
                <w:rFonts w:ascii="Calibri" w:hAnsi="Calibri"/>
                <w:b w:val="0"/>
                <w:i w:val="0"/>
                <w:color w:val="222222"/>
                <w:sz w:val="20"/>
              </w:rPr>
              <w:t>5</w:t>
            </w:r>
          </w:p>
        </w:tc>
        <w:tc>
          <w:tcPr>
            <w:tcW w:type="dxa" w:w="2780"/>
            <w:shd w:val="clear" w:color="auto" w:fill="FFFFFF"/>
            <w:vAlign w:val="center"/>
          </w:tcPr>
          <w:p>
            <w:pPr>
              <w:keepNext/>
              <w:spacing w:after="0"/>
              <w:jc w:val="center"/>
            </w:pPr>
            <w:r>
              <w:rPr>
                <w:rFonts w:ascii="Calibri" w:hAnsi="Calibri"/>
                <w:b w:val="0"/>
                <w:i w:val="0"/>
                <w:color w:val="222222"/>
                <w:sz w:val="20"/>
              </w:rPr>
              <w:t>5</w:t>
            </w:r>
          </w:p>
        </w:tc>
        <w:tc>
          <w:tcPr>
            <w:tcW w:type="dxa" w:w="1110"/>
            <w:shd w:val="clear" w:color="auto" w:fill="FFFFFF"/>
            <w:vAlign w:val="center"/>
          </w:tcPr>
          <w:p>
            <w:pPr>
              <w:keepNext/>
              <w:spacing w:after="0"/>
            </w:pPr>
            <w:r>
              <w:rPr>
                <w:rFonts w:ascii="Calibri" w:hAnsi="Calibri"/>
                <w:b w:val="0"/>
                <w:i w:val="0"/>
                <w:color w:val="222222"/>
                <w:sz w:val="20"/>
              </w:rPr>
              <w:t>same</w:t>
            </w:r>
          </w:p>
        </w:tc>
      </w:tr>
      <w:tr>
        <w:trPr>
          <w:cantSplit/>
        </w:trPr>
        <w:tc>
          <w:tcPr>
            <w:tcW w:type="dxa" w:w="1875"/>
            <w:shd w:val="clear" w:color="auto" w:fill="F7F9FB"/>
            <w:vAlign w:val="center"/>
          </w:tcPr>
          <w:p>
            <w:pPr>
              <w:keepNext w:val="0"/>
              <w:spacing w:after="0"/>
            </w:pPr>
            <w:r>
              <w:rPr>
                <w:rFonts w:ascii="Calibri" w:hAnsi="Calibri"/>
                <w:b/>
                <w:i w:val="0"/>
                <w:color w:val="222222"/>
                <w:sz w:val="20"/>
              </w:rPr>
              <w:t>STTC window</w:t>
            </w:r>
          </w:p>
        </w:tc>
        <w:tc>
          <w:tcPr>
            <w:tcW w:type="dxa" w:w="2732"/>
            <w:shd w:val="clear" w:color="auto" w:fill="F7F9FB"/>
            <w:vAlign w:val="center"/>
          </w:tcPr>
          <w:p>
            <w:pPr>
              <w:keepNext w:val="0"/>
              <w:spacing w:after="0"/>
            </w:pPr>
            <w:r>
              <w:rPr>
                <w:rFonts w:ascii="Calibri" w:hAnsi="Calibri"/>
                <w:b w:val="0"/>
                <w:i w:val="0"/>
                <w:color w:val="222222"/>
                <w:sz w:val="20"/>
              </w:rPr>
              <w:t>50 ms</w:t>
            </w:r>
          </w:p>
        </w:tc>
        <w:tc>
          <w:tcPr>
            <w:tcW w:type="dxa" w:w="2780"/>
            <w:shd w:val="clear" w:color="auto" w:fill="F7F9FB"/>
            <w:vAlign w:val="center"/>
          </w:tcPr>
          <w:p>
            <w:pPr>
              <w:keepNext w:val="0"/>
              <w:spacing w:after="0"/>
            </w:pPr>
            <w:r>
              <w:rPr>
                <w:rFonts w:ascii="Calibri" w:hAnsi="Calibri"/>
                <w:b w:val="0"/>
                <w:i w:val="0"/>
                <w:color w:val="222222"/>
                <w:sz w:val="20"/>
              </w:rPr>
              <w:t>50 ms</w:t>
            </w:r>
          </w:p>
        </w:tc>
        <w:tc>
          <w:tcPr>
            <w:tcW w:type="dxa" w:w="1110"/>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What remains is the detector, which we did not change: burst duration stays at a pooled ratio of 0.8208 and spikes per burst at 0.9433 at S3.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probably under-detects loose bursts in hPSC recordings, which is where the burst-duration difference sits. A reader pooling our features with meaRtools output should convert, or recompute, rather than mix them.</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4" name="Picture 4"/>
            <wp:cNvGraphicFramePr>
              <a:graphicFrameLocks noChangeAspect="1"/>
            </wp:cNvGraphicFramePr>
            <a:graphic>
              <a:graphicData uri="http://schemas.openxmlformats.org/drawingml/2006/picture">
                <pic:pic>
                  <pic:nvPicPr>
                    <pic:cNvPr id="0" name="mechanism_classifier_real.png"/>
                    <pic:cNvPicPr/>
                  </pic:nvPicPr>
                  <pic:blipFill>
                    <a:blip r:embed="rId16"/>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5" name="Picture 5"/>
            <wp:cNvGraphicFramePr>
              <a:graphicFrameLocks noChangeAspect="1"/>
            </wp:cNvGraphicFramePr>
            <a:graphic>
              <a:graphicData uri="http://schemas.openxmlformats.org/drawingml/2006/picture">
                <pic:pic>
                  <pic:nvPicPr>
                    <pic:cNvPr id="0" name="mechanism_confusion.png"/>
                    <pic:cNvPicPr/>
                  </pic:nvPicPr>
                  <pic:blipFill>
                    <a:blip r:embed="rId17"/>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6" name="Picture 6"/>
            <wp:cNvGraphicFramePr>
              <a:graphicFrameLocks noChangeAspect="1"/>
            </wp:cNvGraphicFramePr>
            <a:graphic>
              <a:graphicData uri="http://schemas.openxmlformats.org/drawingml/2006/picture">
                <pic:pic>
                  <pic:nvPicPr>
                    <pic:cNvPr id="0" name="species_shift.png"/>
                    <pic:cNvPicPr/>
                  </pic:nvPicPr>
                  <pic:blipFill>
                    <a:blip r:embed="rId18"/>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7" name="Picture 7"/>
            <wp:cNvGraphicFramePr>
              <a:graphicFrameLocks noChangeAspect="1"/>
            </wp:cNvGraphicFramePr>
            <a:graphic>
              <a:graphicData uri="http://schemas.openxmlformats.org/drawingml/2006/picture">
                <pic:pic>
                  <pic:nvPicPr>
                    <pic:cNvPr id="0" name="baseline_species_comparison.png"/>
                    <pic:cNvPicPr/>
                  </pic:nvPicPr>
                  <pic:blipFill>
                    <a:blip r:embed="rId19"/>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8" name="Picture 8"/>
            <wp:cNvGraphicFramePr>
              <a:graphicFrameLocks noChangeAspect="1"/>
            </wp:cNvGraphicFramePr>
            <a:graphic>
              <a:graphicData uri="http://schemas.openxmlformats.org/drawingml/2006/picture">
                <pic:pic>
                  <pic:nvPicPr>
                    <pic:cNvPr id="0" name="platform_contrast_gabaa_antagonist.png"/>
                    <pic:cNvPicPr/>
                  </pic:nvPicPr>
                  <pic:blipFill>
                    <a:blip r:embed="rId20"/>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9" name="Picture 9"/>
            <wp:cNvGraphicFramePr>
              <a:graphicFrameLocks noChangeAspect="1"/>
            </wp:cNvGraphicFramePr>
            <a:graphic>
              <a:graphicData uri="http://schemas.openxmlformats.org/drawingml/2006/picture">
                <pic:pic>
                  <pic:nvPicPr>
                    <pic:cNvPr id="0" name="twin_architecture_simulated.png"/>
                    <pic:cNvPicPr/>
                  </pic:nvPicPr>
                  <pic:blipFill>
                    <a:blip r:embed="rId21"/>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0" name="Picture 10"/>
            <wp:cNvGraphicFramePr>
              <a:graphicFrameLocks noChangeAspect="1"/>
            </wp:cNvGraphicFramePr>
            <a:graphic>
              <a:graphicData uri="http://schemas.openxmlformats.org/drawingml/2006/picture">
                <pic:pic>
                  <pic:nvPicPr>
                    <pic:cNvPr id="0" name="hd12_calibration_simulated.png"/>
                    <pic:cNvPicPr/>
                  </pic:nvPicPr>
                  <pic:blipFill>
                    <a:blip r:embed="rId22"/>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1" name="Picture 11"/>
            <wp:cNvGraphicFramePr>
              <a:graphicFrameLocks noChangeAspect="1"/>
            </wp:cNvGraphicFramePr>
            <a:graphic>
              <a:graphicData uri="http://schemas.openxmlformats.org/drawingml/2006/picture">
                <pic:pic>
                  <pic:nvPicPr>
                    <pic:cNvPr id="0" name="hd13_drug_knob_validation_simulated.png"/>
                    <pic:cNvPicPr/>
                  </pic:nvPicPr>
                  <pic:blipFill>
                    <a:blip r:embed="rId23"/>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2" name="Picture 12"/>
            <wp:cNvGraphicFramePr>
              <a:graphicFrameLocks noChangeAspect="1"/>
            </wp:cNvGraphicFramePr>
            <a:graphic>
              <a:graphicData uri="http://schemas.openxmlformats.org/drawingml/2006/picture">
                <pic:pic>
                  <pic:nvPicPr>
                    <pic:cNvPr id="0" name="compartment_lag_by_device_type.png"/>
                    <pic:cNvPicPr/>
                  </pic:nvPicPr>
                  <pic:blipFill>
                    <a:blip r:embed="rId24"/>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3" name="Picture 13"/>
            <wp:cNvGraphicFramePr>
              <a:graphicFrameLocks noChangeAspect="1"/>
            </wp:cNvGraphicFramePr>
            <a:graphic>
              <a:graphicData uri="http://schemas.openxmlformats.org/drawingml/2006/picture">
                <pic:pic>
                  <pic:nvPicPr>
                    <pic:cNvPr id="0" name="axonal_flow_vs_chamber.png"/>
                    <pic:cNvPicPr/>
                  </pic:nvPicPr>
                  <pic:blipFill>
                    <a:blip r:embed="rId25"/>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4" name="Picture 14"/>
            <wp:cNvGraphicFramePr>
              <a:graphicFrameLocks noChangeAspect="1"/>
            </wp:cNvGraphicFramePr>
            <a:graphic>
              <a:graphicData uri="http://schemas.openxmlformats.org/drawingml/2006/picture">
                <pic:pic>
                  <pic:nvPicPr>
                    <pic:cNvPr id="0" name="inference_network_simulated.png"/>
                    <pic:cNvPicPr/>
                  </pic:nvPicPr>
                  <pic:blipFill>
                    <a:blip r:embed="rId26"/>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5" name="Picture 15"/>
            <wp:cNvGraphicFramePr>
              <a:graphicFrameLocks noChangeAspect="1"/>
            </wp:cNvGraphicFramePr>
            <a:graphic>
              <a:graphicData uri="http://schemas.openxmlformats.org/drawingml/2006/picture">
                <pic:pic>
                  <pic:nvPicPr>
                    <pic:cNvPr id="0" name="depression_under_block_simulated.png"/>
                    <pic:cNvPicPr/>
                  </pic:nvPicPr>
                  <pic:blipFill>
                    <a:blip r:embed="rId27"/>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46 studies made 232 registered predictions, of which 105 passed, 88 failed and 38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45 registrations, 41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6" name="Picture 16"/>
            <wp:cNvGraphicFramePr>
              <a:graphicFrameLocks noChangeAspect="1"/>
            </wp:cNvGraphicFramePr>
            <a:graphic>
              <a:graphicData uri="http://schemas.openxmlformats.org/drawingml/2006/picture">
                <pic:pic>
                  <pic:nvPicPr>
                    <pic:cNvPr id="0" name="fly_chip_to_animal_dose_SIMULATED.png"/>
                    <pic:cNvPicPr/>
                  </pic:nvPicPr>
                  <pic:blipFill>
                    <a:blip r:embed="rId28"/>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7" name="Picture 17"/>
            <wp:cNvGraphicFramePr>
              <a:graphicFrameLocks noChangeAspect="1"/>
            </wp:cNvGraphicFramePr>
            <a:graphic>
              <a:graphicData uri="http://schemas.openxmlformats.org/drawingml/2006/picture">
                <pic:pic>
                  <pic:nvPicPr>
                    <pic:cNvPr id="0" name="fly_sentinel_ladder_SIMULATED.png"/>
                    <pic:cNvPicPr/>
                  </pic:nvPicPr>
                  <pic:blipFill>
                    <a:blip r:embed="rId29"/>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8" name="Picture 18"/>
            <wp:cNvGraphicFramePr>
              <a:graphicFrameLocks noChangeAspect="1"/>
            </wp:cNvGraphicFramePr>
            <a:graphic>
              <a:graphicData uri="http://schemas.openxmlformats.org/drawingml/2006/picture">
                <pic:pic>
                  <pic:nvPicPr>
                    <pic:cNvPr id="0" name="fly_output_tract_SIMULATED.png"/>
                    <pic:cNvPicPr/>
                  </pic:nvPicPr>
                  <pic:blipFill>
                    <a:blip r:embed="rId30"/>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9" name="Picture 19"/>
            <wp:cNvGraphicFramePr>
              <a:graphicFrameLocks noChangeAspect="1"/>
            </wp:cNvGraphicFramePr>
            <a:graphic>
              <a:graphicData uri="http://schemas.openxmlformats.org/drawingml/2006/picture">
                <pic:pic>
                  <pic:nvPicPr>
                    <pic:cNvPr id="0" name="fly_direction_SIMULATED.png"/>
                    <pic:cNvPicPr/>
                  </pic:nvPicPr>
                  <pic:blipFill>
                    <a:blip r:embed="rId31"/>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0" name="Picture 20"/>
            <wp:cNvGraphicFramePr>
              <a:graphicFrameLocks noChangeAspect="1"/>
            </wp:cNvGraphicFramePr>
            <a:graphic>
              <a:graphicData uri="http://schemas.openxmlformats.org/drawingml/2006/picture">
                <pic:pic>
                  <pic:nvPicPr>
                    <pic:cNvPr id="0" name="fly_motor_onsets_SIMULATED.png"/>
                    <pic:cNvPicPr/>
                  </pic:nvPicPr>
                  <pic:blipFill>
                    <a:blip r:embed="rId32"/>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1" name="Picture 21"/>
            <wp:cNvGraphicFramePr>
              <a:graphicFrameLocks noChangeAspect="1"/>
            </wp:cNvGraphicFramePr>
            <a:graphic>
              <a:graphicData uri="http://schemas.openxmlformats.org/drawingml/2006/picture">
                <pic:pic>
                  <pic:nvPicPr>
                    <pic:cNvPr id="0" name="fly_motor_tie_break_SIMULATED.png"/>
                    <pic:cNvPicPr/>
                  </pic:nvPicPr>
                  <pic:blipFill>
                    <a:blip r:embed="rId33"/>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2" name="Picture 22"/>
            <wp:cNvGraphicFramePr>
              <a:graphicFrameLocks noChangeAspect="1"/>
            </wp:cNvGraphicFramePr>
            <a:graphic>
              <a:graphicData uri="http://schemas.openxmlformats.org/drawingml/2006/picture">
                <pic:pic>
                  <pic:nvPicPr>
                    <pic:cNvPr id="0" name="toxcast_noise_floors_real.png"/>
                    <pic:cNvPicPr/>
                  </pic:nvPicPr>
                  <pic:blipFill>
                    <a:blip r:embed="rId34"/>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3" name="Picture 23"/>
            <wp:cNvGraphicFramePr>
              <a:graphicFrameLocks noChangeAspect="1"/>
            </wp:cNvGraphicFramePr>
            <a:graphic>
              <a:graphicData uri="http://schemas.openxmlformats.org/drawingml/2006/picture">
                <pic:pic>
                  <pic:nvPicPr>
                    <pic:cNvPr id="0" name="twin_toxcast_positive_controls.png"/>
                    <pic:cNvPicPr/>
                  </pic:nvPicPr>
                  <pic:blipFill>
                    <a:blip r:embed="rId35"/>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4" name="Picture 24"/>
            <wp:cNvGraphicFramePr>
              <a:graphicFrameLocks noChangeAspect="1"/>
            </wp:cNvGraphicFramePr>
            <a:graphic>
              <a:graphicData uri="http://schemas.openxmlformats.org/drawingml/2006/picture">
                <pic:pic>
                  <pic:nvPicPr>
                    <pic:cNvPr id="0" name="twin_toxcast_dose_response.png"/>
                    <pic:cNvPicPr/>
                  </pic:nvPicPr>
                  <pic:blipFill>
                    <a:blip r:embed="rId36"/>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5" name="Picture 25"/>
            <wp:cNvGraphicFramePr>
              <a:graphicFrameLocks noChangeAspect="1"/>
            </wp:cNvGraphicFramePr>
            <a:graphic>
              <a:graphicData uri="http://schemas.openxmlformats.org/drawingml/2006/picture">
                <pic:pic>
                  <pic:nvPicPr>
                    <pic:cNvPr id="0" name="hpsc_split_half_real.png"/>
                    <pic:cNvPicPr/>
                  </pic:nvPicPr>
                  <pic:blipFill>
                    <a:blip r:embed="rId37"/>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6" name="Picture 26"/>
            <wp:cNvGraphicFramePr>
              <a:graphicFrameLocks noChangeAspect="1"/>
            </wp:cNvGraphicFramePr>
            <a:graphic>
              <a:graphicData uri="http://schemas.openxmlformats.org/drawingml/2006/picture">
                <pic:pic>
                  <pic:nvPicPr>
                    <pic:cNvPr id="0" name="hpsc_settling_real.png"/>
                    <pic:cNvPicPr/>
                  </pic:nvPicPr>
                  <pic:blipFill>
                    <a:blip r:embed="rId38"/>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keepNext/>
        <w:spacing w:before="240" w:after="60"/>
      </w:pPr>
      <w:r>
        <w:rPr>
          <w:rFonts w:ascii="Calibri" w:hAnsi="Calibri"/>
          <w:b/>
          <w:i w:val="0"/>
          <w:color w:val="1F4E79"/>
          <w:sz w:val="23"/>
        </w:rPr>
        <w:t>Registered replication: does early network bursting predict how a human well settles?</w:t>
      </w:r>
    </w:p>
    <w:p>
      <w:pPr>
        <w:spacing w:after="120"/>
      </w:pPr>
      <w:r>
        <w:rPr>
          <w:rFonts w:ascii="Calibri" w:hAnsi="Calibri"/>
          <w:b/>
          <w:i w:val="0"/>
          <w:color w:val="156082"/>
          <w:sz w:val="21"/>
        </w:rPr>
        <w:t>The post hoc observation.</w:t>
      </w:r>
      <w:r>
        <w:rPr>
          <w:rFonts w:ascii="Calibri" w:hAnsi="Calibri"/>
          <w:b w:val="0"/>
          <w:i w:val="0"/>
          <w:color w:val="222222"/>
          <w:sz w:val="21"/>
        </w:rPr>
        <w:t xml:space="preserve"> Looking again at the follow-up's human wells, after its results were in, we saw two settling behaviours: some wells keep falling after the first five minutes, others recover. Across the 24 human wells, the network-burst rate in the first 5-minute window (nb0, from the same extractor) tracked the later trend (late_b, the slope of the log2 firing rate over the last five of the six windows): Spearman rho −0.73 (well-bootstrap interval −0.90 to −0.42); first-window synchrony less so (−0.49), and first-window firing rate not at all (−0.02). In the 38 rat wells none of the three did (0.17, 0.12, −0.04). These numbers are recomputed by the module and labelled post hoc there; they come from one plate per species at one age, found by looking, so they are a hypothesis, not a result.</w:t>
      </w:r>
    </w:p>
    <w:p>
      <w:pPr>
        <w:keepNext/>
        <w:spacing w:after="120"/>
      </w:pPr>
      <w:r>
        <w:rPr>
          <w:rFonts w:ascii="Calibri" w:hAnsi="Calibri"/>
          <w:b/>
          <w:i w:val="0"/>
          <w:color w:val="156082"/>
          <w:sz w:val="21"/>
        </w:rPr>
        <w:t>The registered test.</w:t>
      </w:r>
      <w:r>
        <w:rPr>
          <w:rFonts w:ascii="Calibri" w:hAnsi="Calibri"/>
          <w:b w:val="0"/>
          <w:i w:val="0"/>
          <w:color w:val="222222"/>
          <w:sz w:val="21"/>
        </w:rPr>
        <w:t xml:space="preserve"> Before any windowed feature was computed on the lab's 12-well developmental plates, we registered a replication on them (decision D36, </w:t>
      </w:r>
      <w:r>
        <w:rPr>
          <w:rFonts w:ascii="Consolas" w:hAnsi="Consolas"/>
          <w:b w:val="0"/>
          <w:i w:val="0"/>
          <w:color w:val="222222"/>
          <w:sz w:val="19"/>
        </w:rPr>
        <w:t>preregistration/hpsc_network_state.json</w:t>
      </w:r>
      <w:r>
        <w:rPr>
          <w:rFonts w:ascii="Calibri" w:hAnsi="Calibri"/>
          <w:b w:val="0"/>
          <w:i w:val="0"/>
          <w:color w:val="222222"/>
          <w:sz w:val="21"/>
        </w:rPr>
        <w:t>; code and tests committed before the real-data run). The pool is D32's replication pool exactly: its usable untreated recordings, 144 human recordings from 12 wells (DIV28 to 66) and 58 rat recordings from 12 wells (DIV21 to 35). Each 10-minute recording is cut into six equal windows; nb0, sync0 and mfr0 are the extractor's features on the first window alone, and late_b is the slope over the last five windows of the follow-up's fixed-electrode log2 rate. The statistic is Spearman rho pooled across ages within a species, with a 95% interval from resampling whole wells. Every recording was scored; nb0 was zero (no network burst in the first 100 seconds) in 44% of human recordings, below the registered limit.</w:t>
      </w:r>
    </w:p>
    <w:p>
      <w:pPr>
        <w:keepNext/>
        <w:spacing w:before="120" w:after="40"/>
        <w:jc w:val="center"/>
      </w:pPr>
      <w:r>
        <w:drawing>
          <wp:inline xmlns:a="http://schemas.openxmlformats.org/drawingml/2006/main" xmlns:pic="http://schemas.openxmlformats.org/drawingml/2006/picture">
            <wp:extent cx="5394960" cy="1505444"/>
            <wp:docPr id="27" name="Picture 27"/>
            <wp:cNvGraphicFramePr>
              <a:graphicFrameLocks noChangeAspect="1"/>
            </wp:cNvGraphicFramePr>
            <a:graphic>
              <a:graphicData uri="http://schemas.openxmlformats.org/drawingml/2006/picture">
                <pic:pic>
                  <pic:nvPicPr>
                    <pic:cNvPr id="0" name="hpsc_network_state_real.png"/>
                    <pic:cNvPicPr/>
                  </pic:nvPicPr>
                  <pic:blipFill>
                    <a:blip r:embed="rId39"/>
                    <a:stretch>
                      <a:fillRect/>
                    </a:stretch>
                  </pic:blipFill>
                  <pic:spPr>
                    <a:xfrm>
                      <a:off x="0" y="0"/>
                      <a:ext cx="5394960" cy="1505444"/>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REAL data, Kapucu 2022, one lab, untreated wells. Each point is one recording: its network-burst rate in the first window (nb0) against the slope of its log2 firing rate over the later five windows (late_b). Left two panels: the registered replication on the 12-well developmental plates (100-second windows), coloured by plate. Right two panels: the post hoc observation on the 48-well baselines (5-minute windows), one recording per well.</w:t>
      </w:r>
    </w:p>
    <w:p>
      <w:pPr>
        <w:spacing w:after="120"/>
      </w:pPr>
      <w:r>
        <w:rPr>
          <w:rFonts w:ascii="Calibri" w:hAnsi="Calibri"/>
          <w:b/>
          <w:i w:val="0"/>
          <w:color w:val="156082"/>
          <w:sz w:val="21"/>
        </w:rPr>
        <w:t>One of the three registered predictions passes; the one that carried the idea fails.</w:t>
      </w:r>
    </w:p>
    <w:p>
      <w:pPr>
        <w:spacing w:after="120"/>
        <w:ind w:left="432" w:hanging="259"/>
      </w:pPr>
      <w:r>
        <w:rPr>
          <w:rFonts w:ascii="Calibri" w:hAnsi="Calibri"/>
          <w:b w:val="0"/>
          <w:i w:val="0"/>
          <w:color w:val="222222"/>
          <w:sz w:val="21"/>
        </w:rPr>
        <w:t>•</w:t>
        <w:tab/>
      </w:r>
      <w:r>
        <w:rPr>
          <w:rFonts w:ascii="Calibri" w:hAnsi="Calibri"/>
          <w:b/>
          <w:i w:val="0"/>
          <w:color w:val="156082"/>
          <w:sz w:val="21"/>
        </w:rPr>
        <w:t>N1 (more early network bursting goes with a more negative later trend, human) fails.</w:t>
      </w:r>
      <w:r>
        <w:rPr>
          <w:rFonts w:ascii="Calibri" w:hAnsi="Calibri"/>
          <w:b w:val="0"/>
          <w:i w:val="0"/>
          <w:color w:val="222222"/>
          <w:sz w:val="21"/>
        </w:rPr>
        <w:t xml:space="preserve"> rho −0.06, 95% interval −0.23 to 0.09, which does not lie below 0.</w:t>
      </w:r>
    </w:p>
    <w:p>
      <w:pPr>
        <w:spacing w:after="120"/>
        <w:ind w:left="432" w:hanging="259"/>
      </w:pPr>
      <w:r>
        <w:rPr>
          <w:rFonts w:ascii="Calibri" w:hAnsi="Calibri"/>
          <w:b w:val="0"/>
          <w:i w:val="0"/>
          <w:color w:val="222222"/>
          <w:sz w:val="21"/>
        </w:rPr>
        <w:t>•</w:t>
        <w:tab/>
      </w:r>
      <w:r>
        <w:rPr>
          <w:rFonts w:ascii="Calibri" w:hAnsi="Calibri"/>
          <w:b/>
          <w:i w:val="0"/>
          <w:color w:val="156082"/>
          <w:sz w:val="21"/>
        </w:rPr>
        <w:t>N2 (no such relation in rat) passes.</w:t>
      </w:r>
      <w:r>
        <w:rPr>
          <w:rFonts w:ascii="Calibri" w:hAnsi="Calibri"/>
          <w:b w:val="0"/>
          <w:i w:val="0"/>
          <w:color w:val="222222"/>
          <w:sz w:val="21"/>
        </w:rPr>
        <w:t xml:space="preserve"> rho −0.06 (−0.28 to 0.20). With N1 failing, this pass says only that neither species shows the relation on these plates.</w:t>
      </w:r>
    </w:p>
    <w:p>
      <w:pPr>
        <w:spacing w:after="120"/>
        <w:ind w:left="432" w:hanging="259"/>
      </w:pPr>
      <w:r>
        <w:rPr>
          <w:rFonts w:ascii="Calibri" w:hAnsi="Calibri"/>
          <w:b w:val="0"/>
          <w:i w:val="0"/>
          <w:color w:val="222222"/>
          <w:sz w:val="21"/>
        </w:rPr>
        <w:t>•</w:t>
        <w:tab/>
      </w:r>
      <w:r>
        <w:rPr>
          <w:rFonts w:ascii="Calibri" w:hAnsi="Calibri"/>
          <w:b/>
          <w:i w:val="0"/>
          <w:color w:val="156082"/>
          <w:sz w:val="21"/>
        </w:rPr>
        <w:t>N3 (network state predicts the trend better than firing rate, human) fails.</w:t>
      </w:r>
      <w:r>
        <w:rPr>
          <w:rFonts w:ascii="Calibri" w:hAnsi="Calibri"/>
          <w:b w:val="0"/>
          <w:i w:val="0"/>
          <w:color w:val="222222"/>
          <w:sz w:val="21"/>
        </w:rPr>
        <w:t xml:space="preserve"> rho(mfr0) − rho(nb0) is 0.02 (−0.09 to 0.11): in these recordings neither early readout tracks the later trend.</w:t>
      </w:r>
    </w:p>
    <w:p>
      <w:pPr>
        <w:spacing w:after="120"/>
      </w:pPr>
      <w:r>
        <w:rPr>
          <w:rFonts w:ascii="Calibri" w:hAnsi="Calibri"/>
          <w:b w:val="0"/>
          <w:i w:val="0"/>
          <w:color w:val="222222"/>
          <w:sz w:val="21"/>
        </w:rPr>
        <w:t>Reported and not tested: first-window synchrony goes weakly with a more negative trend in human recordings (rho −0.17, −0.34 to −0.01) and more clearly in rat (−0.37, −0.57 to −0.13), where the early firing rate does too (−0.41). We did not predict these, and read them as leads at most. Most human developmental recordings fall over the later windows (a share of 0.85 with a negative late_b, against 0.58 on the 48-well baseline), so the "two behaviours" of the baseline plate are not as clear here.</w:t>
      </w:r>
    </w:p>
    <w:p>
      <w:pPr>
        <w:spacing w:after="120"/>
      </w:pPr>
      <w:r>
        <w:rPr>
          <w:rFonts w:ascii="Calibri" w:hAnsi="Calibri"/>
          <w:b/>
          <w:i w:val="0"/>
          <w:color w:val="156082"/>
          <w:sz w:val="21"/>
        </w:rPr>
        <w:t>The registered age check, and what it does and does not say.</w:t>
      </w:r>
      <w:r>
        <w:rPr>
          <w:rFonts w:ascii="Calibri" w:hAnsi="Calibri"/>
          <w:b w:val="0"/>
          <w:i w:val="0"/>
          <w:color w:val="222222"/>
          <w:sz w:val="21"/>
        </w:rPr>
        <w:t xml:space="preserve"> Network bursting and settling could both change with culture age, so the registration asked for rho after regressing the ranks of both on DIV, and for the median of the per-DIV rhos. In human recordings the partial rho is −0.39, not above the registered −0.1, so the age flag is not raised; the per-DIV median is −0.06, with 6 of 11 scored ages negative. The two disagree. Descriptively (added after the run), human first-window bursting falls steeply with age (rank correlation with DIV −0.83), so a linear adjustment for age can reveal a within-age relation that the pooled rho hides, or create one if the age pattern is not linear; the per-DIV rhos, which need no such model, do not show a consistent relation. In rat the partial rho is 0.06. A second post hoc reading asks whether the many zero nb0 values hide the relation: over the 81 human recordings with at least one early network burst, rho is −0.17 (−0.34 to 0.00), far weaker than the baseline plate's −0.73 and with an interval reaching 0.</w:t>
      </w:r>
    </w:p>
    <w:p>
      <w:pPr>
        <w:spacing w:after="120"/>
      </w:pPr>
      <w:r>
        <w:rPr>
          <w:rFonts w:ascii="Calibri" w:hAnsi="Calibri"/>
          <w:b/>
          <w:i w:val="0"/>
          <w:color w:val="156082"/>
          <w:sz w:val="21"/>
        </w:rPr>
        <w:t>What it means for a lab.</w:t>
      </w:r>
      <w:r>
        <w:rPr>
          <w:rFonts w:ascii="Calibri" w:hAnsi="Calibri"/>
          <w:b w:val="0"/>
          <w:i w:val="0"/>
          <w:color w:val="222222"/>
          <w:sz w:val="21"/>
        </w:rPr>
        <w:t xml:space="preserve"> The registered replication does not support stratifying human iPSC wells by their baseline network bursting to predict how they will settle: on independent recordings from the same lab the relation seen on one 48-well plate did not hold. The baseline observation stays a hypothesis tied to one plate, one age and 5-minute windows; the developmental recordings are shorter (windows a third as long, in which nearly half the human recordings had no network burst at all) and span many ages, and either difference could matter. Testing it again would need 30-minute untreated recordings of more human plates at matched ages. The practical reading of the follow-up is unchanged: human wells differ in how they settle, and we cannot yet say from a baseline readout which wells will settle which way.</w:t>
      </w:r>
    </w:p>
    <w:p>
      <w:pPr>
        <w:spacing w:after="120"/>
      </w:pPr>
      <w:r>
        <w:rPr>
          <w:rFonts w:ascii="Calibri" w:hAnsi="Calibri"/>
          <w:b/>
          <w:i w:val="0"/>
          <w:color w:val="156082"/>
          <w:sz w:val="21"/>
        </w:rPr>
        <w:t>Implementation notes.</w:t>
      </w:r>
      <w:r>
        <w:rPr>
          <w:rFonts w:ascii="Calibri" w:hAnsi="Calibri"/>
          <w:b w:val="0"/>
          <w:i w:val="0"/>
          <w:color w:val="222222"/>
          <w:sz w:val="21"/>
        </w:rPr>
        <w:t xml:space="preserve"> Recorded under </w:t>
      </w:r>
      <w:r>
        <w:rPr>
          <w:rFonts w:ascii="Consolas" w:hAnsi="Consolas"/>
          <w:b w:val="0"/>
          <w:i w:val="0"/>
          <w:color w:val="222222"/>
          <w:sz w:val="19"/>
        </w:rPr>
        <w:t>hpsc_network_state.implementation_notes</w:t>
      </w:r>
      <w:r>
        <w:rPr>
          <w:rFonts w:ascii="Calibri" w:hAnsi="Calibri"/>
          <w:b w:val="0"/>
          <w:i w:val="0"/>
          <w:color w:val="222222"/>
          <w:sz w:val="21"/>
        </w:rPr>
        <w:t>: the recordings are D32's usable replication rows, read from its results file; window 0 is t &lt; duration/6 (an edge spike starts the next window) and goes to the extractor alone, with that window's own active rule; late_b uses the follow-up's electrode set, rate and floor, fitted on the last five windows against the window index; each species' interval draws whole wells from a fresh generator with the registered seed, and the three rhos and the N3 difference come from the same draws; "below 0" and "above 0" are strict; "fewer than 30 scored recordings from at least 8 wells" is read as either count falling short; the partial rho regresses average ranks on an intercept and DIV; per-DIV rhos pool both human plates at a shared age. Before the code was committed, a timing check computed first-window features on one rat developmental file and printed one well's values; no trend or correlation was computed before the commit. A quick run scores only the post hoc pool (the developmental plates are in the full tier), and N1 to N3 are then uninterpretable.</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8" name="Picture 28"/>
            <wp:cNvGraphicFramePr>
              <a:graphicFrameLocks noChangeAspect="1"/>
            </wp:cNvGraphicFramePr>
            <a:graphic>
              <a:graphicData uri="http://schemas.openxmlformats.org/drawingml/2006/picture">
                <pic:pic>
                  <pic:nvPicPr>
                    <pic:cNvPr id="0" name="hd14_posterior_ranks_simulated.png"/>
                    <pic:cNvPicPr/>
                  </pic:nvPicPr>
                  <pic:blipFill>
                    <a:blip r:embed="rId40"/>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29" name="Picture 29"/>
            <wp:cNvGraphicFramePr>
              <a:graphicFrameLocks noChangeAspect="1"/>
            </wp:cNvGraphicFramePr>
            <a:graphic>
              <a:graphicData uri="http://schemas.openxmlformats.org/drawingml/2006/picture">
                <pic:pic>
                  <pic:nvPicPr>
                    <pic:cNvPr id="0" name="hd14b_recalibration_simulated.png"/>
                    <pic:cNvPicPr/>
                  </pic:nvPicPr>
                  <pic:blipFill>
                    <a:blip r:embed="rId41"/>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30" name="Picture 30"/>
            <wp:cNvGraphicFramePr>
              <a:graphicFrameLocks noChangeAspect="1"/>
            </wp:cNvGraphicFramePr>
            <a:graphic>
              <a:graphicData uri="http://schemas.openxmlformats.org/drawingml/2006/picture">
                <pic:pic>
                  <pic:nvPicPr>
                    <pic:cNvPr id="0" name="microchannel_asymmetry_real.png"/>
                    <pic:cNvPicPr/>
                  </pic:nvPicPr>
                  <pic:blipFill>
                    <a:blip r:embed="rId42"/>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30.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