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two more.</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On the same spike files, our extractor and the depositors' published meaRtools output differ more than twofold in burst rate (§3), the kind of divergence that pooling published summary tables would hide. A post hoc rerun of our extractor under their stated settings traces it to the human iPSC plates and mainly to the burst-rate denominator: dividing by the electrodes that burst rather than by every active one moves the pooled ratio from 0.4423 to 0.9087.</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p>
      <w:pPr>
        <w:spacing w:after="120"/>
        <w:ind w:left="432" w:hanging="259"/>
      </w:pPr>
      <w:r>
        <w:rPr>
          <w:rFonts w:ascii="Calibri" w:hAnsi="Calibri"/>
          <w:b w:val="0"/>
          <w:i w:val="0"/>
          <w:color w:val="222222"/>
          <w:sz w:val="21"/>
        </w:rPr>
        <w:t>•</w:t>
        <w:tab/>
      </w:r>
      <w:r>
        <w:rPr>
          <w:rFonts w:ascii="Calibri" w:hAnsi="Calibri"/>
          <w:b/>
          <w:i w:val="0"/>
          <w:color w:val="156082"/>
          <w:sz w:val="21"/>
        </w:rPr>
        <w:t>What a real screen's untreated wells say (Act IX, added after the first round).</w:t>
      </w:r>
      <w:r>
        <w:rPr>
          <w:rFonts w:ascii="Calibri" w:hAnsi="Calibri"/>
          <w:b w:val="0"/>
          <w:i w:val="0"/>
          <w:color w:val="222222"/>
          <w:sz w:val="21"/>
        </w:rPr>
        <w:t xml:space="preserve"> From the EPA's well-level database we measured how much an untreated well moves on its own, for each of 15 MEA readouts. Over 714 vehicle wells, firing rate drifts by a median of −32% during exposure and the exposure day carries 0.42 of its variance. A one-day experiment judged against a historical reference therefore cannot see even a halving of firing rate, while 32 wells spread over days, or 32 treated and as many vehicle wells on one day, see a fall of a fifth (§32, with a table for every readout). On the screen's own positive controls, from a laboratory the twin never saw, the twin's knobs agree on 12 of 12 scored directions, though a rule that simply follows firing rate does as well (§33). Put to the harder test — does the knob grid reproduce the </w:t>
      </w:r>
      <w:r>
        <w:rPr>
          <w:rFonts w:ascii="Calibri" w:hAnsi="Calibri"/>
          <w:b w:val="0"/>
          <w:i/>
          <w:color w:val="222222"/>
          <w:sz w:val="21"/>
        </w:rPr>
        <w:t>shape</w:t>
      </w:r>
      <w:r>
        <w:rPr>
          <w:rFonts w:ascii="Calibri" w:hAnsi="Calibri"/>
          <w:b w:val="0"/>
          <w:i w:val="0"/>
          <w:color w:val="222222"/>
          <w:sz w:val="21"/>
        </w:rPr>
        <w:t xml:space="preserve"> of real concentration-response curves? — 2 of 4 registered predictions pass: the twin beats a wrong-mechanism knob by 0.47 in rank correlation and names the first-moving readout for 8 of 11 compounds, but fewer than half its curves clear the registered line and the firing-rate rule is again ahead (§35).</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spacing w:after="0"/>
            </w:pPr>
            <w:r>
              <w:rPr>
                <w:rFonts w:ascii="Calibri" w:hAnsi="Calibri"/>
                <w:b/>
                <w:i w:val="0"/>
                <w:color w:val="222222"/>
                <w:sz w:val="20"/>
              </w:rPr>
              <w:t>ACT IX: What a real screen's untreated wells say (after round 1)</w:t>
            </w:r>
          </w:p>
        </w:tc>
        <w:tc>
          <w:tcPr>
            <w:tcW w:type="dxa" w:w="5437"/>
            <w:shd w:val="clear" w:color="auto" w:fill="FFFFFF"/>
            <w:vAlign w:val="center"/>
          </w:tcPr>
          <w:p>
            <w:pPr>
              <w:keepNext/>
              <w:spacing w:after="0"/>
            </w:pPr>
            <w:r>
              <w:rPr>
                <w:rFonts w:ascii="Calibri" w:hAnsi="Calibri"/>
                <w:b w:val="0"/>
                <w:i w:val="0"/>
                <w:color w:val="222222"/>
                <w:sz w:val="20"/>
              </w:rPr>
              <w:t>32. How large a change can a chip see? The noise floor, per feature</w:t>
            </w:r>
          </w:p>
          <w:p>
            <w:pPr>
              <w:keepNext/>
              <w:spacing w:after="0"/>
            </w:pPr>
            <w:r>
              <w:rPr>
                <w:rFonts w:ascii="Calibri" w:hAnsi="Calibri"/>
                <w:b w:val="0"/>
                <w:i w:val="0"/>
                <w:color w:val="222222"/>
                <w:sz w:val="20"/>
              </w:rPr>
              <w:t>33. The twin meets a laboratory it has never seen</w:t>
            </w:r>
          </w:p>
          <w:p>
            <w:pPr>
              <w:keepNext/>
              <w:spacing w:after="0"/>
            </w:pPr>
            <w:r>
              <w:rPr>
                <w:rFonts w:ascii="Calibri" w:hAnsi="Calibri"/>
                <w:b w:val="0"/>
                <w:i w:val="0"/>
                <w:color w:val="222222"/>
                <w:sz w:val="20"/>
              </w:rPr>
              <w:t>34. A quality-control rule for chip screens, from §32</w:t>
            </w:r>
          </w:p>
          <w:p>
            <w:pPr>
              <w:keepNext/>
              <w:spacing w:after="0"/>
            </w:pPr>
            <w:r>
              <w:rPr>
                <w:rFonts w:ascii="Calibri" w:hAnsi="Calibri"/>
                <w:b w:val="0"/>
                <w:i w:val="0"/>
                <w:color w:val="222222"/>
                <w:sz w:val="20"/>
              </w:rPr>
              <w:t>35. The dose response: the twin's knob grid against real concentration-response curves</w:t>
            </w:r>
          </w:p>
          <w:p>
            <w:pPr>
              <w:keepNext/>
              <w:spacing w:after="0"/>
            </w:pPr>
            <w:r>
              <w:rPr>
                <w:rFonts w:ascii="Calibri" w:hAnsi="Calibri"/>
                <w:b w:val="0"/>
                <w:i w:val="0"/>
                <w:color w:val="222222"/>
                <w:sz w:val="20"/>
              </w:rPr>
              <w:t>36. Is a human iPSC chip noisier than a rat one? Split-half noise from one lab</w:t>
            </w:r>
          </w:p>
        </w:tc>
      </w:tr>
      <w:tr>
        <w:trPr>
          <w:cantSplit/>
        </w:trPr>
        <w:tc>
          <w:tcPr>
            <w:tcW w:type="dxa" w:w="3059"/>
            <w:shd w:val="clear" w:color="auto" w:fill="F7F9FB"/>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7F9FB"/>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meaRtools output the depositors published, REAL recordings. One panel per feature: our value (vertical) against their published value (horizontal) for each well and DIV, coloured by plate; the dashed line is equality. Only </w:t>
      </w:r>
      <w:r>
        <w:rPr>
          <w:rFonts w:ascii="Consolas" w:hAnsi="Consolas"/>
          <w:b w:val="0"/>
          <w:i/>
          <w:color w:val="222222"/>
          <w:sz w:val="15"/>
        </w:rPr>
        <w:t>pct_spikes_in_bursts</w:t>
      </w:r>
      <w:r>
        <w:rPr>
          <w:rFonts w:ascii="Calibri" w:hAnsi="Calibri"/>
          <w:b w:val="0"/>
          <w:i/>
          <w:color w:val="222222"/>
          <w:sz w:val="17"/>
        </w:rPr>
        <w:t xml:space="preserve"> lands on equality; burst rate differs about twofold.</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after="120"/>
      </w:pPr>
      <w:r>
        <w:rPr>
          <w:rFonts w:ascii="Calibri" w:hAnsi="Calibri"/>
          <w:b/>
          <w:i w:val="0"/>
          <w:color w:val="156082"/>
          <w:sz w:val="21"/>
        </w:rPr>
        <w:t>Where the difference comes from (post hoc).</w:t>
      </w:r>
      <w:r>
        <w:rPr>
          <w:rFonts w:ascii="Calibri" w:hAnsi="Calibri"/>
          <w:b w:val="0"/>
          <w:i w:val="0"/>
          <w:color w:val="222222"/>
          <w:sz w:val="21"/>
        </w:rPr>
        <w:t xml:space="preserve"> The comparison above runs our extractor on the depositors' spike files and sets it beside the output they published; it does not rerun meaRtools. To find out which choices separate the two, we reran our own extractor with the depositors' stated settings (Kapucu et al. 2022, Methods) switched on one at a time. This is post hoc: a scratch analysis showed the result before the code in </w:t>
      </w:r>
      <w:r>
        <w:rPr>
          <w:rFonts w:ascii="Consolas" w:hAnsi="Consolas"/>
          <w:b w:val="0"/>
          <w:i w:val="0"/>
          <w:color w:val="222222"/>
          <w:sz w:val="19"/>
        </w:rPr>
        <w:t>models/extractor_ladder.py</w:t>
      </w:r>
      <w:r>
        <w:rPr>
          <w:rFonts w:ascii="Calibri" w:hAnsi="Calibri"/>
          <w:b w:val="0"/>
          <w:i w:val="0"/>
          <w:color w:val="222222"/>
          <w:sz w:val="21"/>
        </w:rPr>
        <w:t xml:space="preserve"> was written, so it is labelled exploratory and is not registered.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36"/>
        <w:gridCol w:w="2437"/>
        <w:gridCol w:w="2632"/>
        <w:gridCol w:w="1691"/>
      </w:tblGrid>
      <w:tr>
        <w:trPr>
          <w:cantSplit/>
          <w:tblHeader/>
        </w:trPr>
        <w:tc>
          <w:tcPr>
            <w:tcW w:type="dxa" w:w="1736"/>
            <w:shd w:val="clear" w:color="auto" w:fill="1F4E79"/>
            <w:vAlign w:val="center"/>
          </w:tcPr>
          <w:p>
            <w:pPr>
              <w:keepNext/>
              <w:spacing w:after="0"/>
            </w:pPr>
            <w:r>
              <w:rPr>
                <w:rFonts w:ascii="Calibri" w:hAnsi="Calibri"/>
                <w:b/>
                <w:i w:val="0"/>
                <w:color w:val="FFFFFF"/>
                <w:sz w:val="20"/>
              </w:rPr>
              <w:t>setting</w:t>
            </w:r>
          </w:p>
        </w:tc>
        <w:tc>
          <w:tcPr>
            <w:tcW w:type="dxa" w:w="2437"/>
            <w:shd w:val="clear" w:color="auto" w:fill="1F4E79"/>
            <w:vAlign w:val="center"/>
          </w:tcPr>
          <w:p>
            <w:pPr>
              <w:keepNext/>
              <w:spacing w:after="0"/>
            </w:pPr>
            <w:r>
              <w:rPr>
                <w:rFonts w:ascii="Calibri" w:hAnsi="Calibri"/>
                <w:b/>
                <w:i w:val="0"/>
                <w:color w:val="FFFFFF"/>
                <w:sz w:val="20"/>
              </w:rPr>
              <w:t>depositors (meaRtools, as stated)</w:t>
            </w:r>
          </w:p>
        </w:tc>
        <w:tc>
          <w:tcPr>
            <w:tcW w:type="dxa" w:w="2632"/>
            <w:shd w:val="clear" w:color="auto" w:fill="1F4E79"/>
            <w:vAlign w:val="center"/>
          </w:tcPr>
          <w:p>
            <w:pPr>
              <w:keepNext/>
              <w:spacing w:after="0"/>
            </w:pPr>
            <w:r>
              <w:rPr>
                <w:rFonts w:ascii="Calibri" w:hAnsi="Calibri"/>
                <w:b/>
                <w:i w:val="0"/>
                <w:color w:val="FFFFFF"/>
                <w:sz w:val="20"/>
              </w:rPr>
              <w:t>ours (</w:t>
            </w:r>
            <w:r>
              <w:rPr>
                <w:rFonts w:ascii="Consolas" w:hAnsi="Consolas"/>
                <w:b/>
                <w:i w:val="0"/>
                <w:color w:val="FFFFFF"/>
                <w:sz w:val="18"/>
              </w:rPr>
              <w:t>features/mea.py</w:t>
            </w:r>
            <w:r>
              <w:rPr>
                <w:rFonts w:ascii="Calibri" w:hAnsi="Calibri"/>
                <w:b/>
                <w:i w:val="0"/>
                <w:color w:val="FFFFFF"/>
                <w:sz w:val="20"/>
              </w:rPr>
              <w:t>)</w:t>
            </w:r>
          </w:p>
        </w:tc>
        <w:tc>
          <w:tcPr>
            <w:tcW w:type="dxa" w:w="1691"/>
            <w:shd w:val="clear" w:color="auto" w:fill="1F4E79"/>
            <w:vAlign w:val="center"/>
          </w:tcPr>
          <w:p>
            <w:pPr>
              <w:keepNext/>
              <w:spacing w:after="0"/>
            </w:pPr>
            <w:r>
              <w:rPr>
                <w:rFonts w:ascii="Calibri" w:hAnsi="Calibri"/>
                <w:b/>
                <w:i w:val="0"/>
                <w:color w:val="FFFFFF"/>
                <w:sz w:val="20"/>
              </w:rPr>
              <w:t>ladder step</w:t>
            </w:r>
          </w:p>
        </w:tc>
      </w:tr>
      <w:tr>
        <w:trPr>
          <w:cantSplit/>
        </w:trPr>
        <w:tc>
          <w:tcPr>
            <w:tcW w:type="dxa" w:w="1736"/>
            <w:shd w:val="clear" w:color="auto" w:fill="FFFFFF"/>
            <w:vAlign w:val="center"/>
          </w:tcPr>
          <w:p>
            <w:pPr>
              <w:keepNext/>
              <w:spacing w:after="0"/>
            </w:pPr>
            <w:r>
              <w:rPr>
                <w:rFonts w:ascii="Calibri" w:hAnsi="Calibri"/>
                <w:b/>
                <w:i w:val="0"/>
                <w:color w:val="222222"/>
                <w:sz w:val="20"/>
              </w:rPr>
              <w:t>active electrode</w:t>
            </w:r>
          </w:p>
        </w:tc>
        <w:tc>
          <w:tcPr>
            <w:tcW w:type="dxa" w:w="2437"/>
            <w:shd w:val="clear" w:color="auto" w:fill="FFFFFF"/>
            <w:vAlign w:val="center"/>
          </w:tcPr>
          <w:p>
            <w:pPr>
              <w:keepNext/>
              <w:spacing w:after="0"/>
            </w:pPr>
            <w:r>
              <w:rPr>
                <w:rFonts w:ascii="Calibri" w:hAnsi="Calibri"/>
                <w:b w:val="0"/>
                <w:i w:val="0"/>
                <w:color w:val="222222"/>
                <w:sz w:val="20"/>
              </w:rPr>
              <w:t>more than 10 spikes/min</w:t>
            </w:r>
          </w:p>
        </w:tc>
        <w:tc>
          <w:tcPr>
            <w:tcW w:type="dxa" w:w="2632"/>
            <w:shd w:val="clear" w:color="auto" w:fill="FFFFFF"/>
            <w:vAlign w:val="center"/>
          </w:tcPr>
          <w:p>
            <w:pPr>
              <w:keepNext/>
              <w:spacing w:after="0"/>
            </w:pPr>
            <w:r>
              <w:rPr>
                <w:rFonts w:ascii="Calibri" w:hAnsi="Calibri"/>
                <w:b w:val="0"/>
                <w:i w:val="0"/>
                <w:color w:val="222222"/>
                <w:sz w:val="20"/>
              </w:rPr>
              <w:t>at least 5 spikes/min</w:t>
            </w:r>
          </w:p>
        </w:tc>
        <w:tc>
          <w:tcPr>
            <w:tcW w:type="dxa" w:w="1691"/>
            <w:shd w:val="clear" w:color="auto" w:fill="FFFFFF"/>
            <w:vAlign w:val="center"/>
          </w:tcPr>
          <w:p>
            <w:pPr>
              <w:keepNext/>
              <w:spacing w:after="0"/>
            </w:pPr>
            <w:r>
              <w:rPr>
                <w:rFonts w:ascii="Calibri" w:hAnsi="Calibri"/>
                <w:b w:val="0"/>
                <w:i w:val="0"/>
                <w:color w:val="222222"/>
                <w:sz w:val="20"/>
              </w:rPr>
              <w:t>S1</w:t>
            </w:r>
          </w:p>
        </w:tc>
      </w:tr>
      <w:tr>
        <w:trPr>
          <w:cantSplit/>
        </w:trPr>
        <w:tc>
          <w:tcPr>
            <w:tcW w:type="dxa" w:w="1736"/>
            <w:shd w:val="clear" w:color="auto" w:fill="F7F9FB"/>
            <w:vAlign w:val="center"/>
          </w:tcPr>
          <w:p>
            <w:pPr>
              <w:keepNext/>
              <w:spacing w:after="0"/>
            </w:pPr>
            <w:r>
              <w:rPr>
                <w:rFonts w:ascii="Calibri" w:hAnsi="Calibri"/>
                <w:b/>
                <w:i w:val="0"/>
                <w:color w:val="222222"/>
                <w:sz w:val="20"/>
              </w:rPr>
              <w:t>noisy electrodes</w:t>
            </w:r>
          </w:p>
        </w:tc>
        <w:tc>
          <w:tcPr>
            <w:tcW w:type="dxa" w:w="2437"/>
            <w:shd w:val="clear" w:color="auto" w:fill="F7F9FB"/>
            <w:vAlign w:val="center"/>
          </w:tcPr>
          <w:p>
            <w:pPr>
              <w:keepNext/>
              <w:spacing w:after="0"/>
            </w:pPr>
            <w:r>
              <w:rPr>
                <w:rFonts w:ascii="Calibri" w:hAnsi="Calibri"/>
                <w:b w:val="0"/>
                <w:i w:val="0"/>
                <w:color w:val="222222"/>
                <w:sz w:val="20"/>
              </w:rPr>
              <w:t>discarded</w:t>
            </w:r>
          </w:p>
        </w:tc>
        <w:tc>
          <w:tcPr>
            <w:tcW w:type="dxa" w:w="2632"/>
            <w:shd w:val="clear" w:color="auto" w:fill="F7F9FB"/>
            <w:vAlign w:val="center"/>
          </w:tcPr>
          <w:p>
            <w:pPr>
              <w:keepNext/>
              <w:spacing w:after="0"/>
            </w:pPr>
            <w:r>
              <w:rPr>
                <w:rFonts w:ascii="Calibri" w:hAnsi="Calibri"/>
                <w:b w:val="0"/>
                <w:i w:val="0"/>
                <w:color w:val="222222"/>
                <w:sz w:val="20"/>
              </w:rPr>
              <w:t>flagged, kept</w:t>
            </w:r>
          </w:p>
        </w:tc>
        <w:tc>
          <w:tcPr>
            <w:tcW w:type="dxa" w:w="1691"/>
            <w:shd w:val="clear" w:color="auto" w:fill="F7F9FB"/>
            <w:vAlign w:val="center"/>
          </w:tcPr>
          <w:p>
            <w:pPr>
              <w:keepNext/>
              <w:spacing w:after="0"/>
            </w:pPr>
            <w:r>
              <w:rPr>
                <w:rFonts w:ascii="Calibri" w:hAnsi="Calibri"/>
                <w:b w:val="0"/>
                <w:i w:val="0"/>
                <w:color w:val="222222"/>
                <w:sz w:val="20"/>
              </w:rPr>
              <w:t>S2</w:t>
            </w:r>
          </w:p>
        </w:tc>
      </w:tr>
      <w:tr>
        <w:trPr>
          <w:cantSplit/>
        </w:trPr>
        <w:tc>
          <w:tcPr>
            <w:tcW w:type="dxa" w:w="1736"/>
            <w:shd w:val="clear" w:color="auto" w:fill="FFFFFF"/>
            <w:vAlign w:val="center"/>
          </w:tcPr>
          <w:p>
            <w:pPr>
              <w:keepNext/>
              <w:spacing w:after="0"/>
            </w:pPr>
            <w:r>
              <w:rPr>
                <w:rFonts w:ascii="Calibri" w:hAnsi="Calibri"/>
                <w:b/>
                <w:i w:val="0"/>
                <w:color w:val="222222"/>
                <w:sz w:val="20"/>
              </w:rPr>
              <w:t>burst rate divided by</w:t>
            </w:r>
          </w:p>
        </w:tc>
        <w:tc>
          <w:tcPr>
            <w:tcW w:type="dxa" w:w="2437"/>
            <w:shd w:val="clear" w:color="auto" w:fill="FFFFFF"/>
            <w:vAlign w:val="center"/>
          </w:tcPr>
          <w:p>
            <w:pPr>
              <w:keepNext/>
              <w:spacing w:after="0"/>
            </w:pPr>
            <w:r>
              <w:rPr>
                <w:rFonts w:ascii="Calibri" w:hAnsi="Calibri"/>
                <w:b w:val="0"/>
                <w:i w:val="0"/>
                <w:color w:val="222222"/>
                <w:sz w:val="20"/>
              </w:rPr>
              <w:t>electrodes that burst</w:t>
            </w:r>
          </w:p>
        </w:tc>
        <w:tc>
          <w:tcPr>
            <w:tcW w:type="dxa" w:w="2632"/>
            <w:shd w:val="clear" w:color="auto" w:fill="FFFFFF"/>
            <w:vAlign w:val="center"/>
          </w:tcPr>
          <w:p>
            <w:pPr>
              <w:keepNext/>
              <w:spacing w:after="0"/>
            </w:pPr>
            <w:r>
              <w:rPr>
                <w:rFonts w:ascii="Calibri" w:hAnsi="Calibri"/>
                <w:b w:val="0"/>
                <w:i w:val="0"/>
                <w:color w:val="222222"/>
                <w:sz w:val="20"/>
              </w:rPr>
              <w:t>every active electrode</w:t>
            </w:r>
          </w:p>
        </w:tc>
        <w:tc>
          <w:tcPr>
            <w:tcW w:type="dxa" w:w="1691"/>
            <w:shd w:val="clear" w:color="auto" w:fill="FFFFFF"/>
            <w:vAlign w:val="center"/>
          </w:tcPr>
          <w:p>
            <w:pPr>
              <w:keepNext/>
              <w:spacing w:after="0"/>
            </w:pPr>
            <w:r>
              <w:rPr>
                <w:rFonts w:ascii="Calibri" w:hAnsi="Calibri"/>
                <w:b w:val="0"/>
                <w:i w:val="0"/>
                <w:color w:val="222222"/>
                <w:sz w:val="20"/>
              </w:rPr>
              <w:t>S3</w:t>
            </w:r>
          </w:p>
        </w:tc>
      </w:tr>
      <w:tr>
        <w:trPr>
          <w:cantSplit/>
        </w:trPr>
        <w:tc>
          <w:tcPr>
            <w:tcW w:type="dxa" w:w="1736"/>
            <w:shd w:val="clear" w:color="auto" w:fill="F7F9FB"/>
            <w:vAlign w:val="center"/>
          </w:tcPr>
          <w:p>
            <w:pPr>
              <w:keepNext/>
              <w:spacing w:after="0"/>
            </w:pPr>
            <w:r>
              <w:rPr>
                <w:rFonts w:ascii="Calibri" w:hAnsi="Calibri"/>
                <w:b/>
                <w:i w:val="0"/>
                <w:color w:val="222222"/>
                <w:sz w:val="20"/>
              </w:rPr>
              <w:t>burst detector</w:t>
            </w:r>
          </w:p>
        </w:tc>
        <w:tc>
          <w:tcPr>
            <w:tcW w:type="dxa" w:w="2437"/>
            <w:shd w:val="clear" w:color="auto" w:fill="F7F9FB"/>
            <w:vAlign w:val="center"/>
          </w:tcPr>
          <w:p>
            <w:pPr>
              <w:keepNext/>
              <w:spacing w:after="0"/>
            </w:pPr>
            <w:r>
              <w:rPr>
                <w:rFonts w:ascii="Calibri" w:hAnsi="Calibri"/>
                <w:b w:val="0"/>
                <w:i w:val="0"/>
                <w:color w:val="222222"/>
                <w:sz w:val="20"/>
              </w:rPr>
              <w:t>logISI (adaptive); bursts closer than 100 ms merged</w:t>
            </w:r>
          </w:p>
        </w:tc>
        <w:tc>
          <w:tcPr>
            <w:tcW w:type="dxa" w:w="2632"/>
            <w:shd w:val="clear" w:color="auto" w:fill="F7F9FB"/>
            <w:vAlign w:val="center"/>
          </w:tcPr>
          <w:p>
            <w:pPr>
              <w:keepNext/>
              <w:spacing w:after="0"/>
            </w:pPr>
            <w:r>
              <w:rPr>
                <w:rFonts w:ascii="Calibri" w:hAnsi="Calibri"/>
                <w:b w:val="0"/>
                <w:i w:val="0"/>
                <w:color w:val="222222"/>
                <w:sz w:val="20"/>
              </w:rPr>
              <w:t>fixed: ISI ≤ 100 ms</w:t>
            </w:r>
          </w:p>
        </w:tc>
        <w:tc>
          <w:tcPr>
            <w:tcW w:type="dxa" w:w="1691"/>
            <w:shd w:val="clear" w:color="auto" w:fill="F7F9FB"/>
            <w:vAlign w:val="center"/>
          </w:tcPr>
          <w:p>
            <w:pPr>
              <w:keepNext/>
              <w:spacing w:after="0"/>
            </w:pPr>
            <w:r>
              <w:rPr>
                <w:rFonts w:ascii="Calibri" w:hAnsi="Calibri"/>
                <w:b w:val="0"/>
                <w:i w:val="0"/>
                <w:color w:val="222222"/>
                <w:sz w:val="20"/>
              </w:rPr>
              <w:t>S4, registered (below)</w:t>
            </w:r>
          </w:p>
        </w:tc>
      </w:tr>
      <w:tr>
        <w:trPr>
          <w:cantSplit/>
        </w:trPr>
        <w:tc>
          <w:tcPr>
            <w:tcW w:type="dxa" w:w="1736"/>
            <w:shd w:val="clear" w:color="auto" w:fill="FFFFFF"/>
            <w:vAlign w:val="center"/>
          </w:tcPr>
          <w:p>
            <w:pPr>
              <w:keepNext/>
              <w:spacing w:after="0"/>
            </w:pPr>
            <w:r>
              <w:rPr>
                <w:rFonts w:ascii="Calibri" w:hAnsi="Calibri"/>
                <w:b/>
                <w:i w:val="0"/>
                <w:color w:val="222222"/>
                <w:sz w:val="20"/>
              </w:rPr>
              <w:t>minimum spikes per burst</w:t>
            </w:r>
          </w:p>
        </w:tc>
        <w:tc>
          <w:tcPr>
            <w:tcW w:type="dxa" w:w="2437"/>
            <w:shd w:val="clear" w:color="auto" w:fill="FFFFFF"/>
            <w:vAlign w:val="center"/>
          </w:tcPr>
          <w:p>
            <w:pPr>
              <w:keepNext/>
              <w:spacing w:after="0"/>
              <w:jc w:val="center"/>
            </w:pPr>
            <w:r>
              <w:rPr>
                <w:rFonts w:ascii="Calibri" w:hAnsi="Calibri"/>
                <w:b w:val="0"/>
                <w:i w:val="0"/>
                <w:color w:val="222222"/>
                <w:sz w:val="20"/>
              </w:rPr>
              <w:t>5</w:t>
            </w:r>
          </w:p>
        </w:tc>
        <w:tc>
          <w:tcPr>
            <w:tcW w:type="dxa" w:w="2632"/>
            <w:shd w:val="clear" w:color="auto" w:fill="FFFFFF"/>
            <w:vAlign w:val="center"/>
          </w:tcPr>
          <w:p>
            <w:pPr>
              <w:keepNext/>
              <w:spacing w:after="0"/>
              <w:jc w:val="center"/>
            </w:pPr>
            <w:r>
              <w:rPr>
                <w:rFonts w:ascii="Calibri" w:hAnsi="Calibri"/>
                <w:b w:val="0"/>
                <w:i w:val="0"/>
                <w:color w:val="222222"/>
                <w:sz w:val="20"/>
              </w:rPr>
              <w:t>5</w:t>
            </w:r>
          </w:p>
        </w:tc>
        <w:tc>
          <w:tcPr>
            <w:tcW w:type="dxa" w:w="1691"/>
            <w:shd w:val="clear" w:color="auto" w:fill="FFFFFF"/>
            <w:vAlign w:val="center"/>
          </w:tcPr>
          <w:p>
            <w:pPr>
              <w:keepNext/>
              <w:spacing w:after="0"/>
            </w:pPr>
            <w:r>
              <w:rPr>
                <w:rFonts w:ascii="Calibri" w:hAnsi="Calibri"/>
                <w:b w:val="0"/>
                <w:i w:val="0"/>
                <w:color w:val="222222"/>
                <w:sz w:val="20"/>
              </w:rPr>
              <w:t>same</w:t>
            </w:r>
          </w:p>
        </w:tc>
      </w:tr>
      <w:tr>
        <w:trPr>
          <w:cantSplit/>
        </w:trPr>
        <w:tc>
          <w:tcPr>
            <w:tcW w:type="dxa" w:w="1736"/>
            <w:shd w:val="clear" w:color="auto" w:fill="F7F9FB"/>
            <w:vAlign w:val="center"/>
          </w:tcPr>
          <w:p>
            <w:pPr>
              <w:keepNext w:val="0"/>
              <w:spacing w:after="0"/>
            </w:pPr>
            <w:r>
              <w:rPr>
                <w:rFonts w:ascii="Calibri" w:hAnsi="Calibri"/>
                <w:b/>
                <w:i w:val="0"/>
                <w:color w:val="222222"/>
                <w:sz w:val="20"/>
              </w:rPr>
              <w:t>STTC window</w:t>
            </w:r>
          </w:p>
        </w:tc>
        <w:tc>
          <w:tcPr>
            <w:tcW w:type="dxa" w:w="2437"/>
            <w:shd w:val="clear" w:color="auto" w:fill="F7F9FB"/>
            <w:vAlign w:val="center"/>
          </w:tcPr>
          <w:p>
            <w:pPr>
              <w:keepNext w:val="0"/>
              <w:spacing w:after="0"/>
            </w:pPr>
            <w:r>
              <w:rPr>
                <w:rFonts w:ascii="Calibri" w:hAnsi="Calibri"/>
                <w:b w:val="0"/>
                <w:i w:val="0"/>
                <w:color w:val="222222"/>
                <w:sz w:val="20"/>
              </w:rPr>
              <w:t>50 ms</w:t>
            </w:r>
          </w:p>
        </w:tc>
        <w:tc>
          <w:tcPr>
            <w:tcW w:type="dxa" w:w="2632"/>
            <w:shd w:val="clear" w:color="auto" w:fill="F7F9FB"/>
            <w:vAlign w:val="center"/>
          </w:tcPr>
          <w:p>
            <w:pPr>
              <w:keepNext w:val="0"/>
              <w:spacing w:after="0"/>
            </w:pPr>
            <w:r>
              <w:rPr>
                <w:rFonts w:ascii="Calibri" w:hAnsi="Calibri"/>
                <w:b w:val="0"/>
                <w:i w:val="0"/>
                <w:color w:val="222222"/>
                <w:sz w:val="20"/>
              </w:rPr>
              <w:t>50 ms</w:t>
            </w:r>
          </w:p>
        </w:tc>
        <w:tc>
          <w:tcPr>
            <w:tcW w:type="dxa" w:w="1691"/>
            <w:shd w:val="clear" w:color="auto" w:fill="F7F9FB"/>
            <w:vAlign w:val="center"/>
          </w:tcPr>
          <w:p>
            <w:pPr>
              <w:keepNext w:val="0"/>
              <w:spacing w:after="0"/>
            </w:pPr>
            <w:r>
              <w:rPr>
                <w:rFonts w:ascii="Calibri" w:hAnsi="Calibri"/>
                <w:b w:val="0"/>
                <w:i w:val="0"/>
                <w:color w:val="222222"/>
                <w:sz w:val="20"/>
              </w:rPr>
              <w:t>same</w:t>
            </w:r>
          </w:p>
        </w:tc>
      </w:tr>
    </w:tbl>
    <w:p>
      <w:pPr>
        <w:spacing w:after="80"/>
      </w:pPr>
    </w:p>
    <w:p>
      <w:pPr>
        <w:keepNext/>
        <w:spacing w:after="120"/>
      </w:pPr>
      <w:r>
        <w:rPr>
          <w:rFonts w:ascii="Calibri" w:hAnsi="Calibri"/>
          <w:b w:val="0"/>
          <w:i w:val="0"/>
          <w:color w:val="222222"/>
          <w:sz w:val="21"/>
        </w:rPr>
        <w:t>Each step keeps the one before it; the median ratio ours/theirs for burst rate, per plate:</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20"/>
        <w:gridCol w:w="1096"/>
        <w:gridCol w:w="1543"/>
        <w:gridCol w:w="1543"/>
        <w:gridCol w:w="1394"/>
      </w:tblGrid>
      <w:tr>
        <w:trPr>
          <w:cantSplit/>
          <w:tblHeader/>
        </w:trPr>
        <w:tc>
          <w:tcPr>
            <w:tcW w:type="dxa" w:w="2920"/>
            <w:shd w:val="clear" w:color="auto" w:fill="1F4E79"/>
            <w:vAlign w:val="center"/>
          </w:tcPr>
          <w:p>
            <w:pPr>
              <w:keepNext/>
              <w:spacing w:after="0"/>
            </w:pPr>
            <w:r>
              <w:rPr>
                <w:rFonts w:ascii="Calibri" w:hAnsi="Calibri"/>
                <w:b/>
                <w:i w:val="0"/>
                <w:color w:val="FFFFFF"/>
                <w:sz w:val="20"/>
              </w:rPr>
              <w:t>burst rate</w:t>
            </w:r>
          </w:p>
        </w:tc>
        <w:tc>
          <w:tcPr>
            <w:tcW w:type="dxa" w:w="1096"/>
            <w:shd w:val="clear" w:color="auto" w:fill="1F4E79"/>
            <w:vAlign w:val="center"/>
          </w:tcPr>
          <w:p>
            <w:pPr>
              <w:keepNext/>
              <w:spacing w:after="0"/>
              <w:jc w:val="center"/>
            </w:pPr>
            <w:r>
              <w:rPr>
                <w:rFonts w:ascii="Calibri" w:hAnsi="Calibri"/>
                <w:b/>
                <w:i w:val="0"/>
                <w:color w:val="FFFFFF"/>
                <w:sz w:val="20"/>
              </w:rPr>
              <w:t>pooled</w:t>
            </w:r>
          </w:p>
        </w:tc>
        <w:tc>
          <w:tcPr>
            <w:tcW w:type="dxa" w:w="1543"/>
            <w:shd w:val="clear" w:color="auto" w:fill="1F4E79"/>
            <w:vAlign w:val="center"/>
          </w:tcPr>
          <w:p>
            <w:pPr>
              <w:keepNext/>
              <w:spacing w:after="0"/>
              <w:jc w:val="center"/>
            </w:pPr>
            <w:r>
              <w:rPr>
                <w:rFonts w:ascii="Calibri" w:hAnsi="Calibri"/>
                <w:b/>
                <w:i w:val="0"/>
                <w:color w:val="FFFFFF"/>
                <w:sz w:val="20"/>
              </w:rPr>
              <w:t>hPSC_MEA1</w:t>
            </w:r>
          </w:p>
        </w:tc>
        <w:tc>
          <w:tcPr>
            <w:tcW w:type="dxa" w:w="1543"/>
            <w:shd w:val="clear" w:color="auto" w:fill="1F4E79"/>
            <w:vAlign w:val="center"/>
          </w:tcPr>
          <w:p>
            <w:pPr>
              <w:keepNext/>
              <w:spacing w:after="0"/>
              <w:jc w:val="center"/>
            </w:pPr>
            <w:r>
              <w:rPr>
                <w:rFonts w:ascii="Calibri" w:hAnsi="Calibri"/>
                <w:b/>
                <w:i w:val="0"/>
                <w:color w:val="FFFFFF"/>
                <w:sz w:val="20"/>
              </w:rPr>
              <w:t>hPSC_MEA2</w:t>
            </w:r>
          </w:p>
        </w:tc>
        <w:tc>
          <w:tcPr>
            <w:tcW w:type="dxa" w:w="1394"/>
            <w:shd w:val="clear" w:color="auto" w:fill="1F4E79"/>
            <w:vAlign w:val="center"/>
          </w:tcPr>
          <w:p>
            <w:pPr>
              <w:keepNext/>
              <w:spacing w:after="0"/>
              <w:jc w:val="center"/>
            </w:pPr>
            <w:r>
              <w:rPr>
                <w:rFonts w:ascii="Calibri" w:hAnsi="Calibri"/>
                <w:b/>
                <w:i w:val="0"/>
                <w:color w:val="FFFFFF"/>
                <w:sz w:val="20"/>
              </w:rPr>
              <w:t>Rat_MEA1</w:t>
            </w:r>
          </w:p>
        </w:tc>
      </w:tr>
      <w:tr>
        <w:trPr>
          <w:cantSplit/>
        </w:trPr>
        <w:tc>
          <w:tcPr>
            <w:tcW w:type="dxa" w:w="2920"/>
            <w:shd w:val="clear" w:color="auto" w:fill="FFFFFF"/>
            <w:vAlign w:val="center"/>
          </w:tcPr>
          <w:p>
            <w:pPr>
              <w:keepNext/>
              <w:spacing w:after="0"/>
            </w:pPr>
            <w:r>
              <w:rPr>
                <w:rFonts w:ascii="Calibri" w:hAnsi="Calibri"/>
                <w:b/>
                <w:i w:val="0"/>
                <w:color w:val="222222"/>
                <w:sz w:val="20"/>
              </w:rPr>
              <w:t>S0, ours</w:t>
            </w:r>
          </w:p>
        </w:tc>
        <w:tc>
          <w:tcPr>
            <w:tcW w:type="dxa" w:w="1096"/>
            <w:shd w:val="clear" w:color="auto" w:fill="FFFFFF"/>
            <w:vAlign w:val="center"/>
          </w:tcPr>
          <w:p>
            <w:pPr>
              <w:keepNext/>
              <w:spacing w:after="0"/>
              <w:jc w:val="center"/>
            </w:pPr>
            <w:r>
              <w:rPr>
                <w:rFonts w:ascii="Calibri" w:hAnsi="Calibri"/>
                <w:b w:val="0"/>
                <w:i w:val="0"/>
                <w:color w:val="222222"/>
                <w:sz w:val="20"/>
              </w:rPr>
              <w:t>0.4423</w:t>
            </w:r>
          </w:p>
        </w:tc>
        <w:tc>
          <w:tcPr>
            <w:tcW w:type="dxa" w:w="1543"/>
            <w:shd w:val="clear" w:color="auto" w:fill="FFFFFF"/>
            <w:vAlign w:val="center"/>
          </w:tcPr>
          <w:p>
            <w:pPr>
              <w:keepNext/>
              <w:spacing w:after="0"/>
              <w:jc w:val="center"/>
            </w:pPr>
            <w:r>
              <w:rPr>
                <w:rFonts w:ascii="Calibri" w:hAnsi="Calibri"/>
                <w:b w:val="0"/>
                <w:i w:val="0"/>
                <w:color w:val="222222"/>
                <w:sz w:val="20"/>
              </w:rPr>
              <w:t>0.3417</w:t>
            </w:r>
          </w:p>
        </w:tc>
        <w:tc>
          <w:tcPr>
            <w:tcW w:type="dxa" w:w="1543"/>
            <w:shd w:val="clear" w:color="auto" w:fill="FFFFFF"/>
            <w:vAlign w:val="center"/>
          </w:tcPr>
          <w:p>
            <w:pPr>
              <w:keepNext/>
              <w:spacing w:after="0"/>
              <w:jc w:val="center"/>
            </w:pPr>
            <w:r>
              <w:rPr>
                <w:rFonts w:ascii="Calibri" w:hAnsi="Calibri"/>
                <w:b w:val="0"/>
                <w:i w:val="0"/>
                <w:color w:val="222222"/>
                <w:sz w:val="20"/>
              </w:rPr>
              <w:t>0.3841</w:t>
            </w:r>
          </w:p>
        </w:tc>
        <w:tc>
          <w:tcPr>
            <w:tcW w:type="dxa" w:w="1394"/>
            <w:shd w:val="clear" w:color="auto" w:fill="FFFFFF"/>
            <w:vAlign w:val="center"/>
          </w:tcPr>
          <w:p>
            <w:pPr>
              <w:keepNext/>
              <w:spacing w:after="0"/>
              <w:jc w:val="center"/>
            </w:pPr>
            <w:r>
              <w:rPr>
                <w:rFonts w:ascii="Calibri" w:hAnsi="Calibri"/>
                <w:b w:val="0"/>
                <w:i w:val="0"/>
                <w:color w:val="222222"/>
                <w:sz w:val="20"/>
              </w:rPr>
              <w:t>0.9573</w:t>
            </w:r>
          </w:p>
        </w:tc>
      </w:tr>
      <w:tr>
        <w:trPr>
          <w:cantSplit/>
        </w:trPr>
        <w:tc>
          <w:tcPr>
            <w:tcW w:type="dxa" w:w="2920"/>
            <w:shd w:val="clear" w:color="auto" w:fill="F7F9FB"/>
            <w:vAlign w:val="center"/>
          </w:tcPr>
          <w:p>
            <w:pPr>
              <w:keepNext/>
              <w:spacing w:after="0"/>
            </w:pPr>
            <w:r>
              <w:rPr>
                <w:rFonts w:ascii="Calibri" w:hAnsi="Calibri"/>
                <w:b/>
                <w:i w:val="0"/>
                <w:color w:val="222222"/>
                <w:sz w:val="20"/>
              </w:rPr>
              <w:t>S1, active above 10 spikes/min</w:t>
            </w:r>
          </w:p>
        </w:tc>
        <w:tc>
          <w:tcPr>
            <w:tcW w:type="dxa" w:w="1096"/>
            <w:shd w:val="clear" w:color="auto" w:fill="F7F9FB"/>
            <w:vAlign w:val="center"/>
          </w:tcPr>
          <w:p>
            <w:pPr>
              <w:keepNext/>
              <w:spacing w:after="0"/>
              <w:jc w:val="center"/>
            </w:pPr>
            <w:r>
              <w:rPr>
                <w:rFonts w:ascii="Calibri" w:hAnsi="Calibri"/>
                <w:b w:val="0"/>
                <w:i w:val="0"/>
                <w:color w:val="222222"/>
                <w:sz w:val="20"/>
              </w:rPr>
              <w:t>0.6998</w:t>
            </w:r>
          </w:p>
        </w:tc>
        <w:tc>
          <w:tcPr>
            <w:tcW w:type="dxa" w:w="1543"/>
            <w:shd w:val="clear" w:color="auto" w:fill="F7F9FB"/>
            <w:vAlign w:val="center"/>
          </w:tcPr>
          <w:p>
            <w:pPr>
              <w:keepNext/>
              <w:spacing w:after="0"/>
              <w:jc w:val="center"/>
            </w:pPr>
            <w:r>
              <w:rPr>
                <w:rFonts w:ascii="Calibri" w:hAnsi="Calibri"/>
                <w:b w:val="0"/>
                <w:i w:val="0"/>
                <w:color w:val="222222"/>
                <w:sz w:val="20"/>
              </w:rPr>
              <w:t>0.5273</w:t>
            </w:r>
          </w:p>
        </w:tc>
        <w:tc>
          <w:tcPr>
            <w:tcW w:type="dxa" w:w="1543"/>
            <w:shd w:val="clear" w:color="auto" w:fill="F7F9FB"/>
            <w:vAlign w:val="center"/>
          </w:tcPr>
          <w:p>
            <w:pPr>
              <w:keepNext/>
              <w:spacing w:after="0"/>
              <w:jc w:val="center"/>
            </w:pPr>
            <w:r>
              <w:rPr>
                <w:rFonts w:ascii="Calibri" w:hAnsi="Calibri"/>
                <w:b w:val="0"/>
                <w:i w:val="0"/>
                <w:color w:val="222222"/>
                <w:sz w:val="20"/>
              </w:rPr>
              <w:t>0.5567</w:t>
            </w:r>
          </w:p>
        </w:tc>
        <w:tc>
          <w:tcPr>
            <w:tcW w:type="dxa" w:w="1394"/>
            <w:shd w:val="clear" w:color="auto" w:fill="F7F9FB"/>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FFFFF"/>
            <w:vAlign w:val="center"/>
          </w:tcPr>
          <w:p>
            <w:pPr>
              <w:keepNext/>
              <w:spacing w:after="0"/>
            </w:pPr>
            <w:r>
              <w:rPr>
                <w:rFonts w:ascii="Calibri" w:hAnsi="Calibri"/>
                <w:b/>
                <w:i w:val="0"/>
                <w:color w:val="222222"/>
                <w:sz w:val="20"/>
              </w:rPr>
              <w:t>S2, + noisy electrodes dropped</w:t>
            </w:r>
          </w:p>
        </w:tc>
        <w:tc>
          <w:tcPr>
            <w:tcW w:type="dxa" w:w="1096"/>
            <w:shd w:val="clear" w:color="auto" w:fill="FFFFFF"/>
            <w:vAlign w:val="center"/>
          </w:tcPr>
          <w:p>
            <w:pPr>
              <w:keepNext/>
              <w:spacing w:after="0"/>
              <w:jc w:val="center"/>
            </w:pPr>
            <w:r>
              <w:rPr>
                <w:rFonts w:ascii="Calibri" w:hAnsi="Calibri"/>
                <w:b w:val="0"/>
                <w:i w:val="0"/>
                <w:color w:val="222222"/>
                <w:sz w:val="20"/>
              </w:rPr>
              <w:t>0.6967</w:t>
            </w:r>
          </w:p>
        </w:tc>
        <w:tc>
          <w:tcPr>
            <w:tcW w:type="dxa" w:w="1543"/>
            <w:shd w:val="clear" w:color="auto" w:fill="FFFFFF"/>
            <w:vAlign w:val="center"/>
          </w:tcPr>
          <w:p>
            <w:pPr>
              <w:keepNext/>
              <w:spacing w:after="0"/>
              <w:jc w:val="center"/>
            </w:pPr>
            <w:r>
              <w:rPr>
                <w:rFonts w:ascii="Calibri" w:hAnsi="Calibri"/>
                <w:b w:val="0"/>
                <w:i w:val="0"/>
                <w:color w:val="222222"/>
                <w:sz w:val="20"/>
              </w:rPr>
              <w:t>0.5273</w:t>
            </w:r>
          </w:p>
        </w:tc>
        <w:tc>
          <w:tcPr>
            <w:tcW w:type="dxa" w:w="1543"/>
            <w:shd w:val="clear" w:color="auto" w:fill="FFFFFF"/>
            <w:vAlign w:val="center"/>
          </w:tcPr>
          <w:p>
            <w:pPr>
              <w:keepNext/>
              <w:spacing w:after="0"/>
              <w:jc w:val="center"/>
            </w:pPr>
            <w:r>
              <w:rPr>
                <w:rFonts w:ascii="Calibri" w:hAnsi="Calibri"/>
                <w:b w:val="0"/>
                <w:i w:val="0"/>
                <w:color w:val="222222"/>
                <w:sz w:val="20"/>
              </w:rPr>
              <w:t>0.5508</w:t>
            </w:r>
          </w:p>
        </w:tc>
        <w:tc>
          <w:tcPr>
            <w:tcW w:type="dxa" w:w="1394"/>
            <w:shd w:val="clear" w:color="auto" w:fill="FFFFFF"/>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7F9FB"/>
            <w:vAlign w:val="center"/>
          </w:tcPr>
          <w:p>
            <w:pPr>
              <w:keepNext/>
              <w:spacing w:after="0"/>
            </w:pPr>
            <w:r>
              <w:rPr>
                <w:rFonts w:ascii="Calibri" w:hAnsi="Calibri"/>
                <w:b/>
                <w:i w:val="0"/>
                <w:color w:val="222222"/>
                <w:sz w:val="20"/>
              </w:rPr>
              <w:t>S3, + rate per bursting electrode</w:t>
            </w:r>
          </w:p>
        </w:tc>
        <w:tc>
          <w:tcPr>
            <w:tcW w:type="dxa" w:w="1096"/>
            <w:shd w:val="clear" w:color="auto" w:fill="F7F9FB"/>
            <w:vAlign w:val="center"/>
          </w:tcPr>
          <w:p>
            <w:pPr>
              <w:keepNext/>
              <w:spacing w:after="0"/>
              <w:jc w:val="center"/>
            </w:pPr>
            <w:r>
              <w:rPr>
                <w:rFonts w:ascii="Calibri" w:hAnsi="Calibri"/>
                <w:b w:val="0"/>
                <w:i w:val="0"/>
                <w:color w:val="222222"/>
                <w:sz w:val="20"/>
              </w:rPr>
              <w:t>0.944</w:t>
            </w:r>
          </w:p>
        </w:tc>
        <w:tc>
          <w:tcPr>
            <w:tcW w:type="dxa" w:w="1543"/>
            <w:shd w:val="clear" w:color="auto" w:fill="F7F9FB"/>
            <w:vAlign w:val="center"/>
          </w:tcPr>
          <w:p>
            <w:pPr>
              <w:keepNext/>
              <w:spacing w:after="0"/>
              <w:jc w:val="center"/>
            </w:pPr>
            <w:r>
              <w:rPr>
                <w:rFonts w:ascii="Calibri" w:hAnsi="Calibri"/>
                <w:b w:val="0"/>
                <w:i w:val="0"/>
                <w:color w:val="222222"/>
                <w:sz w:val="20"/>
              </w:rPr>
              <w:t>0.8579</w:t>
            </w:r>
          </w:p>
        </w:tc>
        <w:tc>
          <w:tcPr>
            <w:tcW w:type="dxa" w:w="1543"/>
            <w:shd w:val="clear" w:color="auto" w:fill="F7F9FB"/>
            <w:vAlign w:val="center"/>
          </w:tcPr>
          <w:p>
            <w:pPr>
              <w:keepNext/>
              <w:spacing w:after="0"/>
              <w:jc w:val="center"/>
            </w:pPr>
            <w:r>
              <w:rPr>
                <w:rFonts w:ascii="Calibri" w:hAnsi="Calibri"/>
                <w:b w:val="0"/>
                <w:i w:val="0"/>
                <w:color w:val="222222"/>
                <w:sz w:val="20"/>
              </w:rPr>
              <w:t>0.8973</w:t>
            </w:r>
          </w:p>
        </w:tc>
        <w:tc>
          <w:tcPr>
            <w:tcW w:type="dxa" w:w="1394"/>
            <w:shd w:val="clear" w:color="auto" w:fill="F7F9FB"/>
            <w:vAlign w:val="center"/>
          </w:tcPr>
          <w:p>
            <w:pPr>
              <w:keepNext/>
              <w:spacing w:after="0"/>
              <w:jc w:val="center"/>
            </w:pPr>
            <w:r>
              <w:rPr>
                <w:rFonts w:ascii="Calibri" w:hAnsi="Calibri"/>
                <w:b w:val="0"/>
                <w:i w:val="0"/>
                <w:color w:val="222222"/>
                <w:sz w:val="20"/>
              </w:rPr>
              <w:t>1.04</w:t>
            </w:r>
          </w:p>
        </w:tc>
      </w:tr>
      <w:tr>
        <w:trPr>
          <w:cantSplit/>
        </w:trPr>
        <w:tc>
          <w:tcPr>
            <w:tcW w:type="dxa" w:w="2920"/>
            <w:shd w:val="clear" w:color="auto" w:fill="FFFFFF"/>
            <w:vAlign w:val="center"/>
          </w:tcPr>
          <w:p>
            <w:pPr>
              <w:keepNext w:val="0"/>
              <w:spacing w:after="0"/>
            </w:pPr>
            <w:r>
              <w:rPr>
                <w:rFonts w:ascii="Calibri" w:hAnsi="Calibri"/>
                <w:b/>
                <w:i w:val="0"/>
                <w:color w:val="222222"/>
                <w:sz w:val="20"/>
              </w:rPr>
              <w:t>the denominator alone, from S0</w:t>
            </w:r>
          </w:p>
        </w:tc>
        <w:tc>
          <w:tcPr>
            <w:tcW w:type="dxa" w:w="1096"/>
            <w:shd w:val="clear" w:color="auto" w:fill="FFFFFF"/>
            <w:vAlign w:val="center"/>
          </w:tcPr>
          <w:p>
            <w:pPr>
              <w:keepNext w:val="0"/>
              <w:spacing w:after="0"/>
              <w:jc w:val="center"/>
            </w:pPr>
            <w:r>
              <w:rPr>
                <w:rFonts w:ascii="Calibri" w:hAnsi="Calibri"/>
                <w:b w:val="0"/>
                <w:i w:val="0"/>
                <w:color w:val="222222"/>
                <w:sz w:val="20"/>
              </w:rPr>
              <w:t>0.9087</w:t>
            </w:r>
          </w:p>
        </w:tc>
        <w:tc>
          <w:tcPr>
            <w:tcW w:type="dxa" w:w="1543"/>
            <w:shd w:val="clear" w:color="auto" w:fill="FFFFFF"/>
            <w:vAlign w:val="center"/>
          </w:tcPr>
          <w:p>
            <w:pPr>
              <w:keepNext w:val="0"/>
              <w:spacing w:after="0"/>
              <w:jc w:val="center"/>
            </w:pPr>
            <w:r>
              <w:rPr>
                <w:rFonts w:ascii="Calibri" w:hAnsi="Calibri"/>
                <w:b w:val="0"/>
                <w:i w:val="0"/>
                <w:color w:val="222222"/>
                <w:sz w:val="20"/>
              </w:rPr>
              <w:t>0.8333</w:t>
            </w:r>
          </w:p>
        </w:tc>
        <w:tc>
          <w:tcPr>
            <w:tcW w:type="dxa" w:w="1543"/>
            <w:shd w:val="clear" w:color="auto" w:fill="FFFFFF"/>
            <w:vAlign w:val="center"/>
          </w:tcPr>
          <w:p>
            <w:pPr>
              <w:keepNext w:val="0"/>
              <w:spacing w:after="0"/>
              <w:jc w:val="center"/>
            </w:pPr>
            <w:r>
              <w:rPr>
                <w:rFonts w:ascii="Calibri" w:hAnsi="Calibri"/>
                <w:b w:val="0"/>
                <w:i w:val="0"/>
                <w:color w:val="222222"/>
                <w:sz w:val="20"/>
              </w:rPr>
              <w:t>0.8681</w:t>
            </w:r>
          </w:p>
        </w:tc>
        <w:tc>
          <w:tcPr>
            <w:tcW w:type="dxa" w:w="1394"/>
            <w:shd w:val="clear" w:color="auto" w:fill="FFFFFF"/>
            <w:vAlign w:val="center"/>
          </w:tcPr>
          <w:p>
            <w:pPr>
              <w:keepNext w:val="0"/>
              <w:spacing w:after="0"/>
              <w:jc w:val="center"/>
            </w:pPr>
            <w:r>
              <w:rPr>
                <w:rFonts w:ascii="Calibri" w:hAnsi="Calibri"/>
                <w:b w:val="0"/>
                <w:i w:val="0"/>
                <w:color w:val="222222"/>
                <w:sz w:val="20"/>
              </w:rPr>
              <w:t>1.0269</w:t>
            </w:r>
          </w:p>
        </w:tc>
      </w:tr>
    </w:tbl>
    <w:p>
      <w:pPr>
        <w:spacing w:after="80"/>
      </w:pPr>
    </w:p>
    <w:p>
      <w:pPr>
        <w:keepNext/>
        <w:spacing w:before="120" w:after="40"/>
        <w:jc w:val="center"/>
      </w:pPr>
      <w:r>
        <w:drawing>
          <wp:inline xmlns:a="http://schemas.openxmlformats.org/drawingml/2006/main" xmlns:pic="http://schemas.openxmlformats.org/drawingml/2006/picture">
            <wp:extent cx="5394960" cy="2413535"/>
            <wp:docPr id="3" name="Picture 3"/>
            <wp:cNvGraphicFramePr>
              <a:graphicFrameLocks noChangeAspect="1"/>
            </wp:cNvGraphicFramePr>
            <a:graphic>
              <a:graphicData uri="http://schemas.openxmlformats.org/drawingml/2006/picture">
                <pic:pic>
                  <pic:nvPicPr>
                    <pic:cNvPr id="0" name="extractor_settings_ladder_real.png"/>
                    <pic:cNvPicPr/>
                  </pic:nvPicPr>
                  <pic:blipFill>
                    <a:blip r:embed="rId15"/>
                    <a:stretch>
                      <a:fillRect/>
                    </a:stretch>
                  </pic:blipFill>
                  <pic:spPr>
                    <a:xfrm>
                      <a:off x="0" y="0"/>
                      <a:ext cx="5394960" cy="2413535"/>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Our extractor with the depositors' stated settings, one change at a time; REAL recordings, post hoc. Left: burst rate, median ratio ours/theirs per plate across the ladder. Right: active electrodes, firing rate and STTC (pooled) under our settings and after steps S1 and S2. Dashed line is equality.</w:t>
      </w:r>
    </w:p>
    <w:p>
      <w:pPr>
        <w:spacing w:after="120"/>
      </w:pPr>
      <w:r>
        <w:rPr>
          <w:rFonts w:ascii="Calibri" w:hAnsi="Calibri"/>
          <w:b/>
          <w:i w:val="0"/>
          <w:color w:val="156082"/>
          <w:sz w:val="21"/>
        </w:rPr>
        <w:t>The reading.</w:t>
      </w:r>
      <w:r>
        <w:rPr>
          <w:rFonts w:ascii="Calibri" w:hAnsi="Calibri"/>
          <w:b w:val="0"/>
          <w:i w:val="0"/>
          <w:color w:val="222222"/>
          <w:sz w:val="21"/>
        </w:rPr>
        <w:t xml:space="preserve"> With the same electrodes, our firing rate, active-electrode count and STTC reproduce theirs. The activity threshold alone brings all three to a pooled median ratio of 1.0, and dropping the deposit's noisy electrodes as well brings their rank agreement to 1.0, with the active-electrode count identical in a share of 1.0 of recordings. Most of the burst-rate gap is the denominator: from S0 to S3 the ladder closes a share of 0.9293 of the pooled log-ratio gap, and the rank agreement rises from 0.8907 to 0.9819. It is an hPSC effect. On the rat plate our burst rate already sat at a ratio of 0.9573 to theirs, while in a median hPSC recording only a share of 0.6225 (hPSC_MEA1) and 0.6283 (hPSC_MEA2) of the active electrodes burst at all, against 0.9815 on the rat plate. Dividing by every active electrode therefore lowers the human rate and hardly moves the rat one. The ladder leaves the rest to the burst detector, which it does not change: burst duration stays at a pooled ratio of 0.8208 and spikes per burst at 0.9433 at S3. Whether the detector accounts for that remainder was then tested, as registered (below). The ladder's first step reproduces the published comparison above exactly (check: true). One assumption could mislead here: that the deposit's noisy-electrode file lists electrodes per DIV column. Under the alternative reading, that an electrode listed on any DIV is noisy throughout, the active-electrode count matches theirs in a share of only 0.253 of recordings, so the per-DIV reading is the one their output follows. A per-electrode averaging hypothesis, tried in the scratch analysis, moved the share of spikes in bursts further from theirs; it was dropped and is not in the code.</w:t>
      </w:r>
    </w:p>
    <w:p>
      <w:pPr>
        <w:keepNext/>
        <w:spacing w:after="120"/>
      </w:pPr>
      <w:r>
        <w:rPr>
          <w:rFonts w:ascii="Calibri" w:hAnsi="Calibri"/>
          <w:b/>
          <w:i w:val="0"/>
          <w:color w:val="156082"/>
          <w:sz w:val="21"/>
        </w:rPr>
        <w:t>The detector, tested (registered).</w:t>
      </w:r>
      <w:r>
        <w:rPr>
          <w:rFonts w:ascii="Calibri" w:hAnsi="Calibri"/>
          <w:b w:val="0"/>
          <w:i w:val="0"/>
          <w:color w:val="222222"/>
          <w:sz w:val="21"/>
        </w:rPr>
        <w:t xml:space="preserve"> We then implemented the depositors' adaptive detector, logISI (Pasquale et al. 2010, with their minimum of five spikes and their merging of bursts that lie closer than the merge interval), as an option of the same extractor, off by default (</w:t>
      </w:r>
      <w:r>
        <w:rPr>
          <w:rFonts w:ascii="Consolas" w:hAnsi="Consolas"/>
          <w:b w:val="0"/>
          <w:i w:val="0"/>
          <w:color w:val="222222"/>
          <w:sz w:val="19"/>
        </w:rPr>
        <w:t>FeatureParams.burst_detector</w:t>
      </w:r>
      <w:r>
        <w:rPr>
          <w:rFonts w:ascii="Calibri" w:hAnsi="Calibri"/>
          <w:b w:val="0"/>
          <w:i w:val="0"/>
          <w:color w:val="222222"/>
          <w:sz w:val="21"/>
        </w:rPr>
        <w:t xml:space="preserve">), and registered four predictions before running it on any Kapucu recording (decision D34, </w:t>
      </w:r>
      <w:r>
        <w:rPr>
          <w:rFonts w:ascii="Consolas" w:hAnsi="Consolas"/>
          <w:b w:val="0"/>
          <w:i w:val="0"/>
          <w:color w:val="222222"/>
          <w:sz w:val="19"/>
        </w:rPr>
        <w:t>preregistration/extractor_logisi.json</w:t>
      </w:r>
      <w:r>
        <w:rPr>
          <w:rFonts w:ascii="Calibri" w:hAnsi="Calibri"/>
          <w:b w:val="0"/>
          <w:i w:val="0"/>
          <w:color w:val="222222"/>
          <w:sz w:val="21"/>
        </w:rPr>
        <w:t>; its implementation section, committed before the run, gives each choice of binning, smoothing, peaks, cutoff, extension, fallback and merging with its source). Each electrode gets its own ISI threshold from the valley of its log-ISI histogram; an electrode with no valid threshold falls back to the fixed rule. S4 is S3 with logISI, so the electrodes and the denominator stay the depositors'.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15"/>
        <w:gridCol w:w="1886"/>
        <w:gridCol w:w="1843"/>
        <w:gridCol w:w="3252"/>
      </w:tblGrid>
      <w:tr>
        <w:trPr>
          <w:cantSplit/>
          <w:tblHeader/>
        </w:trPr>
        <w:tc>
          <w:tcPr>
            <w:tcW w:type="dxa" w:w="1515"/>
            <w:shd w:val="clear" w:color="auto" w:fill="1F4E79"/>
            <w:vAlign w:val="center"/>
          </w:tcPr>
          <w:p>
            <w:pPr>
              <w:keepNext/>
              <w:spacing w:after="0"/>
            </w:pPr>
            <w:r>
              <w:rPr>
                <w:rFonts w:ascii="Calibri" w:hAnsi="Calibri"/>
                <w:b/>
                <w:i w:val="0"/>
                <w:color w:val="FFFFFF"/>
                <w:sz w:val="20"/>
              </w:rPr>
              <w:t>prediction</w:t>
            </w:r>
          </w:p>
        </w:tc>
        <w:tc>
          <w:tcPr>
            <w:tcW w:type="dxa" w:w="1886"/>
            <w:shd w:val="clear" w:color="auto" w:fill="1F4E79"/>
            <w:vAlign w:val="center"/>
          </w:tcPr>
          <w:p>
            <w:pPr>
              <w:keepNext/>
              <w:spacing w:after="0"/>
            </w:pPr>
            <w:r>
              <w:rPr>
                <w:rFonts w:ascii="Calibri" w:hAnsi="Calibri"/>
                <w:b/>
                <w:i w:val="0"/>
                <w:color w:val="FFFFFF"/>
                <w:sz w:val="20"/>
              </w:rPr>
              <w:t>registered test</w:t>
            </w:r>
          </w:p>
        </w:tc>
        <w:tc>
          <w:tcPr>
            <w:tcW w:type="dxa" w:w="1843"/>
            <w:shd w:val="clear" w:color="auto" w:fill="1F4E79"/>
            <w:vAlign w:val="center"/>
          </w:tcPr>
          <w:p>
            <w:pPr>
              <w:keepNext/>
              <w:spacing w:after="0"/>
            </w:pPr>
            <w:r>
              <w:rPr>
                <w:rFonts w:ascii="Calibri" w:hAnsi="Calibri"/>
                <w:b/>
                <w:i w:val="0"/>
                <w:color w:val="FFFFFF"/>
                <w:sz w:val="20"/>
              </w:rPr>
              <w:t>S4</w:t>
            </w:r>
          </w:p>
        </w:tc>
        <w:tc>
          <w:tcPr>
            <w:tcW w:type="dxa" w:w="3252"/>
            <w:shd w:val="clear" w:color="auto" w:fill="1F4E79"/>
            <w:vAlign w:val="center"/>
          </w:tcPr>
          <w:p>
            <w:pPr>
              <w:keepNext/>
              <w:spacing w:after="0"/>
            </w:pPr>
            <w:r>
              <w:rPr>
                <w:rFonts w:ascii="Calibri" w:hAnsi="Calibri"/>
                <w:b/>
                <w:i w:val="0"/>
                <w:color w:val="FFFFFF"/>
                <w:sz w:val="20"/>
              </w:rPr>
              <w:t>outcome</w:t>
            </w:r>
          </w:p>
        </w:tc>
      </w:tr>
      <w:tr>
        <w:trPr>
          <w:cantSplit/>
        </w:trPr>
        <w:tc>
          <w:tcPr>
            <w:tcW w:type="dxa" w:w="1515"/>
            <w:shd w:val="clear" w:color="auto" w:fill="FFFFFF"/>
            <w:vAlign w:val="center"/>
          </w:tcPr>
          <w:p>
            <w:pPr>
              <w:keepNext/>
              <w:spacing w:after="0"/>
            </w:pPr>
            <w:r>
              <w:rPr>
                <w:rFonts w:ascii="Calibri" w:hAnsi="Calibri"/>
                <w:b/>
                <w:i w:val="0"/>
                <w:color w:val="222222"/>
                <w:sz w:val="20"/>
              </w:rPr>
              <w:t>L1, burst duration closes</w:t>
            </w:r>
          </w:p>
        </w:tc>
        <w:tc>
          <w:tcPr>
            <w:tcW w:type="dxa" w:w="1886"/>
            <w:shd w:val="clear" w:color="auto" w:fill="FFFFFF"/>
            <w:vAlign w:val="center"/>
          </w:tcPr>
          <w:p>
            <w:pPr>
              <w:keepNext/>
              <w:spacing w:after="0"/>
            </w:pPr>
            <w:r>
              <w:rPr>
                <w:rFonts w:ascii="Calibri" w:hAnsi="Calibri"/>
                <w:b w:val="0"/>
                <w:i w:val="0"/>
                <w:color w:val="222222"/>
                <w:sz w:val="20"/>
              </w:rPr>
              <w:t>pooled ratio 0.9 to 1.1, rho at least 0.9</w:t>
            </w:r>
          </w:p>
        </w:tc>
        <w:tc>
          <w:tcPr>
            <w:tcW w:type="dxa" w:w="1843"/>
            <w:shd w:val="clear" w:color="auto" w:fill="FFFFFF"/>
            <w:vAlign w:val="center"/>
          </w:tcPr>
          <w:p>
            <w:pPr>
              <w:keepNext/>
              <w:spacing w:after="0"/>
            </w:pPr>
            <w:r>
              <w:rPr>
                <w:rFonts w:ascii="Calibri" w:hAnsi="Calibri"/>
                <w:b w:val="0"/>
                <w:i w:val="0"/>
                <w:color w:val="222222"/>
                <w:sz w:val="20"/>
              </w:rPr>
              <w:t>ratio 0.9611, rho 0.8347</w:t>
            </w:r>
          </w:p>
        </w:tc>
        <w:tc>
          <w:tcPr>
            <w:tcW w:type="dxa" w:w="3252"/>
            <w:shd w:val="clear" w:color="auto" w:fill="FFFFFF"/>
            <w:vAlign w:val="center"/>
          </w:tcPr>
          <w:p>
            <w:pPr>
              <w:keepNext/>
              <w:spacing w:after="0"/>
            </w:pPr>
            <w:r>
              <w:rPr>
                <w:rFonts w:ascii="Consolas" w:hAnsi="Consolas"/>
                <w:b w:val="0"/>
                <w:i w:val="0"/>
                <w:color w:val="222222"/>
                <w:sz w:val="18"/>
              </w:rPr>
              <w:t>fail</w:t>
            </w:r>
          </w:p>
        </w:tc>
      </w:tr>
      <w:tr>
        <w:trPr>
          <w:cantSplit/>
        </w:trPr>
        <w:tc>
          <w:tcPr>
            <w:tcW w:type="dxa" w:w="1515"/>
            <w:shd w:val="clear" w:color="auto" w:fill="F7F9FB"/>
            <w:vAlign w:val="center"/>
          </w:tcPr>
          <w:p>
            <w:pPr>
              <w:keepNext/>
              <w:spacing w:after="0"/>
            </w:pPr>
            <w:r>
              <w:rPr>
                <w:rFonts w:ascii="Calibri" w:hAnsi="Calibri"/>
                <w:b/>
                <w:i w:val="0"/>
                <w:color w:val="222222"/>
                <w:sz w:val="20"/>
              </w:rPr>
              <w:t>L2, spikes per burst closes</w:t>
            </w:r>
          </w:p>
        </w:tc>
        <w:tc>
          <w:tcPr>
            <w:tcW w:type="dxa" w:w="1886"/>
            <w:shd w:val="clear" w:color="auto" w:fill="F7F9FB"/>
            <w:vAlign w:val="center"/>
          </w:tcPr>
          <w:p>
            <w:pPr>
              <w:keepNext/>
              <w:spacing w:after="0"/>
            </w:pPr>
            <w:r>
              <w:rPr>
                <w:rFonts w:ascii="Calibri" w:hAnsi="Calibri"/>
                <w:b w:val="0"/>
                <w:i w:val="0"/>
                <w:color w:val="222222"/>
                <w:sz w:val="20"/>
              </w:rPr>
              <w:t>pooled ratio 0.95 to 1.05, rho at least 0.95</w:t>
            </w:r>
          </w:p>
        </w:tc>
        <w:tc>
          <w:tcPr>
            <w:tcW w:type="dxa" w:w="1843"/>
            <w:shd w:val="clear" w:color="auto" w:fill="F7F9FB"/>
            <w:vAlign w:val="center"/>
          </w:tcPr>
          <w:p>
            <w:pPr>
              <w:keepNext/>
              <w:spacing w:after="0"/>
            </w:pPr>
            <w:r>
              <w:rPr>
                <w:rFonts w:ascii="Calibri" w:hAnsi="Calibri"/>
                <w:b w:val="0"/>
                <w:i w:val="0"/>
                <w:color w:val="222222"/>
                <w:sz w:val="20"/>
              </w:rPr>
              <w:t>ratio 0.9986, rho 0.9467</w:t>
            </w:r>
          </w:p>
        </w:tc>
        <w:tc>
          <w:tcPr>
            <w:tcW w:type="dxa" w:w="3252"/>
            <w:shd w:val="clear" w:color="auto" w:fill="F7F9FB"/>
            <w:vAlign w:val="center"/>
          </w:tcPr>
          <w:p>
            <w:pPr>
              <w:keepNext/>
              <w:spacing w:after="0"/>
            </w:pPr>
            <w:r>
              <w:rPr>
                <w:rFonts w:ascii="Consolas" w:hAnsi="Consolas"/>
                <w:b w:val="0"/>
                <w:i w:val="0"/>
                <w:color w:val="222222"/>
                <w:sz w:val="18"/>
              </w:rPr>
              <w:t>fail</w:t>
            </w:r>
          </w:p>
        </w:tc>
      </w:tr>
      <w:tr>
        <w:trPr>
          <w:cantSplit/>
        </w:trPr>
        <w:tc>
          <w:tcPr>
            <w:tcW w:type="dxa" w:w="1515"/>
            <w:shd w:val="clear" w:color="auto" w:fill="FFFFFF"/>
            <w:vAlign w:val="center"/>
          </w:tcPr>
          <w:p>
            <w:pPr>
              <w:keepNext/>
              <w:spacing w:after="0"/>
            </w:pPr>
            <w:r>
              <w:rPr>
                <w:rFonts w:ascii="Calibri" w:hAnsi="Calibri"/>
                <w:b/>
                <w:i w:val="0"/>
                <w:color w:val="222222"/>
                <w:sz w:val="20"/>
              </w:rPr>
              <w:t>L3, hPSC burst rate closes</w:t>
            </w:r>
          </w:p>
        </w:tc>
        <w:tc>
          <w:tcPr>
            <w:tcW w:type="dxa" w:w="1886"/>
            <w:shd w:val="clear" w:color="auto" w:fill="FFFFFF"/>
            <w:vAlign w:val="center"/>
          </w:tcPr>
          <w:p>
            <w:pPr>
              <w:keepNext/>
              <w:spacing w:after="0"/>
            </w:pPr>
            <w:r>
              <w:rPr>
                <w:rFonts w:ascii="Calibri" w:hAnsi="Calibri"/>
                <w:b w:val="0"/>
                <w:i w:val="0"/>
                <w:color w:val="222222"/>
                <w:sz w:val="20"/>
              </w:rPr>
              <w:t>ratio 0.95 to 1.05 on both hPSC plates</w:t>
            </w:r>
          </w:p>
        </w:tc>
        <w:tc>
          <w:tcPr>
            <w:tcW w:type="dxa" w:w="1843"/>
            <w:shd w:val="clear" w:color="auto" w:fill="FFFFFF"/>
            <w:vAlign w:val="center"/>
          </w:tcPr>
          <w:p>
            <w:pPr>
              <w:keepNext/>
              <w:spacing w:after="0"/>
            </w:pPr>
            <w:r>
              <w:rPr>
                <w:rFonts w:ascii="Calibri" w:hAnsi="Calibri"/>
                <w:b w:val="0"/>
                <w:i w:val="0"/>
                <w:color w:val="222222"/>
                <w:sz w:val="20"/>
              </w:rPr>
              <w:t>1.0847 (hPSC_MEA1), 1.1438 (hPSC_MEA2)</w:t>
            </w:r>
          </w:p>
        </w:tc>
        <w:tc>
          <w:tcPr>
            <w:tcW w:type="dxa" w:w="3252"/>
            <w:shd w:val="clear" w:color="auto" w:fill="FFFFFF"/>
            <w:vAlign w:val="center"/>
          </w:tcPr>
          <w:p>
            <w:pPr>
              <w:keepNext/>
              <w:spacing w:after="0"/>
            </w:pPr>
            <w:r>
              <w:rPr>
                <w:rFonts w:ascii="Consolas" w:hAnsi="Consolas"/>
                <w:b w:val="0"/>
                <w:i w:val="0"/>
                <w:color w:val="222222"/>
                <w:sz w:val="18"/>
              </w:rPr>
              <w:t>uninterpretable</w:t>
            </w:r>
            <w:r>
              <w:rPr>
                <w:rFonts w:ascii="Calibri" w:hAnsi="Calibri"/>
                <w:b w:val="0"/>
                <w:i w:val="0"/>
                <w:color w:val="222222"/>
                <w:sz w:val="20"/>
              </w:rPr>
              <w:t>: the fallback covers a share of 0.515 of the hPSC active electrodes, more than half</w:t>
            </w:r>
          </w:p>
        </w:tc>
      </w:tr>
      <w:tr>
        <w:trPr>
          <w:cantSplit/>
        </w:trPr>
        <w:tc>
          <w:tcPr>
            <w:tcW w:type="dxa" w:w="1515"/>
            <w:shd w:val="clear" w:color="auto" w:fill="F7F9FB"/>
            <w:vAlign w:val="center"/>
          </w:tcPr>
          <w:p>
            <w:pPr>
              <w:keepNext w:val="0"/>
              <w:spacing w:after="0"/>
            </w:pPr>
            <w:r>
              <w:rPr>
                <w:rFonts w:ascii="Calibri" w:hAnsi="Calibri"/>
                <w:b/>
                <w:i w:val="0"/>
                <w:color w:val="222222"/>
                <w:sz w:val="20"/>
              </w:rPr>
              <w:t>L4, rat not worse</w:t>
            </w:r>
          </w:p>
        </w:tc>
        <w:tc>
          <w:tcPr>
            <w:tcW w:type="dxa" w:w="1886"/>
            <w:shd w:val="clear" w:color="auto" w:fill="F7F9FB"/>
            <w:vAlign w:val="center"/>
          </w:tcPr>
          <w:p>
            <w:pPr>
              <w:keepNext w:val="0"/>
              <w:spacing w:after="0"/>
            </w:pPr>
            <w:r>
              <w:rPr>
                <w:rFonts w:ascii="Calibri" w:hAnsi="Calibri"/>
                <w:b w:val="0"/>
                <w:i w:val="0"/>
                <w:color w:val="222222"/>
                <w:sz w:val="20"/>
              </w:rPr>
              <w:t>Rat_MEA1 burst rate 0.95 to 1.05, burst duration 0.9 to 1.1</w:t>
            </w:r>
          </w:p>
        </w:tc>
        <w:tc>
          <w:tcPr>
            <w:tcW w:type="dxa" w:w="1843"/>
            <w:shd w:val="clear" w:color="auto" w:fill="F7F9FB"/>
            <w:vAlign w:val="center"/>
          </w:tcPr>
          <w:p>
            <w:pPr>
              <w:keepNext w:val="0"/>
              <w:spacing w:after="0"/>
            </w:pPr>
            <w:r>
              <w:rPr>
                <w:rFonts w:ascii="Calibri" w:hAnsi="Calibri"/>
                <w:b w:val="0"/>
                <w:i w:val="0"/>
                <w:color w:val="222222"/>
                <w:sz w:val="20"/>
              </w:rPr>
              <w:t>0.9816 and 0.9825</w:t>
            </w:r>
          </w:p>
        </w:tc>
        <w:tc>
          <w:tcPr>
            <w:tcW w:type="dxa" w:w="3252"/>
            <w:shd w:val="clear" w:color="auto" w:fill="F7F9FB"/>
            <w:vAlign w:val="center"/>
          </w:tcPr>
          <w:p>
            <w:pPr>
              <w:keepNext w:val="0"/>
              <w:spacing w:after="0"/>
            </w:pPr>
            <w:r>
              <w:rPr>
                <w:rFonts w:ascii="Consolas" w:hAnsi="Consolas"/>
                <w:b w:val="0"/>
                <w:i w:val="0"/>
                <w:color w:val="222222"/>
                <w:sz w:val="18"/>
              </w:rPr>
              <w:t>pass</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97"/>
        <w:gridCol w:w="1600"/>
        <w:gridCol w:w="1600"/>
        <w:gridCol w:w="1500"/>
        <w:gridCol w:w="1300"/>
      </w:tblGrid>
      <w:tr>
        <w:trPr>
          <w:cantSplit/>
          <w:tblHeader/>
        </w:trPr>
        <w:tc>
          <w:tcPr>
            <w:tcW w:type="dxa" w:w="2497"/>
            <w:shd w:val="clear" w:color="auto" w:fill="1F4E79"/>
            <w:vAlign w:val="center"/>
          </w:tcPr>
          <w:p>
            <w:pPr>
              <w:keepNext/>
              <w:spacing w:after="0"/>
            </w:pPr>
            <w:r>
              <w:rPr>
                <w:rFonts w:ascii="Calibri" w:hAnsi="Calibri"/>
                <w:b/>
                <w:i w:val="0"/>
                <w:color w:val="FFFFFF"/>
                <w:sz w:val="20"/>
              </w:rPr>
              <w:t>median ratio ours/theirs, S3 → S4</w:t>
            </w:r>
          </w:p>
        </w:tc>
        <w:tc>
          <w:tcPr>
            <w:tcW w:type="dxa" w:w="1600"/>
            <w:shd w:val="clear" w:color="auto" w:fill="1F4E79"/>
            <w:vAlign w:val="center"/>
          </w:tcPr>
          <w:p>
            <w:pPr>
              <w:keepNext/>
              <w:spacing w:after="0"/>
            </w:pPr>
            <w:r>
              <w:rPr>
                <w:rFonts w:ascii="Calibri" w:hAnsi="Calibri"/>
                <w:b/>
                <w:i w:val="0"/>
                <w:color w:val="FFFFFF"/>
                <w:sz w:val="20"/>
              </w:rPr>
              <w:t>hPSC_MEA1</w:t>
            </w:r>
          </w:p>
        </w:tc>
        <w:tc>
          <w:tcPr>
            <w:tcW w:type="dxa" w:w="1600"/>
            <w:shd w:val="clear" w:color="auto" w:fill="1F4E79"/>
            <w:vAlign w:val="center"/>
          </w:tcPr>
          <w:p>
            <w:pPr>
              <w:keepNext/>
              <w:spacing w:after="0"/>
            </w:pPr>
            <w:r>
              <w:rPr>
                <w:rFonts w:ascii="Calibri" w:hAnsi="Calibri"/>
                <w:b/>
                <w:i w:val="0"/>
                <w:color w:val="FFFFFF"/>
                <w:sz w:val="20"/>
              </w:rPr>
              <w:t>hPSC_MEA2</w:t>
            </w:r>
          </w:p>
        </w:tc>
        <w:tc>
          <w:tcPr>
            <w:tcW w:type="dxa" w:w="1500"/>
            <w:shd w:val="clear" w:color="auto" w:fill="1F4E79"/>
            <w:vAlign w:val="center"/>
          </w:tcPr>
          <w:p>
            <w:pPr>
              <w:keepNext/>
              <w:spacing w:after="0"/>
            </w:pPr>
            <w:r>
              <w:rPr>
                <w:rFonts w:ascii="Calibri" w:hAnsi="Calibri"/>
                <w:b/>
                <w:i w:val="0"/>
                <w:color w:val="FFFFFF"/>
                <w:sz w:val="20"/>
              </w:rPr>
              <w:t>Rat_MEA1</w:t>
            </w:r>
          </w:p>
        </w:tc>
        <w:tc>
          <w:tcPr>
            <w:tcW w:type="dxa" w:w="1300"/>
            <w:shd w:val="clear" w:color="auto" w:fill="1F4E79"/>
            <w:vAlign w:val="center"/>
          </w:tcPr>
          <w:p>
            <w:pPr>
              <w:keepNext/>
              <w:spacing w:after="0"/>
            </w:pPr>
            <w:r>
              <w:rPr>
                <w:rFonts w:ascii="Calibri" w:hAnsi="Calibri"/>
                <w:b/>
                <w:i w:val="0"/>
                <w:color w:val="FFFFFF"/>
                <w:sz w:val="20"/>
              </w:rPr>
              <w:t>pooled</w:t>
            </w:r>
          </w:p>
        </w:tc>
      </w:tr>
      <w:tr>
        <w:trPr>
          <w:cantSplit/>
        </w:trPr>
        <w:tc>
          <w:tcPr>
            <w:tcW w:type="dxa" w:w="2497"/>
            <w:shd w:val="clear" w:color="auto" w:fill="FFFFFF"/>
            <w:vAlign w:val="center"/>
          </w:tcPr>
          <w:p>
            <w:pPr>
              <w:keepNext/>
              <w:spacing w:after="0"/>
            </w:pPr>
            <w:r>
              <w:rPr>
                <w:rFonts w:ascii="Calibri" w:hAnsi="Calibri"/>
                <w:b/>
                <w:i w:val="0"/>
                <w:color w:val="222222"/>
                <w:sz w:val="20"/>
              </w:rPr>
              <w:t>burst duration</w:t>
            </w:r>
          </w:p>
        </w:tc>
        <w:tc>
          <w:tcPr>
            <w:tcW w:type="dxa" w:w="1600"/>
            <w:shd w:val="clear" w:color="auto" w:fill="FFFFFF"/>
            <w:vAlign w:val="center"/>
          </w:tcPr>
          <w:p>
            <w:pPr>
              <w:keepNext/>
              <w:spacing w:after="0"/>
            </w:pPr>
            <w:r>
              <w:rPr>
                <w:rFonts w:ascii="Calibri" w:hAnsi="Calibri"/>
                <w:b w:val="0"/>
                <w:i w:val="0"/>
                <w:color w:val="222222"/>
                <w:sz w:val="20"/>
              </w:rPr>
              <w:t>0.9275 → 0.9686</w:t>
            </w:r>
          </w:p>
        </w:tc>
        <w:tc>
          <w:tcPr>
            <w:tcW w:type="dxa" w:w="1600"/>
            <w:shd w:val="clear" w:color="auto" w:fill="FFFFFF"/>
            <w:vAlign w:val="center"/>
          </w:tcPr>
          <w:p>
            <w:pPr>
              <w:keepNext/>
              <w:spacing w:after="0"/>
            </w:pPr>
            <w:r>
              <w:rPr>
                <w:rFonts w:ascii="Calibri" w:hAnsi="Calibri"/>
                <w:b w:val="0"/>
                <w:i w:val="0"/>
                <w:color w:val="222222"/>
                <w:sz w:val="20"/>
              </w:rPr>
              <w:t>0.8804 → 0.9191</w:t>
            </w:r>
          </w:p>
        </w:tc>
        <w:tc>
          <w:tcPr>
            <w:tcW w:type="dxa" w:w="1500"/>
            <w:shd w:val="clear" w:color="auto" w:fill="FFFFFF"/>
            <w:vAlign w:val="center"/>
          </w:tcPr>
          <w:p>
            <w:pPr>
              <w:keepNext/>
              <w:spacing w:after="0"/>
            </w:pPr>
            <w:r>
              <w:rPr>
                <w:rFonts w:ascii="Calibri" w:hAnsi="Calibri"/>
                <w:b w:val="0"/>
                <w:i w:val="0"/>
                <w:color w:val="222222"/>
                <w:sz w:val="20"/>
              </w:rPr>
              <w:t>0.7705 → 0.9825</w:t>
            </w:r>
          </w:p>
        </w:tc>
        <w:tc>
          <w:tcPr>
            <w:tcW w:type="dxa" w:w="1300"/>
            <w:shd w:val="clear" w:color="auto" w:fill="FFFFFF"/>
            <w:vAlign w:val="center"/>
          </w:tcPr>
          <w:p>
            <w:pPr>
              <w:keepNext/>
              <w:spacing w:after="0"/>
            </w:pPr>
            <w:r>
              <w:rPr>
                <w:rFonts w:ascii="Calibri" w:hAnsi="Calibri"/>
                <w:b w:val="0"/>
                <w:i w:val="0"/>
                <w:color w:val="222222"/>
                <w:sz w:val="20"/>
              </w:rPr>
              <w:t>0.8208 → 0.9611</w:t>
            </w:r>
          </w:p>
        </w:tc>
      </w:tr>
      <w:tr>
        <w:trPr>
          <w:cantSplit/>
        </w:trPr>
        <w:tc>
          <w:tcPr>
            <w:tcW w:type="dxa" w:w="2497"/>
            <w:shd w:val="clear" w:color="auto" w:fill="F7F9FB"/>
            <w:vAlign w:val="center"/>
          </w:tcPr>
          <w:p>
            <w:pPr>
              <w:keepNext/>
              <w:spacing w:after="0"/>
            </w:pPr>
            <w:r>
              <w:rPr>
                <w:rFonts w:ascii="Calibri" w:hAnsi="Calibri"/>
                <w:b/>
                <w:i w:val="0"/>
                <w:color w:val="222222"/>
                <w:sz w:val="20"/>
              </w:rPr>
              <w:t>spikes per burst</w:t>
            </w:r>
          </w:p>
        </w:tc>
        <w:tc>
          <w:tcPr>
            <w:tcW w:type="dxa" w:w="1600"/>
            <w:shd w:val="clear" w:color="auto" w:fill="F7F9FB"/>
            <w:vAlign w:val="center"/>
          </w:tcPr>
          <w:p>
            <w:pPr>
              <w:keepNext/>
              <w:spacing w:after="0"/>
            </w:pPr>
            <w:r>
              <w:rPr>
                <w:rFonts w:ascii="Calibri" w:hAnsi="Calibri"/>
                <w:b w:val="0"/>
                <w:i w:val="0"/>
                <w:color w:val="222222"/>
                <w:sz w:val="20"/>
              </w:rPr>
              <w:t>0.9523 → 1.0005</w:t>
            </w:r>
          </w:p>
        </w:tc>
        <w:tc>
          <w:tcPr>
            <w:tcW w:type="dxa" w:w="1600"/>
            <w:shd w:val="clear" w:color="auto" w:fill="F7F9FB"/>
            <w:vAlign w:val="center"/>
          </w:tcPr>
          <w:p>
            <w:pPr>
              <w:keepNext/>
              <w:spacing w:after="0"/>
            </w:pPr>
            <w:r>
              <w:rPr>
                <w:rFonts w:ascii="Calibri" w:hAnsi="Calibri"/>
                <w:b w:val="0"/>
                <w:i w:val="0"/>
                <w:color w:val="222222"/>
                <w:sz w:val="20"/>
              </w:rPr>
              <w:t>0.9466 → 0.9851</w:t>
            </w:r>
          </w:p>
        </w:tc>
        <w:tc>
          <w:tcPr>
            <w:tcW w:type="dxa" w:w="1500"/>
            <w:shd w:val="clear" w:color="auto" w:fill="F7F9FB"/>
            <w:vAlign w:val="center"/>
          </w:tcPr>
          <w:p>
            <w:pPr>
              <w:keepNext/>
              <w:spacing w:after="0"/>
            </w:pPr>
            <w:r>
              <w:rPr>
                <w:rFonts w:ascii="Calibri" w:hAnsi="Calibri"/>
                <w:b w:val="0"/>
                <w:i w:val="0"/>
                <w:color w:val="222222"/>
                <w:sz w:val="20"/>
              </w:rPr>
              <w:t>0.9378 → 1.0041</w:t>
            </w:r>
          </w:p>
        </w:tc>
        <w:tc>
          <w:tcPr>
            <w:tcW w:type="dxa" w:w="1300"/>
            <w:shd w:val="clear" w:color="auto" w:fill="F7F9FB"/>
            <w:vAlign w:val="center"/>
          </w:tcPr>
          <w:p>
            <w:pPr>
              <w:keepNext/>
              <w:spacing w:after="0"/>
            </w:pPr>
            <w:r>
              <w:rPr>
                <w:rFonts w:ascii="Calibri" w:hAnsi="Calibri"/>
                <w:b w:val="0"/>
                <w:i w:val="0"/>
                <w:color w:val="222222"/>
                <w:sz w:val="20"/>
              </w:rPr>
              <w:t>0.9433 → 0.9986</w:t>
            </w:r>
          </w:p>
        </w:tc>
      </w:tr>
      <w:tr>
        <w:trPr>
          <w:cantSplit/>
        </w:trPr>
        <w:tc>
          <w:tcPr>
            <w:tcW w:type="dxa" w:w="2497"/>
            <w:shd w:val="clear" w:color="auto" w:fill="FFFFFF"/>
            <w:vAlign w:val="center"/>
          </w:tcPr>
          <w:p>
            <w:pPr>
              <w:keepNext w:val="0"/>
              <w:spacing w:after="0"/>
            </w:pPr>
            <w:r>
              <w:rPr>
                <w:rFonts w:ascii="Calibri" w:hAnsi="Calibri"/>
                <w:b/>
                <w:i w:val="0"/>
                <w:color w:val="222222"/>
                <w:sz w:val="20"/>
              </w:rPr>
              <w:t>burst rate</w:t>
            </w:r>
          </w:p>
        </w:tc>
        <w:tc>
          <w:tcPr>
            <w:tcW w:type="dxa" w:w="1600"/>
            <w:shd w:val="clear" w:color="auto" w:fill="FFFFFF"/>
            <w:vAlign w:val="center"/>
          </w:tcPr>
          <w:p>
            <w:pPr>
              <w:keepNext w:val="0"/>
              <w:spacing w:after="0"/>
            </w:pPr>
            <w:r>
              <w:rPr>
                <w:rFonts w:ascii="Calibri" w:hAnsi="Calibri"/>
                <w:b w:val="0"/>
                <w:i w:val="0"/>
                <w:color w:val="222222"/>
                <w:sz w:val="20"/>
              </w:rPr>
              <w:t>0.8579 → 1.0847</w:t>
            </w:r>
          </w:p>
        </w:tc>
        <w:tc>
          <w:tcPr>
            <w:tcW w:type="dxa" w:w="1600"/>
            <w:shd w:val="clear" w:color="auto" w:fill="FFFFFF"/>
            <w:vAlign w:val="center"/>
          </w:tcPr>
          <w:p>
            <w:pPr>
              <w:keepNext w:val="0"/>
              <w:spacing w:after="0"/>
            </w:pPr>
            <w:r>
              <w:rPr>
                <w:rFonts w:ascii="Calibri" w:hAnsi="Calibri"/>
                <w:b w:val="0"/>
                <w:i w:val="0"/>
                <w:color w:val="222222"/>
                <w:sz w:val="20"/>
              </w:rPr>
              <w:t>0.8973 → 1.1438</w:t>
            </w:r>
          </w:p>
        </w:tc>
        <w:tc>
          <w:tcPr>
            <w:tcW w:type="dxa" w:w="1500"/>
            <w:shd w:val="clear" w:color="auto" w:fill="FFFFFF"/>
            <w:vAlign w:val="center"/>
          </w:tcPr>
          <w:p>
            <w:pPr>
              <w:keepNext w:val="0"/>
              <w:spacing w:after="0"/>
            </w:pPr>
            <w:r>
              <w:rPr>
                <w:rFonts w:ascii="Calibri" w:hAnsi="Calibri"/>
                <w:b w:val="0"/>
                <w:i w:val="0"/>
                <w:color w:val="222222"/>
                <w:sz w:val="20"/>
              </w:rPr>
              <w:t>1.04 → 0.9816</w:t>
            </w:r>
          </w:p>
        </w:tc>
        <w:tc>
          <w:tcPr>
            <w:tcW w:type="dxa" w:w="1300"/>
            <w:shd w:val="clear" w:color="auto" w:fill="FFFFFF"/>
            <w:vAlign w:val="center"/>
          </w:tcPr>
          <w:p>
            <w:pPr>
              <w:keepNext w:val="0"/>
              <w:spacing w:after="0"/>
            </w:pPr>
            <w:r>
              <w:rPr>
                <w:rFonts w:ascii="Calibri" w:hAnsi="Calibri"/>
                <w:b w:val="0"/>
                <w:i w:val="0"/>
                <w:color w:val="222222"/>
                <w:sz w:val="20"/>
              </w:rPr>
              <w:t>0.944 → 1.0488</w:t>
            </w:r>
          </w:p>
        </w:tc>
      </w:tr>
    </w:tbl>
    <w:p>
      <w:pPr>
        <w:spacing w:after="80"/>
      </w:pPr>
    </w:p>
    <w:p>
      <w:pPr>
        <w:keepNext/>
        <w:spacing w:before="120" w:after="40"/>
        <w:jc w:val="center"/>
      </w:pPr>
      <w:r>
        <w:drawing>
          <wp:inline xmlns:a="http://schemas.openxmlformats.org/drawingml/2006/main" xmlns:pic="http://schemas.openxmlformats.org/drawingml/2006/picture">
            <wp:extent cx="5394960" cy="2129589"/>
            <wp:docPr id="4" name="Picture 4"/>
            <wp:cNvGraphicFramePr>
              <a:graphicFrameLocks noChangeAspect="1"/>
            </wp:cNvGraphicFramePr>
            <a:graphic>
              <a:graphicData uri="http://schemas.openxmlformats.org/drawingml/2006/picture">
                <pic:pic>
                  <pic:nvPicPr>
                    <pic:cNvPr id="0" name="extractor_logisi_real.png"/>
                    <pic:cNvPicPr/>
                  </pic:nvPicPr>
                  <pic:blipFill>
                    <a:blip r:embed="rId16"/>
                    <a:stretch>
                      <a:fillRect/>
                    </a:stretch>
                  </pic:blipFill>
                  <pic:spPr>
                    <a:xfrm>
                      <a:off x="0" y="0"/>
                      <a:ext cx="5394960" cy="2129589"/>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Burst duration, spikes per burst and burst rate, median ratio ours/theirs per plate and pooled, for our definitions (S0), the depositors' stated settings (S3) and S3 with the logISI detector (S4, registered); REAL recordings. Dashed line is equality.</w:t>
      </w:r>
    </w:p>
    <w:p>
      <w:pPr>
        <w:spacing w:after="120"/>
      </w:pPr>
      <w:r>
        <w:rPr>
          <w:rFonts w:ascii="Calibri" w:hAnsi="Calibri"/>
          <w:b/>
          <w:i w:val="0"/>
          <w:color w:val="156082"/>
          <w:sz w:val="21"/>
        </w:rPr>
        <w:t>The reading.</w:t>
      </w:r>
      <w:r>
        <w:rPr>
          <w:rFonts w:ascii="Calibri" w:hAnsi="Calibri"/>
          <w:b w:val="0"/>
          <w:i w:val="0"/>
          <w:color w:val="222222"/>
          <w:sz w:val="21"/>
        </w:rPr>
        <w:t xml:space="preserve"> As we implemented it, the detector puts burst duration and spikes per burst on the depositors' scale but does not make the two implementations order the recordings the same way: rank agreement moves only from 0.8167 to 0.8347 for burst duration and from 0.9443 to 0.9467 for spikes per burst. On the human plates it overshoots the burst rate instead of closing it; on the rat plate it closes most of the burst-duration gap and leaves the burst rate in agreement. So the registered answer is no: the detector does not explain the rest of the difference, or our implementation of it differs from theirs, and these data cannot tell the two apart. The attribution stays open. Two diagnostics point at the implementation as much as at the detector. On the hPSC plates about half of the active electrode-recordings found no valid threshold (a share of 0.4982 on hPSC_MEA1 and 0.5321 on hPSC_MEA2, against 0.2313 on the rat plate), most often because their histogram has no valley after its first peak. And of those that did, a share of 0.2786 (hPSC_MEA1) and 0.2133 (hPSC_MEA2) set it below a millisecond: a peak of near-coincident spike pairs is taken as the intraburst peak, and that electrode then has almost no bursts. On the rat plate the median threshold is 281.84 ms, above the cutoff for a share of 0.8985 of its electrodes, so there logISI extends bursts at their edges, which is what lengthens them. Post hoc, and labelled so in the output: from S3 to S4 the hPSC burst rate changes by more than a tenth in a share of 0.8273 and 0.7632 of recordings, the rat burst duration in 0.8723; and two hPSC recordings lose every burst under S4 (318 pairs against 320). Whether the depositors' implementation treats near-coincident spikes the same way we cannot say: their analysis scripts are shared with the deposit (G-Node GIN) and were not read for this test, and reading them is the next step if the attribution matters.</w:t>
      </w:r>
    </w:p>
    <w:p>
      <w:pPr>
        <w:spacing w:after="120"/>
      </w:pPr>
      <w:r>
        <w:rPr>
          <w:rFonts w:ascii="Calibri" w:hAnsi="Calibri"/>
          <w:b/>
          <w:i w:val="0"/>
          <w:color w:val="156082"/>
          <w:sz w:val="21"/>
        </w:rPr>
        <w:t>What this does and does not say.</w:t>
      </w:r>
      <w:r>
        <w:rPr>
          <w:rFonts w:ascii="Calibri" w:hAnsi="Calibri"/>
          <w:b w:val="0"/>
          <w:i w:val="0"/>
          <w:color w:val="222222"/>
          <w:sz w:val="21"/>
        </w:rPr>
        <w:t xml:space="preserve"> We do not claim our definitions are more correct than the depositors'. They are fixed, stated, recorded in every record's method block, and applied identically to every source and to the twin (decision D33). A fixed rule keeps "burst" meaning the same thing in an immature hPSC culture and a mature rat one, which is what pooling across sources needs; an adaptive detector such as logISI moves with each culture's own spike-interval distribution, which suits describing one culture and complicates comparing two. No burst detector performs best on every data set (Cotterill et al. 2016, </w:t>
      </w:r>
      <w:r>
        <w:rPr>
          <w:rFonts w:ascii="Calibri" w:hAnsi="Calibri"/>
          <w:b w:val="0"/>
          <w:i/>
          <w:color w:val="222222"/>
          <w:sz w:val="21"/>
        </w:rPr>
        <w:t>J Neurophysiol</w:t>
      </w:r>
      <w:r>
        <w:rPr>
          <w:rFonts w:ascii="Calibri" w:hAnsi="Calibri"/>
          <w:b w:val="0"/>
          <w:i w:val="0"/>
          <w:color w:val="222222"/>
          <w:sz w:val="21"/>
        </w:rPr>
        <w:t>), and ours has a known cost: the fixed 100 ms rule trims bursts whose spikes loosen towards their edges; with logISI, burst duration moved most on the rat plate, where the per-electrode thresholds sit above the cutoff (above). A reader pooling our features with meaRtools output should convert, or recompute, rather than mix them.</w:t>
      </w:r>
    </w:p>
    <w:p>
      <w:pPr>
        <w:keepNext/>
        <w:spacing w:before="240" w:after="60"/>
      </w:pPr>
      <w:r>
        <w:rPr>
          <w:rFonts w:ascii="Calibri" w:hAnsi="Calibri"/>
          <w:b/>
          <w:i w:val="0"/>
          <w:color w:val="1F4E79"/>
          <w:sz w:val="23"/>
        </w:rPr>
        <w:t>Named definition sets</w:t>
      </w:r>
    </w:p>
    <w:p>
      <w:pPr>
        <w:spacing w:after="120"/>
      </w:pPr>
      <w:r>
        <w:rPr>
          <w:rFonts w:ascii="Calibri" w:hAnsi="Calibri"/>
          <w:b w:val="0"/>
          <w:i w:val="0"/>
          <w:color w:val="222222"/>
          <w:sz w:val="21"/>
        </w:rPr>
        <w:t xml:space="preserve">Decision D33 kept one fixed definition per feature and left a second option open: store each record's features under named definition sets, so that a reader can set our number beside another laboratory's. That is now built (decision D37) without changing a record. A registry in </w:t>
      </w:r>
      <w:r>
        <w:rPr>
          <w:rFonts w:ascii="Consolas" w:hAnsi="Consolas"/>
          <w:b w:val="0"/>
          <w:i w:val="0"/>
          <w:color w:val="222222"/>
          <w:sz w:val="19"/>
        </w:rPr>
        <w:t>features/definitions.py</w:t>
      </w:r>
      <w:r>
        <w:rPr>
          <w:rFonts w:ascii="Calibri" w:hAnsi="Calibri"/>
          <w:b w:val="0"/>
          <w:i w:val="0"/>
          <w:color w:val="222222"/>
          <w:sz w:val="21"/>
        </w:rPr>
        <w:t xml:space="preserve"> names three sets, each a bundle of options </w:t>
      </w:r>
      <w:r>
        <w:rPr>
          <w:rFonts w:ascii="Consolas" w:hAnsi="Consolas"/>
          <w:b w:val="0"/>
          <w:i w:val="0"/>
          <w:color w:val="222222"/>
          <w:sz w:val="19"/>
        </w:rPr>
        <w:t>features/mea.py</w:t>
      </w:r>
      <w:r>
        <w:rPr>
          <w:rFonts w:ascii="Calibri" w:hAnsi="Calibri"/>
          <w:b w:val="0"/>
          <w:i w:val="0"/>
          <w:color w:val="222222"/>
          <w:sz w:val="21"/>
        </w:rPr>
        <w:t xml:space="preserve"> already has plus whether a deposit's noisy electrodes are dropped; none is a second extractor. </w:t>
      </w:r>
      <w:r>
        <w:rPr>
          <w:rFonts w:ascii="Consolas" w:hAnsi="Consolas"/>
          <w:b w:val="0"/>
          <w:i w:val="0"/>
          <w:color w:val="222222"/>
          <w:sz w:val="19"/>
        </w:rPr>
        <w:t>neuromps</w:t>
      </w:r>
      <w:r>
        <w:rPr>
          <w:rFonts w:ascii="Calibri" w:hAnsi="Calibri"/>
          <w:b w:val="0"/>
          <w:i w:val="0"/>
          <w:color w:val="222222"/>
          <w:sz w:val="21"/>
        </w:rPr>
        <w:t xml:space="preserve"> (status </w:t>
      </w:r>
      <w:r>
        <w:rPr>
          <w:rFonts w:ascii="Consolas" w:hAnsi="Consolas"/>
          <w:b w:val="0"/>
          <w:i w:val="0"/>
          <w:color w:val="222222"/>
          <w:sz w:val="19"/>
        </w:rPr>
        <w:t>reference</w:t>
      </w:r>
      <w:r>
        <w:rPr>
          <w:rFonts w:ascii="Calibri" w:hAnsi="Calibri"/>
          <w:b w:val="0"/>
          <w:i w:val="0"/>
          <w:color w:val="222222"/>
          <w:sz w:val="21"/>
        </w:rPr>
        <w:t xml:space="preserve">) is the defaults every record and the twin use. </w:t>
      </w:r>
      <w:r>
        <w:rPr>
          <w:rFonts w:ascii="Consolas" w:hAnsi="Consolas"/>
          <w:b w:val="0"/>
          <w:i w:val="0"/>
          <w:color w:val="222222"/>
          <w:sz w:val="19"/>
        </w:rPr>
        <w:t>kapucu2022</w:t>
      </w:r>
      <w:r>
        <w:rPr>
          <w:rFonts w:ascii="Calibri" w:hAnsi="Calibri"/>
          <w:b w:val="0"/>
          <w:i w:val="0"/>
          <w:color w:val="222222"/>
          <w:sz w:val="21"/>
        </w:rPr>
        <w:t xml:space="preserve"> (</w:t>
      </w:r>
      <w:r>
        <w:rPr>
          <w:rFonts w:ascii="Consolas" w:hAnsi="Consolas"/>
          <w:b w:val="0"/>
          <w:i w:val="0"/>
          <w:color w:val="222222"/>
          <w:sz w:val="19"/>
        </w:rPr>
        <w:t>validated</w:t>
      </w:r>
      <w:r>
        <w:rPr>
          <w:rFonts w:ascii="Calibri" w:hAnsi="Calibri"/>
          <w:b w:val="0"/>
          <w:i w:val="0"/>
          <w:color w:val="222222"/>
          <w:sz w:val="21"/>
        </w:rPr>
        <w:t xml:space="preserve">) is the ladder's S3: the depositors' activity threshold, noisy-electrode lists and burst-rate denominator, with our fixed burst rule; its evidence is the ladder above. </w:t>
      </w:r>
      <w:r>
        <w:rPr>
          <w:rFonts w:ascii="Consolas" w:hAnsi="Consolas"/>
          <w:b w:val="0"/>
          <w:i w:val="0"/>
          <w:color w:val="222222"/>
          <w:sz w:val="19"/>
        </w:rPr>
        <w:t>kapucu2022_logisi</w:t>
      </w:r>
      <w:r>
        <w:rPr>
          <w:rFonts w:ascii="Calibri" w:hAnsi="Calibri"/>
          <w:b w:val="0"/>
          <w:i w:val="0"/>
          <w:color w:val="222222"/>
          <w:sz w:val="21"/>
        </w:rPr>
        <w:t xml:space="preserve"> (</w:t>
      </w:r>
      <w:r>
        <w:rPr>
          <w:rFonts w:ascii="Consolas" w:hAnsi="Consolas"/>
          <w:b w:val="0"/>
          <w:i w:val="0"/>
          <w:color w:val="222222"/>
          <w:sz w:val="19"/>
        </w:rPr>
        <w:t>experimental</w:t>
      </w:r>
      <w:r>
        <w:rPr>
          <w:rFonts w:ascii="Calibri" w:hAnsi="Calibri"/>
          <w:b w:val="0"/>
          <w:i w:val="0"/>
          <w:color w:val="222222"/>
          <w:sz w:val="21"/>
        </w:rPr>
        <w:t xml:space="preserve">) is S4, whose registered test passed one of four predictions with the attribution open; it is shown and used for no claim. A sidecar beside the asset, </w:t>
      </w:r>
      <w:r>
        <w:rPr>
          <w:rFonts w:ascii="Consolas" w:hAnsi="Consolas"/>
          <w:b w:val="0"/>
          <w:i w:val="0"/>
          <w:color w:val="222222"/>
          <w:sz w:val="19"/>
        </w:rPr>
        <w:t>data/processed/features_by_definition.parquet</w:t>
      </w:r>
      <w:r>
        <w:rPr>
          <w:rFonts w:ascii="Calibri" w:hAnsi="Calibri"/>
          <w:b w:val="0"/>
          <w:i w:val="0"/>
          <w:color w:val="222222"/>
          <w:sz w:val="21"/>
        </w:rPr>
        <w:t xml:space="preserve">, holds all 1,512 spike-time records under every set, re-read with the ETL modules' own loaders. Two checks run with it. Its </w:t>
      </w:r>
      <w:r>
        <w:rPr>
          <w:rFonts w:ascii="Consolas" w:hAnsi="Consolas"/>
          <w:b w:val="0"/>
          <w:i w:val="0"/>
          <w:color w:val="222222"/>
          <w:sz w:val="19"/>
        </w:rPr>
        <w:t>neuromps</w:t>
      </w:r>
      <w:r>
        <w:rPr>
          <w:rFonts w:ascii="Calibri" w:hAnsi="Calibri"/>
          <w:b w:val="0"/>
          <w:i w:val="0"/>
          <w:color w:val="222222"/>
          <w:sz w:val="21"/>
        </w:rPr>
        <w:t xml:space="preserve"> rows equal the asset's own features in all 13,608 values, with 0 differing. And on the developmental plates the </w:t>
      </w:r>
      <w:r>
        <w:rPr>
          <w:rFonts w:ascii="Consolas" w:hAnsi="Consolas"/>
          <w:b w:val="0"/>
          <w:i w:val="0"/>
          <w:color w:val="222222"/>
          <w:sz w:val="19"/>
        </w:rPr>
        <w:t>kapucu2022</w:t>
      </w:r>
      <w:r>
        <w:rPr>
          <w:rFonts w:ascii="Calibri" w:hAnsi="Calibri"/>
          <w:b w:val="0"/>
          <w:i w:val="0"/>
          <w:color w:val="222222"/>
          <w:sz w:val="21"/>
        </w:rPr>
        <w:t xml:space="preserve"> set's ratios against the depositors' tables equal the ladder's S3 numbers in 28 of 28 comparisons.</w:t>
      </w:r>
    </w:p>
    <w:p>
      <w:pPr>
        <w:keepNext/>
        <w:spacing w:after="120"/>
      </w:pPr>
      <w:r>
        <w:rPr>
          <w:rFonts w:ascii="Calibri" w:hAnsi="Calibri"/>
          <w:b/>
          <w:i w:val="0"/>
          <w:color w:val="156082"/>
          <w:sz w:val="21"/>
        </w:rPr>
        <w:t>Where a translation holds.</w:t>
      </w:r>
      <w:r>
        <w:rPr>
          <w:rFonts w:ascii="Calibri" w:hAnsi="Calibri"/>
          <w:b w:val="0"/>
          <w:i w:val="0"/>
          <w:color w:val="222222"/>
          <w:sz w:val="21"/>
        </w:rPr>
        <w:t xml:space="preserve"> On the 336 developmental-plate recordings, the same recording's value under </w:t>
      </w:r>
      <w:r>
        <w:rPr>
          <w:rFonts w:ascii="Consolas" w:hAnsi="Consolas"/>
          <w:b w:val="0"/>
          <w:i w:val="0"/>
          <w:color w:val="222222"/>
          <w:sz w:val="19"/>
        </w:rPr>
        <w:t>kapucu2022</w:t>
      </w:r>
      <w:r>
        <w:rPr>
          <w:rFonts w:ascii="Calibri" w:hAnsi="Calibri"/>
          <w:b w:val="0"/>
          <w:i w:val="0"/>
          <w:color w:val="222222"/>
          <w:sz w:val="21"/>
        </w:rPr>
        <w:t xml:space="preserve"> divided by its value under ours, with the agreement study's thresholds: same number when the ratio is within 0.05 of one and the rank agreement reaches 0.95; scale factor when the ranks agree and the ratio does not; no conversion when the ranks do not agree. The last column is how far </w:t>
      </w:r>
      <w:r>
        <w:rPr>
          <w:rFonts w:ascii="Consolas" w:hAnsi="Consolas"/>
          <w:b w:val="0"/>
          <w:i w:val="0"/>
          <w:color w:val="222222"/>
          <w:sz w:val="19"/>
        </w:rPr>
        <w:t>kapucu2022</w:t>
      </w:r>
      <w:r>
        <w:rPr>
          <w:rFonts w:ascii="Calibri" w:hAnsi="Calibri"/>
          <w:b w:val="0"/>
          <w:i w:val="0"/>
          <w:color w:val="222222"/>
          <w:sz w:val="21"/>
        </w:rPr>
        <w:t xml:space="preserve"> itself sits from the depositors' published values.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769"/>
        <w:gridCol w:w="1534"/>
        <w:gridCol w:w="1165"/>
        <w:gridCol w:w="1498"/>
        <w:gridCol w:w="1531"/>
      </w:tblGrid>
      <w:tr>
        <w:trPr>
          <w:cantSplit/>
          <w:tblHeader/>
        </w:trPr>
        <w:tc>
          <w:tcPr>
            <w:tcW w:type="dxa" w:w="2769"/>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 xml:space="preserve">ratio, </w:t>
            </w:r>
            <w:r>
              <w:rPr>
                <w:rFonts w:ascii="Consolas" w:hAnsi="Consolas"/>
                <w:b/>
                <w:i w:val="0"/>
                <w:color w:val="FFFFFF"/>
                <w:sz w:val="18"/>
              </w:rPr>
              <w:t>kapucu2022</w:t>
            </w:r>
            <w:r>
              <w:rPr>
                <w:rFonts w:ascii="Calibri" w:hAnsi="Calibri"/>
                <w:b/>
                <w:i w:val="0"/>
                <w:color w:val="FFFFFF"/>
                <w:sz w:val="20"/>
              </w:rPr>
              <w:t xml:space="preserve"> / ours</w:t>
            </w:r>
          </w:p>
        </w:tc>
        <w:tc>
          <w:tcPr>
            <w:tcW w:type="dxa" w:w="1165"/>
            <w:shd w:val="clear" w:color="auto" w:fill="1F4E79"/>
            <w:vAlign w:val="center"/>
          </w:tcPr>
          <w:p>
            <w:pPr>
              <w:keepNext/>
              <w:spacing w:after="0"/>
              <w:jc w:val="center"/>
            </w:pPr>
            <w:r>
              <w:rPr>
                <w:rFonts w:ascii="Calibri" w:hAnsi="Calibri"/>
                <w:b/>
                <w:i w:val="0"/>
                <w:color w:val="FFFFFF"/>
                <w:sz w:val="20"/>
              </w:rPr>
              <w:t>rank agreement (ρ)</w:t>
            </w:r>
          </w:p>
        </w:tc>
        <w:tc>
          <w:tcPr>
            <w:tcW w:type="dxa" w:w="1498"/>
            <w:shd w:val="clear" w:color="auto" w:fill="1F4E79"/>
            <w:vAlign w:val="center"/>
          </w:tcPr>
          <w:p>
            <w:pPr>
              <w:keepNext/>
              <w:spacing w:after="0"/>
            </w:pPr>
            <w:r>
              <w:rPr>
                <w:rFonts w:ascii="Calibri" w:hAnsi="Calibri"/>
                <w:b/>
                <w:i w:val="0"/>
                <w:color w:val="FFFFFF"/>
                <w:sz w:val="20"/>
              </w:rPr>
              <w:t>verdict</w:t>
            </w:r>
          </w:p>
        </w:tc>
        <w:tc>
          <w:tcPr>
            <w:tcW w:type="dxa" w:w="1531"/>
            <w:shd w:val="clear" w:color="auto" w:fill="1F4E79"/>
            <w:vAlign w:val="center"/>
          </w:tcPr>
          <w:p>
            <w:pPr>
              <w:keepNext/>
              <w:spacing w:after="0"/>
              <w:jc w:val="center"/>
            </w:pPr>
            <w:r>
              <w:rPr>
                <w:rFonts w:ascii="Consolas" w:hAnsi="Consolas"/>
                <w:b/>
                <w:i w:val="0"/>
                <w:color w:val="FFFFFF"/>
                <w:sz w:val="18"/>
              </w:rPr>
              <w:t>kapucu2022</w:t>
            </w:r>
            <w:r>
              <w:rPr>
                <w:rFonts w:ascii="Calibri" w:hAnsi="Calibri"/>
                <w:b/>
                <w:i w:val="0"/>
                <w:color w:val="FFFFFF"/>
                <w:sz w:val="20"/>
              </w:rPr>
              <w:t xml:space="preserve"> / depositors</w:t>
            </w:r>
          </w:p>
        </w:tc>
      </w:tr>
      <w:tr>
        <w:trPr>
          <w:cantSplit/>
        </w:trPr>
        <w:tc>
          <w:tcPr>
            <w:tcW w:type="dxa" w:w="2769"/>
            <w:shd w:val="clear" w:color="auto" w:fill="FFFFFF"/>
            <w:vAlign w:val="center"/>
          </w:tcPr>
          <w:p>
            <w:pPr>
              <w:keepNext/>
              <w:spacing w:after="0"/>
            </w:pPr>
            <w:r>
              <w:rPr>
                <w:rFonts w:ascii="Consolas" w:hAnsi="Consolas"/>
                <w:b/>
                <w:i w:val="0"/>
                <w:color w:val="222222"/>
                <w:sz w:val="18"/>
              </w:rPr>
              <w:t>pct_spikes_in_bursts</w:t>
            </w:r>
          </w:p>
        </w:tc>
        <w:tc>
          <w:tcPr>
            <w:tcW w:type="dxa" w:w="1534"/>
            <w:shd w:val="clear" w:color="auto" w:fill="FFFFFF"/>
            <w:vAlign w:val="center"/>
          </w:tcPr>
          <w:p>
            <w:pPr>
              <w:keepNext/>
              <w:spacing w:after="0"/>
              <w:jc w:val="center"/>
            </w:pPr>
            <w:r>
              <w:rPr>
                <w:rFonts w:ascii="Calibri" w:hAnsi="Calibri"/>
                <w:b w:val="0"/>
                <w:i w:val="0"/>
                <w:color w:val="222222"/>
                <w:sz w:val="20"/>
              </w:rPr>
              <w:t>1.0132</w:t>
            </w:r>
          </w:p>
        </w:tc>
        <w:tc>
          <w:tcPr>
            <w:tcW w:type="dxa" w:w="1165"/>
            <w:shd w:val="clear" w:color="auto" w:fill="FFFFFF"/>
            <w:vAlign w:val="center"/>
          </w:tcPr>
          <w:p>
            <w:pPr>
              <w:keepNext/>
              <w:spacing w:after="0"/>
              <w:jc w:val="center"/>
            </w:pPr>
            <w:r>
              <w:rPr>
                <w:rFonts w:ascii="Calibri" w:hAnsi="Calibri"/>
                <w:b w:val="0"/>
                <w:i w:val="0"/>
                <w:color w:val="222222"/>
                <w:sz w:val="20"/>
              </w:rPr>
              <w:t>0.9808</w:t>
            </w:r>
          </w:p>
        </w:tc>
        <w:tc>
          <w:tcPr>
            <w:tcW w:type="dxa" w:w="1498"/>
            <w:shd w:val="clear" w:color="auto" w:fill="FFFFFF"/>
            <w:vAlign w:val="center"/>
          </w:tcPr>
          <w:p>
            <w:pPr>
              <w:keepNext/>
              <w:spacing w:after="0"/>
            </w:pPr>
            <w:r>
              <w:rPr>
                <w:rFonts w:ascii="Consolas" w:hAnsi="Consolas"/>
                <w:b w:val="0"/>
                <w:i w:val="0"/>
                <w:color w:val="222222"/>
                <w:sz w:val="18"/>
              </w:rPr>
              <w:t>same number</w:t>
            </w:r>
          </w:p>
        </w:tc>
        <w:tc>
          <w:tcPr>
            <w:tcW w:type="dxa" w:w="1531"/>
            <w:shd w:val="clear" w:color="auto" w:fill="FFFFFF"/>
            <w:vAlign w:val="center"/>
          </w:tcPr>
          <w:p>
            <w:pPr>
              <w:keepNext/>
              <w:spacing w:after="0"/>
              <w:jc w:val="center"/>
            </w:pPr>
            <w:r>
              <w:rPr>
                <w:rFonts w:ascii="Calibri" w:hAnsi="Calibri"/>
                <w:b w:val="0"/>
                <w:i w:val="0"/>
                <w:color w:val="222222"/>
                <w:sz w:val="20"/>
              </w:rPr>
              <w:t>1.0007</w:t>
            </w:r>
          </w:p>
        </w:tc>
      </w:tr>
      <w:tr>
        <w:trPr>
          <w:cantSplit/>
        </w:trPr>
        <w:tc>
          <w:tcPr>
            <w:tcW w:type="dxa" w:w="2769"/>
            <w:shd w:val="clear" w:color="auto" w:fill="F7F9FB"/>
            <w:vAlign w:val="center"/>
          </w:tcPr>
          <w:p>
            <w:pPr>
              <w:keepNext/>
              <w:spacing w:after="0"/>
            </w:pPr>
            <w:r>
              <w:rPr>
                <w:rFonts w:ascii="Consolas" w:hAnsi="Consolas"/>
                <w:b/>
                <w:i w:val="0"/>
                <w:color w:val="222222"/>
                <w:sz w:val="18"/>
              </w:rPr>
              <w:t>spikes_per_burst</w:t>
            </w:r>
          </w:p>
        </w:tc>
        <w:tc>
          <w:tcPr>
            <w:tcW w:type="dxa" w:w="1534"/>
            <w:shd w:val="clear" w:color="auto" w:fill="F7F9FB"/>
            <w:vAlign w:val="center"/>
          </w:tcPr>
          <w:p>
            <w:pPr>
              <w:keepNext/>
              <w:spacing w:after="0"/>
              <w:jc w:val="center"/>
            </w:pPr>
            <w:r>
              <w:rPr>
                <w:rFonts w:ascii="Calibri" w:hAnsi="Calibri"/>
                <w:b w:val="0"/>
                <w:i w:val="0"/>
                <w:color w:val="222222"/>
                <w:sz w:val="20"/>
              </w:rPr>
              <w:t>1.0</w:t>
            </w:r>
          </w:p>
        </w:tc>
        <w:tc>
          <w:tcPr>
            <w:tcW w:type="dxa" w:w="1165"/>
            <w:shd w:val="clear" w:color="auto" w:fill="F7F9FB"/>
            <w:vAlign w:val="center"/>
          </w:tcPr>
          <w:p>
            <w:pPr>
              <w:keepNext/>
              <w:spacing w:after="0"/>
              <w:jc w:val="center"/>
            </w:pPr>
            <w:r>
              <w:rPr>
                <w:rFonts w:ascii="Calibri" w:hAnsi="Calibri"/>
                <w:b w:val="0"/>
                <w:i w:val="0"/>
                <w:color w:val="222222"/>
                <w:sz w:val="20"/>
              </w:rPr>
              <w:t>0.9766</w:t>
            </w:r>
          </w:p>
        </w:tc>
        <w:tc>
          <w:tcPr>
            <w:tcW w:type="dxa" w:w="1498"/>
            <w:shd w:val="clear" w:color="auto" w:fill="F7F9FB"/>
            <w:vAlign w:val="center"/>
          </w:tcPr>
          <w:p>
            <w:pPr>
              <w:keepNext/>
              <w:spacing w:after="0"/>
            </w:pPr>
            <w:r>
              <w:rPr>
                <w:rFonts w:ascii="Consolas" w:hAnsi="Consolas"/>
                <w:b w:val="0"/>
                <w:i w:val="0"/>
                <w:color w:val="222222"/>
                <w:sz w:val="18"/>
              </w:rPr>
              <w:t>same number</w:t>
            </w:r>
          </w:p>
        </w:tc>
        <w:tc>
          <w:tcPr>
            <w:tcW w:type="dxa" w:w="1531"/>
            <w:shd w:val="clear" w:color="auto" w:fill="F7F9FB"/>
            <w:vAlign w:val="center"/>
          </w:tcPr>
          <w:p>
            <w:pPr>
              <w:keepNext/>
              <w:spacing w:after="0"/>
              <w:jc w:val="center"/>
            </w:pPr>
            <w:r>
              <w:rPr>
                <w:rFonts w:ascii="Calibri" w:hAnsi="Calibri"/>
                <w:b w:val="0"/>
                <w:i w:val="0"/>
                <w:color w:val="222222"/>
                <w:sz w:val="20"/>
              </w:rPr>
              <w:t>0.9433</w:t>
            </w:r>
          </w:p>
        </w:tc>
      </w:tr>
      <w:tr>
        <w:trPr>
          <w:cantSplit/>
        </w:trPr>
        <w:tc>
          <w:tcPr>
            <w:tcW w:type="dxa" w:w="2769"/>
            <w:shd w:val="clear" w:color="auto" w:fill="FFFFFF"/>
            <w:vAlign w:val="center"/>
          </w:tcPr>
          <w:p>
            <w:pPr>
              <w:keepNext/>
              <w:spacing w:after="0"/>
            </w:pPr>
            <w:r>
              <w:rPr>
                <w:rFonts w:ascii="Consolas" w:hAnsi="Consolas"/>
                <w:b/>
                <w:i w:val="0"/>
                <w:color w:val="222222"/>
                <w:sz w:val="18"/>
              </w:rPr>
              <w:t>burst_duration_s</w:t>
            </w:r>
          </w:p>
        </w:tc>
        <w:tc>
          <w:tcPr>
            <w:tcW w:type="dxa" w:w="1534"/>
            <w:shd w:val="clear" w:color="auto" w:fill="FFFFFF"/>
            <w:vAlign w:val="center"/>
          </w:tcPr>
          <w:p>
            <w:pPr>
              <w:keepNext/>
              <w:spacing w:after="0"/>
              <w:jc w:val="center"/>
            </w:pPr>
            <w:r>
              <w:rPr>
                <w:rFonts w:ascii="Calibri" w:hAnsi="Calibri"/>
                <w:b w:val="0"/>
                <w:i w:val="0"/>
                <w:color w:val="222222"/>
                <w:sz w:val="20"/>
              </w:rPr>
              <w:t>1.0</w:t>
            </w:r>
          </w:p>
        </w:tc>
        <w:tc>
          <w:tcPr>
            <w:tcW w:type="dxa" w:w="1165"/>
            <w:shd w:val="clear" w:color="auto" w:fill="FFFFFF"/>
            <w:vAlign w:val="center"/>
          </w:tcPr>
          <w:p>
            <w:pPr>
              <w:keepNext/>
              <w:spacing w:after="0"/>
              <w:jc w:val="center"/>
            </w:pPr>
            <w:r>
              <w:rPr>
                <w:rFonts w:ascii="Calibri" w:hAnsi="Calibri"/>
                <w:b w:val="0"/>
                <w:i w:val="0"/>
                <w:color w:val="222222"/>
                <w:sz w:val="20"/>
              </w:rPr>
              <w:t>0.9829</w:t>
            </w:r>
          </w:p>
        </w:tc>
        <w:tc>
          <w:tcPr>
            <w:tcW w:type="dxa" w:w="1498"/>
            <w:shd w:val="clear" w:color="auto" w:fill="FFFFFF"/>
            <w:vAlign w:val="center"/>
          </w:tcPr>
          <w:p>
            <w:pPr>
              <w:keepNext/>
              <w:spacing w:after="0"/>
            </w:pPr>
            <w:r>
              <w:rPr>
                <w:rFonts w:ascii="Consolas" w:hAnsi="Consolas"/>
                <w:b w:val="0"/>
                <w:i w:val="0"/>
                <w:color w:val="222222"/>
                <w:sz w:val="18"/>
              </w:rPr>
              <w:t>same number</w:t>
            </w:r>
          </w:p>
        </w:tc>
        <w:tc>
          <w:tcPr>
            <w:tcW w:type="dxa" w:w="1531"/>
            <w:shd w:val="clear" w:color="auto" w:fill="FFFFFF"/>
            <w:vAlign w:val="center"/>
          </w:tcPr>
          <w:p>
            <w:pPr>
              <w:keepNext/>
              <w:spacing w:after="0"/>
              <w:jc w:val="center"/>
            </w:pPr>
            <w:r>
              <w:rPr>
                <w:rFonts w:ascii="Calibri" w:hAnsi="Calibri"/>
                <w:b w:val="0"/>
                <w:i w:val="0"/>
                <w:color w:val="222222"/>
                <w:sz w:val="20"/>
              </w:rPr>
              <w:t>0.8208</w:t>
            </w:r>
          </w:p>
        </w:tc>
      </w:tr>
      <w:tr>
        <w:trPr>
          <w:cantSplit/>
        </w:trPr>
        <w:tc>
          <w:tcPr>
            <w:tcW w:type="dxa" w:w="2769"/>
            <w:shd w:val="clear" w:color="auto" w:fill="F7F9FB"/>
            <w:vAlign w:val="center"/>
          </w:tcPr>
          <w:p>
            <w:pPr>
              <w:keepNext/>
              <w:spacing w:after="0"/>
            </w:pPr>
            <w:r>
              <w:rPr>
                <w:rFonts w:ascii="Consolas" w:hAnsi="Consolas"/>
                <w:b/>
                <w:i w:val="0"/>
                <w:color w:val="222222"/>
                <w:sz w:val="18"/>
              </w:rPr>
              <w:t>active_electrodes</w:t>
            </w:r>
          </w:p>
        </w:tc>
        <w:tc>
          <w:tcPr>
            <w:tcW w:type="dxa" w:w="1534"/>
            <w:shd w:val="clear" w:color="auto" w:fill="F7F9FB"/>
            <w:vAlign w:val="center"/>
          </w:tcPr>
          <w:p>
            <w:pPr>
              <w:keepNext/>
              <w:spacing w:after="0"/>
              <w:jc w:val="center"/>
            </w:pPr>
            <w:r>
              <w:rPr>
                <w:rFonts w:ascii="Calibri" w:hAnsi="Calibri"/>
                <w:b w:val="0"/>
                <w:i w:val="0"/>
                <w:color w:val="222222"/>
                <w:sz w:val="20"/>
              </w:rPr>
              <w:t>0.734</w:t>
            </w:r>
          </w:p>
        </w:tc>
        <w:tc>
          <w:tcPr>
            <w:tcW w:type="dxa" w:w="1165"/>
            <w:shd w:val="clear" w:color="auto" w:fill="F7F9FB"/>
            <w:vAlign w:val="center"/>
          </w:tcPr>
          <w:p>
            <w:pPr>
              <w:keepNext/>
              <w:spacing w:after="0"/>
              <w:jc w:val="center"/>
            </w:pPr>
            <w:r>
              <w:rPr>
                <w:rFonts w:ascii="Calibri" w:hAnsi="Calibri"/>
                <w:b w:val="0"/>
                <w:i w:val="0"/>
                <w:color w:val="222222"/>
                <w:sz w:val="20"/>
              </w:rPr>
              <w:t>0.9763</w:t>
            </w:r>
          </w:p>
        </w:tc>
        <w:tc>
          <w:tcPr>
            <w:tcW w:type="dxa" w:w="1498"/>
            <w:shd w:val="clear" w:color="auto" w:fill="F7F9FB"/>
            <w:vAlign w:val="center"/>
          </w:tcPr>
          <w:p>
            <w:pPr>
              <w:keepNext/>
              <w:spacing w:after="0"/>
            </w:pPr>
            <w:r>
              <w:rPr>
                <w:rFonts w:ascii="Consolas" w:hAnsi="Consolas"/>
                <w:b w:val="0"/>
                <w:i w:val="0"/>
                <w:color w:val="222222"/>
                <w:sz w:val="18"/>
              </w:rPr>
              <w:t>scale factor</w:t>
            </w:r>
          </w:p>
        </w:tc>
        <w:tc>
          <w:tcPr>
            <w:tcW w:type="dxa" w:w="1531"/>
            <w:shd w:val="clear" w:color="auto" w:fill="F7F9FB"/>
            <w:vAlign w:val="center"/>
          </w:tcPr>
          <w:p>
            <w:pPr>
              <w:keepNext/>
              <w:spacing w:after="0"/>
              <w:jc w:val="center"/>
            </w:pPr>
            <w:r>
              <w:rPr>
                <w:rFonts w:ascii="Calibri" w:hAnsi="Calibri"/>
                <w:b w:val="0"/>
                <w:i w:val="0"/>
                <w:color w:val="222222"/>
                <w:sz w:val="20"/>
              </w:rPr>
              <w:t>1.0</w:t>
            </w:r>
          </w:p>
        </w:tc>
      </w:tr>
      <w:tr>
        <w:trPr>
          <w:cantSplit/>
        </w:trPr>
        <w:tc>
          <w:tcPr>
            <w:tcW w:type="dxa" w:w="2769"/>
            <w:shd w:val="clear" w:color="auto" w:fill="FFFFFF"/>
            <w:vAlign w:val="center"/>
          </w:tcPr>
          <w:p>
            <w:pPr>
              <w:keepNext/>
              <w:spacing w:after="0"/>
            </w:pPr>
            <w:r>
              <w:rPr>
                <w:rFonts w:ascii="Consolas" w:hAnsi="Consolas"/>
                <w:b/>
                <w:i w:val="0"/>
                <w:color w:val="222222"/>
                <w:sz w:val="18"/>
              </w:rPr>
              <w:t>mfr_hz</w:t>
            </w:r>
          </w:p>
        </w:tc>
        <w:tc>
          <w:tcPr>
            <w:tcW w:type="dxa" w:w="1534"/>
            <w:shd w:val="clear" w:color="auto" w:fill="FFFFFF"/>
            <w:vAlign w:val="center"/>
          </w:tcPr>
          <w:p>
            <w:pPr>
              <w:keepNext/>
              <w:spacing w:after="0"/>
              <w:jc w:val="center"/>
            </w:pPr>
            <w:r>
              <w:rPr>
                <w:rFonts w:ascii="Calibri" w:hAnsi="Calibri"/>
                <w:b w:val="0"/>
                <w:i w:val="0"/>
                <w:color w:val="222222"/>
                <w:sz w:val="20"/>
              </w:rPr>
              <w:t>1.3264</w:t>
            </w:r>
          </w:p>
        </w:tc>
        <w:tc>
          <w:tcPr>
            <w:tcW w:type="dxa" w:w="1165"/>
            <w:shd w:val="clear" w:color="auto" w:fill="FFFFFF"/>
            <w:vAlign w:val="center"/>
          </w:tcPr>
          <w:p>
            <w:pPr>
              <w:keepNext/>
              <w:spacing w:after="0"/>
              <w:jc w:val="center"/>
            </w:pPr>
            <w:r>
              <w:rPr>
                <w:rFonts w:ascii="Calibri" w:hAnsi="Calibri"/>
                <w:b w:val="0"/>
                <w:i w:val="0"/>
                <w:color w:val="222222"/>
                <w:sz w:val="20"/>
              </w:rPr>
              <w:t>0.9831</w:t>
            </w:r>
          </w:p>
        </w:tc>
        <w:tc>
          <w:tcPr>
            <w:tcW w:type="dxa" w:w="1498"/>
            <w:shd w:val="clear" w:color="auto" w:fill="FFFFFF"/>
            <w:vAlign w:val="center"/>
          </w:tcPr>
          <w:p>
            <w:pPr>
              <w:keepNext/>
              <w:spacing w:after="0"/>
            </w:pPr>
            <w:r>
              <w:rPr>
                <w:rFonts w:ascii="Consolas" w:hAnsi="Consolas"/>
                <w:b w:val="0"/>
                <w:i w:val="0"/>
                <w:color w:val="222222"/>
                <w:sz w:val="18"/>
              </w:rPr>
              <w:t>scale factor</w:t>
            </w:r>
          </w:p>
        </w:tc>
        <w:tc>
          <w:tcPr>
            <w:tcW w:type="dxa" w:w="1531"/>
            <w:shd w:val="clear" w:color="auto" w:fill="FFFFFF"/>
            <w:vAlign w:val="center"/>
          </w:tcPr>
          <w:p>
            <w:pPr>
              <w:keepNext/>
              <w:spacing w:after="0"/>
              <w:jc w:val="center"/>
            </w:pPr>
            <w:r>
              <w:rPr>
                <w:rFonts w:ascii="Calibri" w:hAnsi="Calibri"/>
                <w:b w:val="0"/>
                <w:i w:val="0"/>
                <w:color w:val="222222"/>
                <w:sz w:val="20"/>
              </w:rPr>
              <w:t>1.0</w:t>
            </w:r>
          </w:p>
        </w:tc>
      </w:tr>
      <w:tr>
        <w:trPr>
          <w:cantSplit/>
        </w:trPr>
        <w:tc>
          <w:tcPr>
            <w:tcW w:type="dxa" w:w="2769"/>
            <w:shd w:val="clear" w:color="auto" w:fill="F7F9FB"/>
            <w:vAlign w:val="center"/>
          </w:tcPr>
          <w:p>
            <w:pPr>
              <w:keepNext/>
              <w:spacing w:after="0"/>
            </w:pPr>
            <w:r>
              <w:rPr>
                <w:rFonts w:ascii="Consolas" w:hAnsi="Consolas"/>
                <w:b/>
                <w:i w:val="0"/>
                <w:color w:val="222222"/>
                <w:sz w:val="18"/>
              </w:rPr>
              <w:t>synchrony_index</w:t>
            </w:r>
          </w:p>
        </w:tc>
        <w:tc>
          <w:tcPr>
            <w:tcW w:type="dxa" w:w="1534"/>
            <w:shd w:val="clear" w:color="auto" w:fill="F7F9FB"/>
            <w:vAlign w:val="center"/>
          </w:tcPr>
          <w:p>
            <w:pPr>
              <w:keepNext/>
              <w:spacing w:after="0"/>
              <w:jc w:val="center"/>
            </w:pPr>
            <w:r>
              <w:rPr>
                <w:rFonts w:ascii="Calibri" w:hAnsi="Calibri"/>
                <w:b w:val="0"/>
                <w:i w:val="0"/>
                <w:color w:val="222222"/>
                <w:sz w:val="20"/>
              </w:rPr>
              <w:t>1.315</w:t>
            </w:r>
          </w:p>
        </w:tc>
        <w:tc>
          <w:tcPr>
            <w:tcW w:type="dxa" w:w="1165"/>
            <w:shd w:val="clear" w:color="auto" w:fill="F7F9FB"/>
            <w:vAlign w:val="center"/>
          </w:tcPr>
          <w:p>
            <w:pPr>
              <w:keepNext/>
              <w:spacing w:after="0"/>
              <w:jc w:val="center"/>
            </w:pPr>
            <w:r>
              <w:rPr>
                <w:rFonts w:ascii="Calibri" w:hAnsi="Calibri"/>
                <w:b w:val="0"/>
                <w:i w:val="0"/>
                <w:color w:val="222222"/>
                <w:sz w:val="20"/>
              </w:rPr>
              <w:t>0.9839</w:t>
            </w:r>
          </w:p>
        </w:tc>
        <w:tc>
          <w:tcPr>
            <w:tcW w:type="dxa" w:w="1498"/>
            <w:shd w:val="clear" w:color="auto" w:fill="F7F9FB"/>
            <w:vAlign w:val="center"/>
          </w:tcPr>
          <w:p>
            <w:pPr>
              <w:keepNext/>
              <w:spacing w:after="0"/>
            </w:pPr>
            <w:r>
              <w:rPr>
                <w:rFonts w:ascii="Consolas" w:hAnsi="Consolas"/>
                <w:b w:val="0"/>
                <w:i w:val="0"/>
                <w:color w:val="222222"/>
                <w:sz w:val="18"/>
              </w:rPr>
              <w:t>scale factor</w:t>
            </w:r>
          </w:p>
        </w:tc>
        <w:tc>
          <w:tcPr>
            <w:tcW w:type="dxa" w:w="1531"/>
            <w:shd w:val="clear" w:color="auto" w:fill="F7F9FB"/>
            <w:vAlign w:val="center"/>
          </w:tcPr>
          <w:p>
            <w:pPr>
              <w:keepNext/>
              <w:spacing w:after="0"/>
              <w:jc w:val="center"/>
            </w:pPr>
            <w:r>
              <w:rPr>
                <w:rFonts w:ascii="Calibri" w:hAnsi="Calibri"/>
                <w:b w:val="0"/>
                <w:i w:val="0"/>
                <w:color w:val="222222"/>
                <w:sz w:val="20"/>
              </w:rPr>
              <w:t>1.0</w:t>
            </w:r>
          </w:p>
        </w:tc>
      </w:tr>
      <w:tr>
        <w:trPr>
          <w:cantSplit/>
        </w:trPr>
        <w:tc>
          <w:tcPr>
            <w:tcW w:type="dxa" w:w="2769"/>
            <w:shd w:val="clear" w:color="auto" w:fill="FFFFFF"/>
            <w:vAlign w:val="center"/>
          </w:tcPr>
          <w:p>
            <w:pPr>
              <w:keepNext w:val="0"/>
              <w:spacing w:after="0"/>
            </w:pPr>
            <w:r>
              <w:rPr>
                <w:rFonts w:ascii="Consolas" w:hAnsi="Consolas"/>
                <w:b/>
                <w:i w:val="0"/>
                <w:color w:val="222222"/>
                <w:sz w:val="18"/>
              </w:rPr>
              <w:t>burst_rate_per_min</w:t>
            </w:r>
          </w:p>
        </w:tc>
        <w:tc>
          <w:tcPr>
            <w:tcW w:type="dxa" w:w="1534"/>
            <w:shd w:val="clear" w:color="auto" w:fill="FFFFFF"/>
            <w:vAlign w:val="center"/>
          </w:tcPr>
          <w:p>
            <w:pPr>
              <w:keepNext w:val="0"/>
              <w:spacing w:after="0"/>
              <w:jc w:val="center"/>
            </w:pPr>
            <w:r>
              <w:rPr>
                <w:rFonts w:ascii="Calibri" w:hAnsi="Calibri"/>
                <w:b w:val="0"/>
                <w:i w:val="0"/>
                <w:color w:val="222222"/>
                <w:sz w:val="20"/>
              </w:rPr>
              <w:t>2.0584</w:t>
            </w:r>
          </w:p>
        </w:tc>
        <w:tc>
          <w:tcPr>
            <w:tcW w:type="dxa" w:w="1165"/>
            <w:shd w:val="clear" w:color="auto" w:fill="FFFFFF"/>
            <w:vAlign w:val="center"/>
          </w:tcPr>
          <w:p>
            <w:pPr>
              <w:keepNext w:val="0"/>
              <w:spacing w:after="0"/>
              <w:jc w:val="center"/>
            </w:pPr>
            <w:r>
              <w:rPr>
                <w:rFonts w:ascii="Calibri" w:hAnsi="Calibri"/>
                <w:b w:val="0"/>
                <w:i w:val="0"/>
                <w:color w:val="222222"/>
                <w:sz w:val="20"/>
              </w:rPr>
              <w:t>0.9299</w:t>
            </w:r>
          </w:p>
        </w:tc>
        <w:tc>
          <w:tcPr>
            <w:tcW w:type="dxa" w:w="1498"/>
            <w:shd w:val="clear" w:color="auto" w:fill="FFFFFF"/>
            <w:vAlign w:val="center"/>
          </w:tcPr>
          <w:p>
            <w:pPr>
              <w:keepNext w:val="0"/>
              <w:spacing w:after="0"/>
            </w:pPr>
            <w:r>
              <w:rPr>
                <w:rFonts w:ascii="Consolas" w:hAnsi="Consolas"/>
                <w:b w:val="0"/>
                <w:i w:val="0"/>
                <w:color w:val="222222"/>
                <w:sz w:val="18"/>
              </w:rPr>
              <w:t>no conversion</w:t>
            </w:r>
          </w:p>
        </w:tc>
        <w:tc>
          <w:tcPr>
            <w:tcW w:type="dxa" w:w="1531"/>
            <w:shd w:val="clear" w:color="auto" w:fill="FFFFFF"/>
            <w:vAlign w:val="center"/>
          </w:tcPr>
          <w:p>
            <w:pPr>
              <w:keepNext w:val="0"/>
              <w:spacing w:after="0"/>
              <w:jc w:val="center"/>
            </w:pPr>
            <w:r>
              <w:rPr>
                <w:rFonts w:ascii="Calibri" w:hAnsi="Calibri"/>
                <w:b w:val="0"/>
                <w:i w:val="0"/>
                <w:color w:val="222222"/>
                <w:sz w:val="20"/>
              </w:rPr>
              <w:t>0.944</w:t>
            </w:r>
          </w:p>
        </w:tc>
      </w:tr>
    </w:tbl>
    <w:p>
      <w:pPr>
        <w:spacing w:after="80"/>
      </w:pPr>
    </w:p>
    <w:p>
      <w:pPr>
        <w:spacing w:after="120"/>
      </w:pPr>
      <w:r>
        <w:rPr>
          <w:rFonts w:ascii="Calibri" w:hAnsi="Calibri"/>
          <w:b w:val="0"/>
          <w:i w:val="0"/>
          <w:color w:val="222222"/>
          <w:sz w:val="21"/>
        </w:rPr>
        <w:t xml:space="preserve">The full table, with the share of recordings within a tenth and the </w:t>
      </w:r>
      <w:r>
        <w:rPr>
          <w:rFonts w:ascii="Consolas" w:hAnsi="Consolas"/>
          <w:b w:val="0"/>
          <w:i w:val="0"/>
          <w:color w:val="222222"/>
          <w:sz w:val="19"/>
        </w:rPr>
        <w:t>kapucu2022_logisi</w:t>
      </w:r>
      <w:r>
        <w:rPr>
          <w:rFonts w:ascii="Calibri" w:hAnsi="Calibri"/>
          <w:b w:val="0"/>
          <w:i w:val="0"/>
          <w:color w:val="222222"/>
          <w:sz w:val="21"/>
        </w:rPr>
        <w:t xml:space="preserve"> pair, is </w:t>
      </w:r>
      <w:r>
        <w:rPr>
          <w:rFonts w:ascii="Consolas" w:hAnsi="Consolas"/>
          <w:b w:val="0"/>
          <w:i w:val="0"/>
          <w:color w:val="222222"/>
          <w:sz w:val="19"/>
        </w:rPr>
        <w:t>outputs/tables/feature_definitions.md</w:t>
      </w:r>
      <w:r>
        <w:rPr>
          <w:rFonts w:ascii="Calibri" w:hAnsi="Calibri"/>
          <w:b w:val="0"/>
          <w:i w:val="0"/>
          <w:color w:val="222222"/>
          <w:sz w:val="21"/>
        </w:rPr>
        <w:t>. Three features carry over unchanged, three by a factor, and burst rate not at all: the denominator change moves each recording by its own share of bursting electrodes, so the ranks shift (ρ 0.9299).</w:t>
      </w:r>
    </w:p>
    <w:p>
      <w:pPr>
        <w:spacing w:after="120"/>
      </w:pPr>
      <w:r>
        <w:rPr>
          <w:rFonts w:ascii="Calibri" w:hAnsi="Calibri"/>
          <w:b/>
          <w:i w:val="0"/>
          <w:color w:val="156082"/>
          <w:sz w:val="21"/>
        </w:rPr>
        <w:t>The limits.</w:t>
      </w:r>
      <w:r>
        <w:rPr>
          <w:rFonts w:ascii="Calibri" w:hAnsi="Calibri"/>
          <w:b w:val="0"/>
          <w:i w:val="0"/>
          <w:color w:val="222222"/>
          <w:sz w:val="21"/>
        </w:rPr>
        <w:t xml:space="preserve"> A translation is checked only where a depositor's own output exists, which today means these three plates; it is not a conversion for other laboratories or cultures. Even here a pooled factor is a property of the recordings, not of the two definitions: per plate the firing-rate ratio is 1.1017 on the rat plate and 1.3902 on hPSC_MEA1, and the active-electrode ratio 0.9008 against 0.6958 (hPSC_MEA2), because the stricter activity threshold drops more of the human electrodes. A same-number verdict between two of our sets says nothing about the depositors: burst duration is unchanged between </w:t>
      </w:r>
      <w:r>
        <w:rPr>
          <w:rFonts w:ascii="Consolas" w:hAnsi="Consolas"/>
          <w:b w:val="0"/>
          <w:i w:val="0"/>
          <w:color w:val="222222"/>
          <w:sz w:val="19"/>
        </w:rPr>
        <w:t>neuromps</w:t>
      </w:r>
      <w:r>
        <w:rPr>
          <w:rFonts w:ascii="Calibri" w:hAnsi="Calibri"/>
          <w:b w:val="0"/>
          <w:i w:val="0"/>
          <w:color w:val="222222"/>
          <w:sz w:val="21"/>
        </w:rPr>
        <w:t xml:space="preserve"> and </w:t>
      </w:r>
      <w:r>
        <w:rPr>
          <w:rFonts w:ascii="Consolas" w:hAnsi="Consolas"/>
          <w:b w:val="0"/>
          <w:i w:val="0"/>
          <w:color w:val="222222"/>
          <w:sz w:val="19"/>
        </w:rPr>
        <w:t>kapucu2022</w:t>
      </w:r>
      <w:r>
        <w:rPr>
          <w:rFonts w:ascii="Calibri" w:hAnsi="Calibri"/>
          <w:b w:val="0"/>
          <w:i w:val="0"/>
          <w:color w:val="222222"/>
          <w:sz w:val="21"/>
        </w:rPr>
        <w:t>, and both sit at 0.8208 of the depositors' value. Under the experimental set, burst duration has no conversion either (</w:t>
      </w:r>
      <w:r>
        <w:rPr>
          <w:rFonts w:ascii="Consolas" w:hAnsi="Consolas"/>
          <w:b w:val="0"/>
          <w:i w:val="0"/>
          <w:color w:val="222222"/>
          <w:sz w:val="19"/>
        </w:rPr>
        <w:t>no conversion</w:t>
      </w:r>
      <w:r>
        <w:rPr>
          <w:rFonts w:ascii="Calibri" w:hAnsi="Calibri"/>
          <w:b w:val="0"/>
          <w:i w:val="0"/>
          <w:color w:val="222222"/>
          <w:sz w:val="21"/>
        </w:rPr>
        <w:t>), and no result in this report uses that set. The sidecar is for reading our records beside a named definition; where spike times exist, recomputing under a named set is better than converting.</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5" name="Picture 5"/>
            <wp:cNvGraphicFramePr>
              <a:graphicFrameLocks noChangeAspect="1"/>
            </wp:cNvGraphicFramePr>
            <a:graphic>
              <a:graphicData uri="http://schemas.openxmlformats.org/drawingml/2006/picture">
                <pic:pic>
                  <pic:nvPicPr>
                    <pic:cNvPr id="0" name="mechanism_classifier_real.png"/>
                    <pic:cNvPicPr/>
                  </pic:nvPicPr>
                  <pic:blipFill>
                    <a:blip r:embed="rId17"/>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6" name="Picture 6"/>
            <wp:cNvGraphicFramePr>
              <a:graphicFrameLocks noChangeAspect="1"/>
            </wp:cNvGraphicFramePr>
            <a:graphic>
              <a:graphicData uri="http://schemas.openxmlformats.org/drawingml/2006/picture">
                <pic:pic>
                  <pic:nvPicPr>
                    <pic:cNvPr id="0" name="mechanism_confusion.png"/>
                    <pic:cNvPicPr/>
                  </pic:nvPicPr>
                  <pic:blipFill>
                    <a:blip r:embed="rId18"/>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7" name="Picture 7"/>
            <wp:cNvGraphicFramePr>
              <a:graphicFrameLocks noChangeAspect="1"/>
            </wp:cNvGraphicFramePr>
            <a:graphic>
              <a:graphicData uri="http://schemas.openxmlformats.org/drawingml/2006/picture">
                <pic:pic>
                  <pic:nvPicPr>
                    <pic:cNvPr id="0" name="species_shift.png"/>
                    <pic:cNvPicPr/>
                  </pic:nvPicPr>
                  <pic:blipFill>
                    <a:blip r:embed="rId19"/>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8" name="Picture 8"/>
            <wp:cNvGraphicFramePr>
              <a:graphicFrameLocks noChangeAspect="1"/>
            </wp:cNvGraphicFramePr>
            <a:graphic>
              <a:graphicData uri="http://schemas.openxmlformats.org/drawingml/2006/picture">
                <pic:pic>
                  <pic:nvPicPr>
                    <pic:cNvPr id="0" name="baseline_species_comparison.png"/>
                    <pic:cNvPicPr/>
                  </pic:nvPicPr>
                  <pic:blipFill>
                    <a:blip r:embed="rId20"/>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9" name="Picture 9"/>
            <wp:cNvGraphicFramePr>
              <a:graphicFrameLocks noChangeAspect="1"/>
            </wp:cNvGraphicFramePr>
            <a:graphic>
              <a:graphicData uri="http://schemas.openxmlformats.org/drawingml/2006/picture">
                <pic:pic>
                  <pic:nvPicPr>
                    <pic:cNvPr id="0" name="platform_contrast_gabaa_antagonist.png"/>
                    <pic:cNvPicPr/>
                  </pic:nvPicPr>
                  <pic:blipFill>
                    <a:blip r:embed="rId21"/>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10" name="Picture 10"/>
            <wp:cNvGraphicFramePr>
              <a:graphicFrameLocks noChangeAspect="1"/>
            </wp:cNvGraphicFramePr>
            <a:graphic>
              <a:graphicData uri="http://schemas.openxmlformats.org/drawingml/2006/picture">
                <pic:pic>
                  <pic:nvPicPr>
                    <pic:cNvPr id="0" name="twin_architecture_simulated.png"/>
                    <pic:cNvPicPr/>
                  </pic:nvPicPr>
                  <pic:blipFill>
                    <a:blip r:embed="rId22"/>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11" name="Picture 11"/>
            <wp:cNvGraphicFramePr>
              <a:graphicFrameLocks noChangeAspect="1"/>
            </wp:cNvGraphicFramePr>
            <a:graphic>
              <a:graphicData uri="http://schemas.openxmlformats.org/drawingml/2006/picture">
                <pic:pic>
                  <pic:nvPicPr>
                    <pic:cNvPr id="0" name="hd12_calibration_simulated.png"/>
                    <pic:cNvPicPr/>
                  </pic:nvPicPr>
                  <pic:blipFill>
                    <a:blip r:embed="rId23"/>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2" name="Picture 12"/>
            <wp:cNvGraphicFramePr>
              <a:graphicFrameLocks noChangeAspect="1"/>
            </wp:cNvGraphicFramePr>
            <a:graphic>
              <a:graphicData uri="http://schemas.openxmlformats.org/drawingml/2006/picture">
                <pic:pic>
                  <pic:nvPicPr>
                    <pic:cNvPr id="0" name="hd13_drug_knob_validation_simulated.png"/>
                    <pic:cNvPicPr/>
                  </pic:nvPicPr>
                  <pic:blipFill>
                    <a:blip r:embed="rId24"/>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 On a laboratory it had never seen, the EPA's acute MEA screen, the GABA-A block and sodium-block knobs agree with the positive controls on every scored direction (§33, added after the first round).</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3" name="Picture 13"/>
            <wp:cNvGraphicFramePr>
              <a:graphicFrameLocks noChangeAspect="1"/>
            </wp:cNvGraphicFramePr>
            <a:graphic>
              <a:graphicData uri="http://schemas.openxmlformats.org/drawingml/2006/picture">
                <pic:pic>
                  <pic:nvPicPr>
                    <pic:cNvPr id="0" name="compartment_lag_by_device_type.png"/>
                    <pic:cNvPicPr/>
                  </pic:nvPicPr>
                  <pic:blipFill>
                    <a:blip r:embed="rId25"/>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4" name="Picture 14"/>
            <wp:cNvGraphicFramePr>
              <a:graphicFrameLocks noChangeAspect="1"/>
            </wp:cNvGraphicFramePr>
            <a:graphic>
              <a:graphicData uri="http://schemas.openxmlformats.org/drawingml/2006/picture">
                <pic:pic>
                  <pic:nvPicPr>
                    <pic:cNvPr id="0" name="axonal_flow_vs_chamber.png"/>
                    <pic:cNvPicPr/>
                  </pic:nvPicPr>
                  <pic:blipFill>
                    <a:blip r:embed="rId26"/>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5" name="Picture 15"/>
            <wp:cNvGraphicFramePr>
              <a:graphicFrameLocks noChangeAspect="1"/>
            </wp:cNvGraphicFramePr>
            <a:graphic>
              <a:graphicData uri="http://schemas.openxmlformats.org/drawingml/2006/picture">
                <pic:pic>
                  <pic:nvPicPr>
                    <pic:cNvPr id="0" name="inference_network_simulated.png"/>
                    <pic:cNvPicPr/>
                  </pic:nvPicPr>
                  <pic:blipFill>
                    <a:blip r:embed="rId27"/>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on this test. Appendix G shows the full rank histograms. A registered follow-up after round 1 (below) found that the three passes do not hold on fresh simulations: this table is the test as it was run, not a calibration claim.</w:t>
      </w:r>
    </w:p>
    <w:p>
      <w:pPr>
        <w:keepNext/>
        <w:spacing w:after="120"/>
      </w:pPr>
      <w:r>
        <w:rPr>
          <w:rFonts w:ascii="Calibri" w:hAnsi="Calibri"/>
          <w:b/>
          <w:i w:val="0"/>
          <w:color w:val="156082"/>
          <w:sz w:val="21"/>
        </w:rPr>
        <w:t>After round 1: more simulations and an ensemble (registered, decision D31).</w:t>
      </w:r>
      <w:r>
        <w:rPr>
          <w:rFonts w:ascii="Calibri" w:hAnsi="Calibri"/>
          <w:b w:val="0"/>
          <w:i w:val="0"/>
          <w:color w:val="222222"/>
          <w:sz w:val="21"/>
        </w:rPr>
        <w:t xml:space="preserve"> We asked whether a larger simulation budget, an ensemble, or both would bring all five parameters into calibration without losing contraction, and registered seven predictions before running a single new simulation (</w:t>
      </w:r>
      <w:r>
        <w:rPr>
          <w:rFonts w:ascii="Consolas" w:hAnsi="Consolas"/>
          <w:b w:val="0"/>
          <w:i w:val="0"/>
          <w:color w:val="222222"/>
          <w:sz w:val="19"/>
        </w:rPr>
        <w:t>preregistration/twin_inference_recalibration.json</w:t>
      </w:r>
      <w:r>
        <w:rPr>
          <w:rFonts w:ascii="Calibri" w:hAnsi="Calibri"/>
          <w:b w:val="0"/>
          <w:i w:val="0"/>
          <w:color w:val="222222"/>
          <w:sz w:val="21"/>
        </w:rPr>
        <w:t>). Every new simulation used fresh seeds. Within the registered deadline we simulated 12,750 new training runs (51 of 60 planned chunks, cut by a prefix rule fixed in advance), for a pool of 15,750, and 1,000 fresh held-out runs. We compared three estimators on the same held-out simulations: the first-round flow unchanged, the same flow retrained on the larger pool, and an equal-weight ensemble of five such flows. The test is the first-round test, unchanged: rank uniformity on the first 300 held-out runs (the primary test) at p ≥ 0.05 per parameter, with no correction for testing five (a correction would make passing easier, and would have passed the first-round failures). We added credible-interval coverage on the full held-out set.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618"/>
        <w:gridCol w:w="1392"/>
        <w:gridCol w:w="874"/>
        <w:gridCol w:w="1166"/>
        <w:gridCol w:w="1353"/>
        <w:gridCol w:w="1092"/>
      </w:tblGrid>
      <w:tr>
        <w:trPr>
          <w:cantSplit/>
          <w:tblHeader/>
        </w:trPr>
        <w:tc>
          <w:tcPr>
            <w:tcW w:type="dxa" w:w="2618"/>
            <w:shd w:val="clear" w:color="auto" w:fill="1F4E79"/>
            <w:vAlign w:val="center"/>
          </w:tcPr>
          <w:p>
            <w:pPr>
              <w:keepNext/>
              <w:spacing w:after="0"/>
            </w:pPr>
            <w:r>
              <w:rPr>
                <w:rFonts w:ascii="Calibri" w:hAnsi="Calibri"/>
                <w:b/>
                <w:i w:val="0"/>
                <w:color w:val="FFFFFF"/>
                <w:sz w:val="20"/>
              </w:rPr>
              <w:t>model parameter</w:t>
            </w:r>
          </w:p>
        </w:tc>
        <w:tc>
          <w:tcPr>
            <w:tcW w:type="dxa" w:w="1392"/>
            <w:shd w:val="clear" w:color="auto" w:fill="1F4E79"/>
            <w:vAlign w:val="center"/>
          </w:tcPr>
          <w:p>
            <w:pPr>
              <w:keepNext/>
              <w:spacing w:after="0"/>
              <w:jc w:val="center"/>
            </w:pPr>
            <w:r>
              <w:rPr>
                <w:rFonts w:ascii="Calibri" w:hAnsi="Calibri"/>
                <w:b/>
                <w:i w:val="0"/>
                <w:color w:val="FFFFFF"/>
                <w:sz w:val="20"/>
              </w:rPr>
              <w:t>first-round flow, fresh runs (KS p)</w:t>
            </w:r>
          </w:p>
        </w:tc>
        <w:tc>
          <w:tcPr>
            <w:tcW w:type="dxa" w:w="874"/>
            <w:shd w:val="clear" w:color="auto" w:fill="1F4E79"/>
            <w:vAlign w:val="center"/>
          </w:tcPr>
          <w:p>
            <w:pPr>
              <w:keepNext/>
              <w:spacing w:after="0"/>
              <w:jc w:val="center"/>
            </w:pPr>
            <w:r>
              <w:rPr>
                <w:rFonts w:ascii="Calibri" w:hAnsi="Calibri"/>
                <w:b/>
                <w:i w:val="0"/>
                <w:color w:val="FFFFFF"/>
                <w:sz w:val="20"/>
              </w:rPr>
              <w:t>one flow, larger pool (KS p)</w:t>
            </w:r>
          </w:p>
        </w:tc>
        <w:tc>
          <w:tcPr>
            <w:tcW w:type="dxa" w:w="1166"/>
            <w:shd w:val="clear" w:color="auto" w:fill="1F4E79"/>
            <w:vAlign w:val="center"/>
          </w:tcPr>
          <w:p>
            <w:pPr>
              <w:keepNext/>
              <w:spacing w:after="0"/>
              <w:jc w:val="center"/>
            </w:pPr>
            <w:r>
              <w:rPr>
                <w:rFonts w:ascii="Calibri" w:hAnsi="Calibri"/>
                <w:b/>
                <w:i w:val="0"/>
                <w:color w:val="FFFFFF"/>
                <w:sz w:val="20"/>
              </w:rPr>
              <w:t>five-flow ensemble (KS p)</w:t>
            </w:r>
          </w:p>
        </w:tc>
        <w:tc>
          <w:tcPr>
            <w:tcW w:type="dxa" w:w="1353"/>
            <w:shd w:val="clear" w:color="auto" w:fill="1F4E79"/>
            <w:vAlign w:val="center"/>
          </w:tcPr>
          <w:p>
            <w:pPr>
              <w:keepNext/>
              <w:spacing w:after="0"/>
              <w:jc w:val="center"/>
            </w:pPr>
            <w:r>
              <w:rPr>
                <w:rFonts w:ascii="Calibri" w:hAnsi="Calibri"/>
                <w:b/>
                <w:i w:val="0"/>
                <w:color w:val="FFFFFF"/>
                <w:sz w:val="20"/>
              </w:rPr>
              <w:t>ensemble contraction</w:t>
            </w:r>
          </w:p>
        </w:tc>
        <w:tc>
          <w:tcPr>
            <w:tcW w:type="dxa" w:w="1092"/>
            <w:shd w:val="clear" w:color="auto" w:fill="1F4E79"/>
            <w:vAlign w:val="center"/>
          </w:tcPr>
          <w:p>
            <w:pPr>
              <w:keepNext/>
              <w:spacing w:after="0"/>
              <w:jc w:val="center"/>
            </w:pPr>
            <w:r>
              <w:rPr>
                <w:rFonts w:ascii="Calibri" w:hAnsi="Calibri"/>
                <w:b/>
                <w:i w:val="0"/>
                <w:color w:val="FFFFFF"/>
                <w:sz w:val="20"/>
              </w:rPr>
              <w:t>ensemble coverage of a 50% interval</w:t>
            </w:r>
          </w:p>
        </w:tc>
      </w:tr>
      <w:tr>
        <w:trPr>
          <w:cantSplit/>
        </w:trPr>
        <w:tc>
          <w:tcPr>
            <w:tcW w:type="dxa" w:w="2618"/>
            <w:shd w:val="clear" w:color="auto" w:fill="FFFFFF"/>
            <w:vAlign w:val="center"/>
          </w:tcPr>
          <w:p>
            <w:pPr>
              <w:keepNext/>
              <w:spacing w:after="0"/>
            </w:pPr>
            <w:r>
              <w:rPr>
                <w:rFonts w:ascii="Consolas" w:hAnsi="Consolas"/>
                <w:b/>
                <w:i w:val="0"/>
                <w:color w:val="222222"/>
                <w:sz w:val="18"/>
              </w:rPr>
              <w:t>threshold_scale</w:t>
            </w:r>
          </w:p>
        </w:tc>
        <w:tc>
          <w:tcPr>
            <w:tcW w:type="dxa" w:w="1392"/>
            <w:shd w:val="clear" w:color="auto" w:fill="FFFFFF"/>
            <w:vAlign w:val="center"/>
          </w:tcPr>
          <w:p>
            <w:pPr>
              <w:keepNext/>
              <w:spacing w:after="0"/>
              <w:jc w:val="center"/>
            </w:pPr>
            <w:r>
              <w:rPr>
                <w:rFonts w:ascii="Calibri" w:hAnsi="Calibri"/>
                <w:b w:val="0"/>
                <w:i w:val="0"/>
                <w:color w:val="222222"/>
                <w:sz w:val="20"/>
              </w:rPr>
              <w:t>0.0121</w:t>
            </w:r>
          </w:p>
        </w:tc>
        <w:tc>
          <w:tcPr>
            <w:tcW w:type="dxa" w:w="874"/>
            <w:shd w:val="clear" w:color="auto" w:fill="FFFFFF"/>
            <w:vAlign w:val="center"/>
          </w:tcPr>
          <w:p>
            <w:pPr>
              <w:keepNext/>
              <w:spacing w:after="0"/>
              <w:jc w:val="center"/>
            </w:pPr>
            <w:r>
              <w:rPr>
                <w:rFonts w:ascii="Calibri" w:hAnsi="Calibri"/>
                <w:b w:val="0"/>
                <w:i w:val="0"/>
                <w:color w:val="222222"/>
                <w:sz w:val="20"/>
              </w:rPr>
              <w:t>0.065</w:t>
            </w:r>
          </w:p>
        </w:tc>
        <w:tc>
          <w:tcPr>
            <w:tcW w:type="dxa" w:w="1166"/>
            <w:shd w:val="clear" w:color="auto" w:fill="FFFFFF"/>
            <w:vAlign w:val="center"/>
          </w:tcPr>
          <w:p>
            <w:pPr>
              <w:keepNext/>
              <w:spacing w:after="0"/>
              <w:jc w:val="center"/>
            </w:pPr>
            <w:r>
              <w:rPr>
                <w:rFonts w:ascii="Calibri" w:hAnsi="Calibri"/>
                <w:b w:val="0"/>
                <w:i w:val="0"/>
                <w:color w:val="222222"/>
                <w:sz w:val="20"/>
              </w:rPr>
              <w:t>0.3128</w:t>
            </w:r>
          </w:p>
        </w:tc>
        <w:tc>
          <w:tcPr>
            <w:tcW w:type="dxa" w:w="1353"/>
            <w:shd w:val="clear" w:color="auto" w:fill="FFFFFF"/>
            <w:vAlign w:val="center"/>
          </w:tcPr>
          <w:p>
            <w:pPr>
              <w:keepNext/>
              <w:spacing w:after="0"/>
              <w:jc w:val="center"/>
            </w:pPr>
            <w:r>
              <w:rPr>
                <w:rFonts w:ascii="Calibri" w:hAnsi="Calibri"/>
                <w:b w:val="0"/>
                <w:i w:val="0"/>
                <w:color w:val="222222"/>
                <w:sz w:val="20"/>
              </w:rPr>
              <w:t>0.742</w:t>
            </w:r>
          </w:p>
        </w:tc>
        <w:tc>
          <w:tcPr>
            <w:tcW w:type="dxa" w:w="1092"/>
            <w:shd w:val="clear" w:color="auto" w:fill="FFFFFF"/>
            <w:vAlign w:val="center"/>
          </w:tcPr>
          <w:p>
            <w:pPr>
              <w:keepNext/>
              <w:spacing w:after="0"/>
              <w:jc w:val="center"/>
            </w:pPr>
            <w:r>
              <w:rPr>
                <w:rFonts w:ascii="Calibri" w:hAnsi="Calibri"/>
                <w:b w:val="0"/>
                <w:i w:val="0"/>
                <w:color w:val="222222"/>
                <w:sz w:val="20"/>
              </w:rPr>
              <w:t>0.473</w:t>
            </w:r>
          </w:p>
        </w:tc>
      </w:tr>
      <w:tr>
        <w:trPr>
          <w:cantSplit/>
        </w:trPr>
        <w:tc>
          <w:tcPr>
            <w:tcW w:type="dxa" w:w="2618"/>
            <w:shd w:val="clear" w:color="auto" w:fill="F7F9FB"/>
            <w:vAlign w:val="center"/>
          </w:tcPr>
          <w:p>
            <w:pPr>
              <w:keepNext/>
              <w:spacing w:after="0"/>
            </w:pPr>
            <w:r>
              <w:rPr>
                <w:rFonts w:ascii="Consolas" w:hAnsi="Consolas"/>
                <w:b/>
                <w:i w:val="0"/>
                <w:color w:val="222222"/>
                <w:sz w:val="18"/>
              </w:rPr>
              <w:t>ampa_scale</w:t>
            </w:r>
          </w:p>
        </w:tc>
        <w:tc>
          <w:tcPr>
            <w:tcW w:type="dxa" w:w="1392"/>
            <w:shd w:val="clear" w:color="auto" w:fill="F7F9FB"/>
            <w:vAlign w:val="center"/>
          </w:tcPr>
          <w:p>
            <w:pPr>
              <w:keepNext/>
              <w:spacing w:after="0"/>
              <w:jc w:val="center"/>
            </w:pPr>
            <w:r>
              <w:rPr>
                <w:rFonts w:ascii="Calibri" w:hAnsi="Calibri"/>
                <w:b w:val="0"/>
                <w:i w:val="0"/>
                <w:color w:val="222222"/>
                <w:sz w:val="20"/>
              </w:rPr>
              <w:t>0.0345</w:t>
            </w:r>
          </w:p>
        </w:tc>
        <w:tc>
          <w:tcPr>
            <w:tcW w:type="dxa" w:w="874"/>
            <w:shd w:val="clear" w:color="auto" w:fill="F7F9FB"/>
            <w:vAlign w:val="center"/>
          </w:tcPr>
          <w:p>
            <w:pPr>
              <w:keepNext/>
              <w:spacing w:after="0"/>
              <w:jc w:val="center"/>
            </w:pPr>
            <w:r>
              <w:rPr>
                <w:rFonts w:ascii="Calibri" w:hAnsi="Calibri"/>
                <w:b w:val="0"/>
                <w:i w:val="0"/>
                <w:color w:val="222222"/>
                <w:sz w:val="20"/>
              </w:rPr>
              <w:t>0.1726</w:t>
            </w:r>
          </w:p>
        </w:tc>
        <w:tc>
          <w:tcPr>
            <w:tcW w:type="dxa" w:w="1166"/>
            <w:shd w:val="clear" w:color="auto" w:fill="F7F9FB"/>
            <w:vAlign w:val="center"/>
          </w:tcPr>
          <w:p>
            <w:pPr>
              <w:keepNext/>
              <w:spacing w:after="0"/>
              <w:jc w:val="center"/>
            </w:pPr>
            <w:r>
              <w:rPr>
                <w:rFonts w:ascii="Calibri" w:hAnsi="Calibri"/>
                <w:b w:val="0"/>
                <w:i w:val="0"/>
                <w:color w:val="222222"/>
                <w:sz w:val="20"/>
              </w:rPr>
              <w:t>0.3485</w:t>
            </w:r>
          </w:p>
        </w:tc>
        <w:tc>
          <w:tcPr>
            <w:tcW w:type="dxa" w:w="1353"/>
            <w:shd w:val="clear" w:color="auto" w:fill="F7F9FB"/>
            <w:vAlign w:val="center"/>
          </w:tcPr>
          <w:p>
            <w:pPr>
              <w:keepNext/>
              <w:spacing w:after="0"/>
              <w:jc w:val="center"/>
            </w:pPr>
            <w:r>
              <w:rPr>
                <w:rFonts w:ascii="Calibri" w:hAnsi="Calibri"/>
                <w:b w:val="0"/>
                <w:i w:val="0"/>
                <w:color w:val="222222"/>
                <w:sz w:val="20"/>
              </w:rPr>
              <w:t>0.663</w:t>
            </w:r>
          </w:p>
        </w:tc>
        <w:tc>
          <w:tcPr>
            <w:tcW w:type="dxa" w:w="1092"/>
            <w:shd w:val="clear" w:color="auto" w:fill="F7F9FB"/>
            <w:vAlign w:val="center"/>
          </w:tcPr>
          <w:p>
            <w:pPr>
              <w:keepNext/>
              <w:spacing w:after="0"/>
              <w:jc w:val="center"/>
            </w:pPr>
            <w:r>
              <w:rPr>
                <w:rFonts w:ascii="Calibri" w:hAnsi="Calibri"/>
                <w:b w:val="0"/>
                <w:i w:val="0"/>
                <w:color w:val="222222"/>
                <w:sz w:val="20"/>
              </w:rPr>
              <w:t>0.446</w:t>
            </w:r>
          </w:p>
        </w:tc>
      </w:tr>
      <w:tr>
        <w:trPr>
          <w:cantSplit/>
        </w:trPr>
        <w:tc>
          <w:tcPr>
            <w:tcW w:type="dxa" w:w="2618"/>
            <w:shd w:val="clear" w:color="auto" w:fill="FFFFFF"/>
            <w:vAlign w:val="center"/>
          </w:tcPr>
          <w:p>
            <w:pPr>
              <w:keepNext/>
              <w:spacing w:after="0"/>
            </w:pPr>
            <w:r>
              <w:rPr>
                <w:rFonts w:ascii="Consolas" w:hAnsi="Consolas"/>
                <w:b/>
                <w:i w:val="0"/>
                <w:color w:val="222222"/>
                <w:sz w:val="18"/>
              </w:rPr>
              <w:t>log10_forward_ratio</w:t>
            </w:r>
          </w:p>
        </w:tc>
        <w:tc>
          <w:tcPr>
            <w:tcW w:type="dxa" w:w="1392"/>
            <w:shd w:val="clear" w:color="auto" w:fill="FFFFFF"/>
            <w:vAlign w:val="center"/>
          </w:tcPr>
          <w:p>
            <w:pPr>
              <w:keepNext/>
              <w:spacing w:after="0"/>
              <w:jc w:val="center"/>
            </w:pPr>
            <w:r>
              <w:rPr>
                <w:rFonts w:ascii="Calibri" w:hAnsi="Calibri"/>
                <w:b w:val="0"/>
                <w:i w:val="0"/>
                <w:color w:val="222222"/>
                <w:sz w:val="20"/>
              </w:rPr>
              <w:t>0.0037</w:t>
            </w:r>
          </w:p>
        </w:tc>
        <w:tc>
          <w:tcPr>
            <w:tcW w:type="dxa" w:w="874"/>
            <w:shd w:val="clear" w:color="auto" w:fill="FFFFFF"/>
            <w:vAlign w:val="center"/>
          </w:tcPr>
          <w:p>
            <w:pPr>
              <w:keepNext/>
              <w:spacing w:after="0"/>
              <w:jc w:val="center"/>
            </w:pPr>
            <w:r>
              <w:rPr>
                <w:rFonts w:ascii="Calibri" w:hAnsi="Calibri"/>
                <w:b w:val="0"/>
                <w:i w:val="0"/>
                <w:color w:val="222222"/>
                <w:sz w:val="20"/>
              </w:rPr>
              <w:t>0.0874</w:t>
            </w:r>
          </w:p>
        </w:tc>
        <w:tc>
          <w:tcPr>
            <w:tcW w:type="dxa" w:w="1166"/>
            <w:shd w:val="clear" w:color="auto" w:fill="FFFFFF"/>
            <w:vAlign w:val="center"/>
          </w:tcPr>
          <w:p>
            <w:pPr>
              <w:keepNext/>
              <w:spacing w:after="0"/>
              <w:jc w:val="center"/>
            </w:pPr>
            <w:r>
              <w:rPr>
                <w:rFonts w:ascii="Calibri" w:hAnsi="Calibri"/>
                <w:b w:val="0"/>
                <w:i w:val="0"/>
                <w:color w:val="222222"/>
                <w:sz w:val="20"/>
              </w:rPr>
              <w:t>0.065</w:t>
            </w:r>
          </w:p>
        </w:tc>
        <w:tc>
          <w:tcPr>
            <w:tcW w:type="dxa" w:w="1353"/>
            <w:shd w:val="clear" w:color="auto" w:fill="FFFFFF"/>
            <w:vAlign w:val="center"/>
          </w:tcPr>
          <w:p>
            <w:pPr>
              <w:keepNext/>
              <w:spacing w:after="0"/>
              <w:jc w:val="center"/>
            </w:pPr>
            <w:r>
              <w:rPr>
                <w:rFonts w:ascii="Calibri" w:hAnsi="Calibri"/>
                <w:b w:val="0"/>
                <w:i w:val="0"/>
                <w:color w:val="222222"/>
                <w:sz w:val="20"/>
              </w:rPr>
              <w:t>0.464</w:t>
            </w:r>
          </w:p>
        </w:tc>
        <w:tc>
          <w:tcPr>
            <w:tcW w:type="dxa" w:w="1092"/>
            <w:shd w:val="clear" w:color="auto" w:fill="FFFFFF"/>
            <w:vAlign w:val="center"/>
          </w:tcPr>
          <w:p>
            <w:pPr>
              <w:keepNext/>
              <w:spacing w:after="0"/>
              <w:jc w:val="center"/>
            </w:pPr>
            <w:r>
              <w:rPr>
                <w:rFonts w:ascii="Calibri" w:hAnsi="Calibri"/>
                <w:b w:val="0"/>
                <w:i w:val="0"/>
                <w:color w:val="222222"/>
                <w:sz w:val="20"/>
              </w:rPr>
              <w:t>0.441</w:t>
            </w:r>
          </w:p>
        </w:tc>
      </w:tr>
      <w:tr>
        <w:trPr>
          <w:cantSplit/>
        </w:trPr>
        <w:tc>
          <w:tcPr>
            <w:tcW w:type="dxa" w:w="2618"/>
            <w:shd w:val="clear" w:color="auto" w:fill="F7F9FB"/>
            <w:vAlign w:val="center"/>
          </w:tcPr>
          <w:p>
            <w:pPr>
              <w:keepNext/>
              <w:spacing w:after="0"/>
            </w:pPr>
            <w:r>
              <w:rPr>
                <w:rFonts w:ascii="Consolas" w:hAnsi="Consolas"/>
                <w:b/>
                <w:i w:val="0"/>
                <w:color w:val="222222"/>
                <w:sz w:val="18"/>
              </w:rPr>
              <w:t>gabaa_scale</w:t>
            </w:r>
          </w:p>
        </w:tc>
        <w:tc>
          <w:tcPr>
            <w:tcW w:type="dxa" w:w="1392"/>
            <w:shd w:val="clear" w:color="auto" w:fill="F7F9FB"/>
            <w:vAlign w:val="center"/>
          </w:tcPr>
          <w:p>
            <w:pPr>
              <w:keepNext/>
              <w:spacing w:after="0"/>
              <w:jc w:val="center"/>
            </w:pPr>
            <w:r>
              <w:rPr>
                <w:rFonts w:ascii="Calibri" w:hAnsi="Calibri"/>
                <w:b w:val="0"/>
                <w:i w:val="0"/>
                <w:color w:val="222222"/>
                <w:sz w:val="20"/>
              </w:rPr>
              <w:t>0.01</w:t>
            </w:r>
          </w:p>
        </w:tc>
        <w:tc>
          <w:tcPr>
            <w:tcW w:type="dxa" w:w="874"/>
            <w:shd w:val="clear" w:color="auto" w:fill="F7F9FB"/>
            <w:vAlign w:val="center"/>
          </w:tcPr>
          <w:p>
            <w:pPr>
              <w:keepNext/>
              <w:spacing w:after="0"/>
              <w:jc w:val="center"/>
            </w:pPr>
            <w:r>
              <w:rPr>
                <w:rFonts w:ascii="Calibri" w:hAnsi="Calibri"/>
                <w:b w:val="0"/>
                <w:i w:val="0"/>
                <w:color w:val="222222"/>
                <w:sz w:val="20"/>
              </w:rPr>
              <w:t>0.0025</w:t>
            </w:r>
          </w:p>
        </w:tc>
        <w:tc>
          <w:tcPr>
            <w:tcW w:type="dxa" w:w="1166"/>
            <w:shd w:val="clear" w:color="auto" w:fill="F7F9FB"/>
            <w:vAlign w:val="center"/>
          </w:tcPr>
          <w:p>
            <w:pPr>
              <w:keepNext/>
              <w:spacing w:after="0"/>
              <w:jc w:val="center"/>
            </w:pPr>
            <w:r>
              <w:rPr>
                <w:rFonts w:ascii="Calibri" w:hAnsi="Calibri"/>
                <w:b w:val="0"/>
                <w:i w:val="0"/>
                <w:color w:val="222222"/>
                <w:sz w:val="20"/>
              </w:rPr>
              <w:t>0.1726</w:t>
            </w:r>
          </w:p>
        </w:tc>
        <w:tc>
          <w:tcPr>
            <w:tcW w:type="dxa" w:w="1353"/>
            <w:shd w:val="clear" w:color="auto" w:fill="F7F9FB"/>
            <w:vAlign w:val="center"/>
          </w:tcPr>
          <w:p>
            <w:pPr>
              <w:keepNext/>
              <w:spacing w:after="0"/>
              <w:jc w:val="center"/>
            </w:pPr>
            <w:r>
              <w:rPr>
                <w:rFonts w:ascii="Calibri" w:hAnsi="Calibri"/>
                <w:b w:val="0"/>
                <w:i w:val="0"/>
                <w:color w:val="222222"/>
                <w:sz w:val="20"/>
              </w:rPr>
              <w:t>0.31</w:t>
            </w:r>
          </w:p>
        </w:tc>
        <w:tc>
          <w:tcPr>
            <w:tcW w:type="dxa" w:w="1092"/>
            <w:shd w:val="clear" w:color="auto" w:fill="F7F9FB"/>
            <w:vAlign w:val="center"/>
          </w:tcPr>
          <w:p>
            <w:pPr>
              <w:keepNext/>
              <w:spacing w:after="0"/>
              <w:jc w:val="center"/>
            </w:pPr>
            <w:r>
              <w:rPr>
                <w:rFonts w:ascii="Calibri" w:hAnsi="Calibri"/>
                <w:b w:val="0"/>
                <w:i w:val="0"/>
                <w:color w:val="222222"/>
                <w:sz w:val="20"/>
              </w:rPr>
              <w:t>0.424</w:t>
            </w:r>
          </w:p>
        </w:tc>
      </w:tr>
      <w:tr>
        <w:trPr>
          <w:cantSplit/>
        </w:trPr>
        <w:tc>
          <w:tcPr>
            <w:tcW w:type="dxa" w:w="2618"/>
            <w:shd w:val="clear" w:color="auto" w:fill="FFFFFF"/>
            <w:vAlign w:val="center"/>
          </w:tcPr>
          <w:p>
            <w:pPr>
              <w:keepNext w:val="0"/>
              <w:spacing w:after="0"/>
            </w:pPr>
            <w:r>
              <w:rPr>
                <w:rFonts w:ascii="Consolas" w:hAnsi="Consolas"/>
                <w:b/>
                <w:i w:val="0"/>
                <w:color w:val="222222"/>
                <w:sz w:val="18"/>
              </w:rPr>
              <w:t>inter_in_degree</w:t>
            </w:r>
          </w:p>
        </w:tc>
        <w:tc>
          <w:tcPr>
            <w:tcW w:type="dxa" w:w="1392"/>
            <w:shd w:val="clear" w:color="auto" w:fill="FFFFFF"/>
            <w:vAlign w:val="center"/>
          </w:tcPr>
          <w:p>
            <w:pPr>
              <w:keepNext w:val="0"/>
              <w:spacing w:after="0"/>
              <w:jc w:val="center"/>
            </w:pPr>
            <w:r>
              <w:rPr>
                <w:rFonts w:ascii="Calibri" w:hAnsi="Calibri"/>
                <w:b w:val="0"/>
                <w:i w:val="0"/>
                <w:color w:val="222222"/>
                <w:sz w:val="20"/>
              </w:rPr>
              <w:t>0.0001</w:t>
            </w:r>
          </w:p>
        </w:tc>
        <w:tc>
          <w:tcPr>
            <w:tcW w:type="dxa" w:w="874"/>
            <w:shd w:val="clear" w:color="auto" w:fill="FFFFFF"/>
            <w:vAlign w:val="center"/>
          </w:tcPr>
          <w:p>
            <w:pPr>
              <w:keepNext w:val="0"/>
              <w:spacing w:after="0"/>
              <w:jc w:val="center"/>
            </w:pPr>
            <w:r>
              <w:rPr>
                <w:rFonts w:ascii="Calibri" w:hAnsi="Calibri"/>
                <w:b w:val="0"/>
                <w:i w:val="0"/>
                <w:color w:val="222222"/>
                <w:sz w:val="20"/>
              </w:rPr>
              <w:t>0.0056</w:t>
            </w:r>
          </w:p>
        </w:tc>
        <w:tc>
          <w:tcPr>
            <w:tcW w:type="dxa" w:w="1166"/>
            <w:shd w:val="clear" w:color="auto" w:fill="FFFFFF"/>
            <w:vAlign w:val="center"/>
          </w:tcPr>
          <w:p>
            <w:pPr>
              <w:keepNext w:val="0"/>
              <w:spacing w:after="0"/>
              <w:jc w:val="center"/>
            </w:pPr>
            <w:r>
              <w:rPr>
                <w:rFonts w:ascii="Calibri" w:hAnsi="Calibri"/>
                <w:b w:val="0"/>
                <w:i w:val="0"/>
                <w:color w:val="222222"/>
                <w:sz w:val="20"/>
              </w:rPr>
              <w:t>0.0056</w:t>
            </w:r>
          </w:p>
        </w:tc>
        <w:tc>
          <w:tcPr>
            <w:tcW w:type="dxa" w:w="1353"/>
            <w:shd w:val="clear" w:color="auto" w:fill="FFFFFF"/>
            <w:vAlign w:val="center"/>
          </w:tcPr>
          <w:p>
            <w:pPr>
              <w:keepNext w:val="0"/>
              <w:spacing w:after="0"/>
              <w:jc w:val="center"/>
            </w:pPr>
            <w:r>
              <w:rPr>
                <w:rFonts w:ascii="Calibri" w:hAnsi="Calibri"/>
                <w:b w:val="0"/>
                <w:i w:val="0"/>
                <w:color w:val="222222"/>
                <w:sz w:val="20"/>
              </w:rPr>
              <w:t>0.306</w:t>
            </w:r>
          </w:p>
        </w:tc>
        <w:tc>
          <w:tcPr>
            <w:tcW w:type="dxa" w:w="1092"/>
            <w:shd w:val="clear" w:color="auto" w:fill="FFFFFF"/>
            <w:vAlign w:val="center"/>
          </w:tcPr>
          <w:p>
            <w:pPr>
              <w:keepNext w:val="0"/>
              <w:spacing w:after="0"/>
              <w:jc w:val="center"/>
            </w:pPr>
            <w:r>
              <w:rPr>
                <w:rFonts w:ascii="Calibri" w:hAnsi="Calibri"/>
                <w:b w:val="0"/>
                <w:i w:val="0"/>
                <w:color w:val="222222"/>
                <w:sz w:val="20"/>
              </w:rPr>
              <w:t>0.41</w:t>
            </w:r>
          </w:p>
        </w:tc>
      </w:tr>
    </w:tbl>
    <w:p>
      <w:pPr>
        <w:spacing w:after="80"/>
      </w:pPr>
    </w:p>
    <w:p>
      <w:pPr>
        <w:spacing w:after="120"/>
      </w:pPr>
      <w:r>
        <w:rPr>
          <w:rFonts w:ascii="Calibri" w:hAnsi="Calibri"/>
          <w:b w:val="0"/>
          <w:i w:val="0"/>
          <w:color w:val="222222"/>
          <w:sz w:val="21"/>
        </w:rPr>
        <w:t>Two of the seven predictions pass (2 of 7):</w:t>
      </w:r>
    </w:p>
    <w:p>
      <w:pPr>
        <w:spacing w:after="120"/>
        <w:ind w:left="432" w:hanging="259"/>
      </w:pPr>
      <w:r>
        <w:rPr>
          <w:rFonts w:ascii="Calibri" w:hAnsi="Calibri"/>
          <w:b w:val="0"/>
          <w:i w:val="0"/>
          <w:color w:val="222222"/>
          <w:sz w:val="21"/>
        </w:rPr>
        <w:t>•</w:t>
        <w:tab/>
      </w:r>
      <w:r>
        <w:rPr>
          <w:rFonts w:ascii="Calibri" w:hAnsi="Calibri"/>
          <w:b/>
          <w:i w:val="0"/>
          <w:color w:val="156082"/>
          <w:sz w:val="21"/>
        </w:rPr>
        <w:t>The first-round failure replicates (passes), and more.</w:t>
      </w:r>
      <w:r>
        <w:rPr>
          <w:rFonts w:ascii="Calibri" w:hAnsi="Calibri"/>
          <w:b w:val="0"/>
          <w:i w:val="0"/>
          <w:color w:val="222222"/>
          <w:sz w:val="21"/>
        </w:rPr>
        <w:t xml:space="preserve"> On fresh simulations the first-round flow fails all five parameters, not two. It was not a changed simulator: six of its own training runs, re-simulated today, came out identical (6 of 6, a check added after the result). Nor was it our evaluation code: run on the first-round held-out set, it reproduces the first-round pattern, </w:t>
      </w:r>
      <w:r>
        <w:rPr>
          <w:rFonts w:ascii="Consolas" w:hAnsi="Consolas"/>
          <w:b w:val="0"/>
          <w:i w:val="0"/>
          <w:color w:val="222222"/>
          <w:sz w:val="19"/>
        </w:rPr>
        <w:t>threshold_scale</w:t>
      </w:r>
      <w:r>
        <w:rPr>
          <w:rFonts w:ascii="Calibri" w:hAnsi="Calibri"/>
          <w:b w:val="0"/>
          <w:i w:val="0"/>
          <w:color w:val="222222"/>
          <w:sz w:val="21"/>
        </w:rPr>
        <w:t xml:space="preserve"> passing at 0.7551 and </w:t>
      </w:r>
      <w:r>
        <w:rPr>
          <w:rFonts w:ascii="Consolas" w:hAnsi="Consolas"/>
          <w:b w:val="0"/>
          <w:i w:val="0"/>
          <w:color w:val="222222"/>
          <w:sz w:val="19"/>
        </w:rPr>
        <w:t>inter_in_degree</w:t>
      </w:r>
      <w:r>
        <w:rPr>
          <w:rFonts w:ascii="Calibri" w:hAnsi="Calibri"/>
          <w:b w:val="0"/>
          <w:i w:val="0"/>
          <w:color w:val="222222"/>
          <w:sz w:val="21"/>
        </w:rPr>
        <w:t xml:space="preserve"> failing at 0.0037. What the first-round test missed, coverage shows: even on that set, the first-round flow's 50% intervals held the true value 0.3933 to 0.47 of the time. Three hundred runs are too few for a rank test to see an over-confidence of this size reliably, so the first-round passes were partly luck (post hoc reading).</w:t>
      </w:r>
    </w:p>
    <w:p>
      <w:pPr>
        <w:spacing w:after="120"/>
        <w:ind w:left="432" w:hanging="259"/>
      </w:pPr>
      <w:r>
        <w:rPr>
          <w:rFonts w:ascii="Calibri" w:hAnsi="Calibri"/>
          <w:b w:val="0"/>
          <w:i w:val="0"/>
          <w:color w:val="222222"/>
          <w:sz w:val="21"/>
        </w:rPr>
        <w:t>•</w:t>
        <w:tab/>
      </w:r>
      <w:r>
        <w:rPr>
          <w:rFonts w:ascii="Calibri" w:hAnsi="Calibri"/>
          <w:b/>
          <w:i w:val="0"/>
          <w:color w:val="156082"/>
          <w:sz w:val="21"/>
        </w:rPr>
        <w:t>The ensemble does not calibrate all five (three predictions fail).</w:t>
      </w:r>
      <w:r>
        <w:rPr>
          <w:rFonts w:ascii="Calibri" w:hAnsi="Calibri"/>
          <w:b w:val="0"/>
          <w:i w:val="0"/>
          <w:color w:val="222222"/>
          <w:sz w:val="21"/>
        </w:rPr>
        <w:t xml:space="preserve"> On the primary test it passes four parameters and fails </w:t>
      </w:r>
      <w:r>
        <w:rPr>
          <w:rFonts w:ascii="Consolas" w:hAnsi="Consolas"/>
          <w:b w:val="0"/>
          <w:i w:val="0"/>
          <w:color w:val="222222"/>
          <w:sz w:val="19"/>
        </w:rPr>
        <w:t>inter_in_degree</w:t>
      </w:r>
      <w:r>
        <w:rPr>
          <w:rFonts w:ascii="Calibri" w:hAnsi="Calibri"/>
          <w:b w:val="0"/>
          <w:i w:val="0"/>
          <w:color w:val="222222"/>
          <w:sz w:val="21"/>
        </w:rPr>
        <w:t xml:space="preserve">; on the full held-out set it fails four of five (only </w:t>
      </w:r>
      <w:r>
        <w:rPr>
          <w:rFonts w:ascii="Consolas" w:hAnsi="Consolas"/>
          <w:b w:val="0"/>
          <w:i w:val="0"/>
          <w:color w:val="222222"/>
          <w:sz w:val="19"/>
        </w:rPr>
        <w:t>threshold_scale</w:t>
      </w:r>
      <w:r>
        <w:rPr>
          <w:rFonts w:ascii="Calibri" w:hAnsi="Calibri"/>
          <w:b w:val="0"/>
          <w:i w:val="0"/>
          <w:color w:val="222222"/>
          <w:sz w:val="21"/>
        </w:rPr>
        <w:t>, p = 0.1935, passes), and its intervals are still too narrow for four parameters (coverage check fails).</w:t>
      </w:r>
    </w:p>
    <w:p>
      <w:pPr>
        <w:spacing w:after="120"/>
        <w:ind w:left="432" w:hanging="259"/>
      </w:pPr>
      <w:r>
        <w:rPr>
          <w:rFonts w:ascii="Calibri" w:hAnsi="Calibri"/>
          <w:b w:val="0"/>
          <w:i w:val="0"/>
          <w:color w:val="222222"/>
          <w:sz w:val="21"/>
        </w:rPr>
        <w:t>•</w:t>
        <w:tab/>
      </w:r>
      <w:r>
        <w:rPr>
          <w:rFonts w:ascii="Calibri" w:hAnsi="Calibri"/>
          <w:b/>
          <w:i w:val="0"/>
          <w:color w:val="156082"/>
          <w:sz w:val="21"/>
        </w:rPr>
        <w:t>No contraction is lost (passes).</w:t>
      </w:r>
      <w:r>
        <w:rPr>
          <w:rFonts w:ascii="Calibri" w:hAnsi="Calibri"/>
          <w:b w:val="0"/>
          <w:i w:val="0"/>
          <w:color w:val="222222"/>
          <w:sz w:val="21"/>
        </w:rPr>
        <w:t xml:space="preserve"> Every parameter's contraction is at or above the first-round flow's on the same runs, less the registered margin of 0.05.</w:t>
      </w:r>
    </w:p>
    <w:p>
      <w:pPr>
        <w:spacing w:after="120"/>
        <w:ind w:left="432" w:hanging="259"/>
      </w:pPr>
      <w:r>
        <w:rPr>
          <w:rFonts w:ascii="Calibri" w:hAnsi="Calibri"/>
          <w:b w:val="0"/>
          <w:i w:val="0"/>
          <w:color w:val="222222"/>
          <w:sz w:val="21"/>
        </w:rPr>
        <w:t>•</w:t>
        <w:tab/>
      </w:r>
      <w:r>
        <w:rPr>
          <w:rFonts w:ascii="Calibri" w:hAnsi="Calibri"/>
          <w:b/>
          <w:i w:val="0"/>
          <w:color w:val="156082"/>
          <w:sz w:val="21"/>
        </w:rPr>
        <w:t>It costs more per posterior (fails).</w:t>
      </w:r>
      <w:r>
        <w:rPr>
          <w:rFonts w:ascii="Calibri" w:hAnsi="Calibri"/>
          <w:b w:val="0"/>
          <w:i w:val="0"/>
          <w:color w:val="222222"/>
          <w:sz w:val="21"/>
        </w:rPr>
        <w:t xml:space="preserve"> The ensemble takes 1.953 s for 1,000 draws against 0.3286 s for the first-round flow in the same process; the registered limit was 1 s. Each member is sampled separately, so the cost scales with the number of members.</w:t>
      </w:r>
    </w:p>
    <w:p>
      <w:pPr>
        <w:spacing w:after="120"/>
        <w:ind w:left="432" w:hanging="259"/>
      </w:pPr>
      <w:r>
        <w:rPr>
          <w:rFonts w:ascii="Calibri" w:hAnsi="Calibri"/>
          <w:b w:val="0"/>
          <w:i w:val="0"/>
          <w:color w:val="222222"/>
          <w:sz w:val="21"/>
        </w:rPr>
        <w:t>•</w:t>
        <w:tab/>
      </w:r>
      <w:r>
        <w:rPr>
          <w:rFonts w:ascii="Calibri" w:hAnsi="Calibri"/>
          <w:b/>
          <w:i w:val="0"/>
          <w:color w:val="156082"/>
          <w:sz w:val="21"/>
        </w:rPr>
        <w:t>Budget alone does not fix the two (fails).</w:t>
      </w:r>
      <w:r>
        <w:rPr>
          <w:rFonts w:ascii="Calibri" w:hAnsi="Calibri"/>
          <w:b w:val="0"/>
          <w:i w:val="0"/>
          <w:color w:val="222222"/>
          <w:sz w:val="21"/>
        </w:rPr>
        <w:t xml:space="preserve"> The first-round flow retrained on 15,750 runs is sharper but still fails </w:t>
      </w:r>
      <w:r>
        <w:rPr>
          <w:rFonts w:ascii="Consolas" w:hAnsi="Consolas"/>
          <w:b w:val="0"/>
          <w:i w:val="0"/>
          <w:color w:val="222222"/>
          <w:sz w:val="19"/>
        </w:rPr>
        <w:t>gabaa_scale</w:t>
      </w:r>
      <w:r>
        <w:rPr>
          <w:rFonts w:ascii="Calibri" w:hAnsi="Calibri"/>
          <w:b w:val="0"/>
          <w:i w:val="0"/>
          <w:color w:val="222222"/>
          <w:sz w:val="21"/>
        </w:rPr>
        <w:t xml:space="preserve"> (p = 0.0025) and </w:t>
      </w:r>
      <w:r>
        <w:rPr>
          <w:rFonts w:ascii="Consolas" w:hAnsi="Consolas"/>
          <w:b w:val="0"/>
          <w:i w:val="0"/>
          <w:color w:val="222222"/>
          <w:sz w:val="19"/>
        </w:rPr>
        <w:t>inter_in_degree</w:t>
      </w:r>
      <w:r>
        <w:rPr>
          <w:rFonts w:ascii="Calibri" w:hAnsi="Calibri"/>
          <w:b w:val="0"/>
          <w:i w:val="0"/>
          <w:color w:val="222222"/>
          <w:sz w:val="21"/>
        </w:rPr>
        <w:t xml:space="preserve">. The five-flow ensemble on the first-round training set alone fails all five on the primary test. Only budget and averaging together moved </w:t>
      </w:r>
      <w:r>
        <w:rPr>
          <w:rFonts w:ascii="Consolas" w:hAnsi="Consolas"/>
          <w:b w:val="0"/>
          <w:i w:val="0"/>
          <w:color w:val="222222"/>
          <w:sz w:val="19"/>
        </w:rPr>
        <w:t>gabaa_scale</w:t>
      </w:r>
      <w:r>
        <w:rPr>
          <w:rFonts w:ascii="Calibri" w:hAnsi="Calibri"/>
          <w:b w:val="0"/>
          <w:i w:val="0"/>
          <w:color w:val="222222"/>
          <w:sz w:val="21"/>
        </w:rPr>
        <w:t xml:space="preserve"> past the threshold on the 300-run test, and on the full held-out set it fails there too (exploratory comparison).</w:t>
      </w:r>
    </w:p>
    <w:p>
      <w:pPr>
        <w:spacing w:after="120"/>
      </w:pPr>
      <w:r>
        <w:rPr>
          <w:rFonts w:ascii="Calibri" w:hAnsi="Calibri"/>
          <w:b w:val="0"/>
          <w:i w:val="0"/>
          <w:color w:val="222222"/>
          <w:sz w:val="21"/>
        </w:rPr>
        <w:t xml:space="preserve">The registered check near the real recordings also fails: on the 300 held-out runs closest to the 113 real two-chamber recordings, the ensemble fails </w:t>
      </w:r>
      <w:r>
        <w:rPr>
          <w:rFonts w:ascii="Consolas" w:hAnsi="Consolas"/>
          <w:b w:val="0"/>
          <w:i w:val="0"/>
          <w:color w:val="222222"/>
          <w:sz w:val="19"/>
        </w:rPr>
        <w:t>ampa_scale</w:t>
      </w:r>
      <w:r>
        <w:rPr>
          <w:rFonts w:ascii="Calibri" w:hAnsi="Calibri"/>
          <w:b w:val="0"/>
          <w:i w:val="0"/>
          <w:color w:val="222222"/>
          <w:sz w:val="21"/>
        </w:rPr>
        <w:t xml:space="preserve"> (p = 0.0121). Those runs are not very close: the median real recording lies 2.661 standard units from its nearest simulation, where a simulation lies 0.541 from its nearest neighbour.</w:t>
      </w:r>
    </w:p>
    <w:p>
      <w:pPr>
        <w:spacing w:after="120"/>
      </w:pPr>
      <w:r>
        <w:rPr>
          <w:rFonts w:ascii="Calibri" w:hAnsi="Calibri"/>
          <w:b w:val="0"/>
          <w:i w:val="0"/>
          <w:color w:val="222222"/>
          <w:sz w:val="21"/>
        </w:rPr>
        <w:t xml:space="preserve">Under the rule registered for the slide, the ensemble may be quoted for </w:t>
      </w:r>
      <w:r>
        <w:rPr>
          <w:rFonts w:ascii="Consolas" w:hAnsi="Consolas"/>
          <w:b w:val="0"/>
          <w:i w:val="0"/>
          <w:color w:val="222222"/>
          <w:sz w:val="19"/>
        </w:rPr>
        <w:t>threshold_scale</w:t>
      </w:r>
      <w:r>
        <w:rPr>
          <w:rFonts w:ascii="Calibri" w:hAnsi="Calibri"/>
          <w:b w:val="0"/>
          <w:i w:val="0"/>
          <w:color w:val="222222"/>
          <w:sz w:val="21"/>
        </w:rPr>
        <w:t xml:space="preserve"> only. The inhibitory knob our pharmacology sections lean on stays withheld, as do the other three. More simulations and averaging lower every parameter's rank-test statistic on the full held-out set (for </w:t>
      </w:r>
      <w:r>
        <w:rPr>
          <w:rFonts w:ascii="Consolas" w:hAnsi="Consolas"/>
          <w:b w:val="0"/>
          <w:i w:val="0"/>
          <w:color w:val="222222"/>
          <w:sz w:val="19"/>
        </w:rPr>
        <w:t>gabaa_scale</w:t>
      </w:r>
      <w:r>
        <w:rPr>
          <w:rFonts w:ascii="Calibri" w:hAnsi="Calibri"/>
          <w:b w:val="0"/>
          <w:i w:val="0"/>
          <w:color w:val="222222"/>
          <w:sz w:val="21"/>
        </w:rPr>
        <w:t xml:space="preserve"> from 0.11 to 0.077, for </w:t>
      </w:r>
      <w:r>
        <w:rPr>
          <w:rFonts w:ascii="Consolas" w:hAnsi="Consolas"/>
          <w:b w:val="0"/>
          <w:i w:val="0"/>
          <w:color w:val="222222"/>
          <w:sz w:val="19"/>
        </w:rPr>
        <w:t>inter_in_degree</w:t>
      </w:r>
      <w:r>
        <w:rPr>
          <w:rFonts w:ascii="Calibri" w:hAnsi="Calibri"/>
          <w:b w:val="0"/>
          <w:i w:val="0"/>
          <w:color w:val="222222"/>
          <w:sz w:val="21"/>
        </w:rPr>
        <w:t xml:space="preserve"> from 0.107 to 0.063) without costing sharpness, but not far enough, so the limit is not budget alone; whether it is the estimator family or what the 19 summaries carry is the next question, not one this test answers. The full record is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and the rank histograms and coverage are in Appendix G.</w:t>
      </w:r>
    </w:p>
    <w:p>
      <w:pPr>
        <w:keepNext/>
        <w:spacing w:after="120"/>
      </w:pPr>
      <w:r>
        <w:rPr>
          <w:rFonts w:ascii="Calibri" w:hAnsi="Calibri"/>
          <w:b/>
          <w:i w:val="0"/>
          <w:color w:val="156082"/>
          <w:sz w:val="21"/>
        </w:rPr>
        <w:t>A registered follow-up: is the gap the prior's range or the model? (decision D38).</w:t>
      </w:r>
      <w:r>
        <w:rPr>
          <w:rFonts w:ascii="Calibri" w:hAnsi="Calibri"/>
          <w:b w:val="0"/>
          <w:i w:val="0"/>
          <w:color w:val="222222"/>
          <w:sz w:val="21"/>
        </w:rPr>
        <w:t xml:space="preserve"> The check above leaves a question open: are the real recordings far from the simulations because the prior box is too narrow, or because the twin cannot produce them at all? Before registering, we looked at where the gap comes from (a diagnostic on the first-round pool, declared as seen in </w:t>
      </w:r>
      <w:r>
        <w:rPr>
          <w:rFonts w:ascii="Consolas" w:hAnsi="Consolas"/>
          <w:b w:val="0"/>
          <w:i w:val="0"/>
          <w:color w:val="222222"/>
          <w:sz w:val="19"/>
        </w:rPr>
        <w:t>preregistration/twin_prior_reach.json</w:t>
      </w:r>
      <w:r>
        <w:rPr>
          <w:rFonts w:ascii="Calibri" w:hAnsi="Calibri"/>
          <w:b w:val="0"/>
          <w:i w:val="0"/>
          <w:color w:val="222222"/>
          <w:sz w:val="21"/>
        </w:rPr>
        <w:t xml:space="preserve">). On one fixed scale, the first-round pool's own, the median real recording lies 2.43 units from its nearest simulation, against 0.409 between neighbouring simulations. Four summaries carry most of that distance: the firing-rate ratio of the two chambers (a share of 0.338; for 19.5% of real chips it lies outside every simulated value, mostly with the first chamber the faster), the coupling lag (0.181) and the two active-electrode counts (0.164 and 0.113). Shown the real recordings, the first-round posterior pushes against two edges of its box: for 72% of recordings most of its raw mass lies above the </w:t>
      </w:r>
      <w:r>
        <w:rPr>
          <w:rFonts w:ascii="Consolas" w:hAnsi="Consolas"/>
          <w:b w:val="0"/>
          <w:i w:val="0"/>
          <w:color w:val="222222"/>
          <w:sz w:val="19"/>
        </w:rPr>
        <w:t>threshold_scale</w:t>
      </w:r>
      <w:r>
        <w:rPr>
          <w:rFonts w:ascii="Calibri" w:hAnsi="Calibri"/>
          <w:b w:val="0"/>
          <w:i w:val="0"/>
          <w:color w:val="222222"/>
          <w:sz w:val="21"/>
        </w:rPr>
        <w:t xml:space="preserve"> bound, and for 27% below the </w:t>
      </w:r>
      <w:r>
        <w:rPr>
          <w:rFonts w:ascii="Consolas" w:hAnsi="Consolas"/>
          <w:b w:val="0"/>
          <w:i w:val="0"/>
          <w:color w:val="222222"/>
          <w:sz w:val="19"/>
        </w:rPr>
        <w:t>log10_forward_ratio</w:t>
      </w:r>
      <w:r>
        <w:rPr>
          <w:rFonts w:ascii="Calibri" w:hAnsi="Calibri"/>
          <w:b w:val="0"/>
          <w:i w:val="0"/>
          <w:color w:val="222222"/>
          <w:sz w:val="21"/>
        </w:rPr>
        <w:t xml:space="preserve"> bound; </w:t>
      </w:r>
      <w:r>
        <w:rPr>
          <w:rFonts w:ascii="Consolas" w:hAnsi="Consolas"/>
          <w:b w:val="0"/>
          <w:i w:val="0"/>
          <w:color w:val="222222"/>
          <w:sz w:val="19"/>
        </w:rPr>
        <w:t>gabaa_scale</w:t>
      </w:r>
      <w:r>
        <w:rPr>
          <w:rFonts w:ascii="Calibri" w:hAnsi="Calibri"/>
          <w:b w:val="0"/>
          <w:i w:val="0"/>
          <w:color w:val="222222"/>
          <w:sz w:val="21"/>
        </w:rPr>
        <w:t xml:space="preserve"> and </w:t>
      </w:r>
      <w:r>
        <w:rPr>
          <w:rFonts w:ascii="Consolas" w:hAnsi="Consolas"/>
          <w:b w:val="0"/>
          <w:i w:val="0"/>
          <w:color w:val="222222"/>
          <w:sz w:val="19"/>
        </w:rPr>
        <w:t>inter_in_degree</w:t>
      </w:r>
      <w:r>
        <w:rPr>
          <w:rFonts w:ascii="Calibri" w:hAnsi="Calibri"/>
          <w:b w:val="0"/>
          <w:i w:val="0"/>
          <w:color w:val="222222"/>
          <w:sz w:val="21"/>
        </w:rPr>
        <w:t xml:space="preserve"> stay inside. So we registered a wider box only where the recordings push: the pathway ratio re-centred to run either way (1/20 to 20), the upper bounds of </w:t>
      </w:r>
      <w:r>
        <w:rPr>
          <w:rFonts w:ascii="Consolas" w:hAnsi="Consolas"/>
          <w:b w:val="0"/>
          <w:i w:val="0"/>
          <w:color w:val="222222"/>
          <w:sz w:val="19"/>
        </w:rPr>
        <w:t>threshold_scale</w:t>
      </w:r>
      <w:r>
        <w:rPr>
          <w:rFonts w:ascii="Calibri" w:hAnsi="Calibri"/>
          <w:b w:val="0"/>
          <w:i w:val="0"/>
          <w:color w:val="222222"/>
          <w:sz w:val="21"/>
        </w:rPr>
        <w:t xml:space="preserve"> (1.15 to 1.35) and </w:t>
      </w:r>
      <w:r>
        <w:rPr>
          <w:rFonts w:ascii="Consolas" w:hAnsi="Consolas"/>
          <w:b w:val="0"/>
          <w:i w:val="0"/>
          <w:color w:val="222222"/>
          <w:sz w:val="19"/>
        </w:rPr>
        <w:t>ampa_scale</w:t>
      </w:r>
      <w:r>
        <w:rPr>
          <w:rFonts w:ascii="Calibri" w:hAnsi="Calibri"/>
          <w:b w:val="0"/>
          <w:i w:val="0"/>
          <w:color w:val="222222"/>
          <w:sz w:val="21"/>
        </w:rPr>
        <w:t xml:space="preserve"> (1.4 to 1.8) raised, the other two unchanged. We simulated 3,000 runs from it with fresh seeds, all before the registered cut-off, and scored three predictions on the first-round scale, with both pools at the same size:</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5867"/>
        <w:gridCol w:w="1525"/>
        <w:gridCol w:w="1104"/>
      </w:tblGrid>
      <w:tr>
        <w:trPr>
          <w:cantSplit/>
          <w:tblHeader/>
        </w:trPr>
        <w:tc>
          <w:tcPr>
            <w:tcW w:type="dxa" w:w="5867"/>
            <w:shd w:val="clear" w:color="auto" w:fill="1F4E79"/>
            <w:vAlign w:val="center"/>
          </w:tcPr>
          <w:p>
            <w:pPr>
              <w:keepNext/>
              <w:spacing w:after="0"/>
            </w:pPr>
            <w:r>
              <w:rPr>
                <w:rFonts w:ascii="Calibri" w:hAnsi="Calibri"/>
                <w:b/>
                <w:i w:val="0"/>
                <w:color w:val="FFFFFF"/>
                <w:sz w:val="20"/>
              </w:rPr>
              <w:t>registered prediction</w:t>
            </w:r>
          </w:p>
        </w:tc>
        <w:tc>
          <w:tcPr>
            <w:tcW w:type="dxa" w:w="1525"/>
            <w:shd w:val="clear" w:color="auto" w:fill="1F4E79"/>
            <w:vAlign w:val="center"/>
          </w:tcPr>
          <w:p>
            <w:pPr>
              <w:keepNext/>
              <w:spacing w:after="0"/>
            </w:pPr>
            <w:r>
              <w:rPr>
                <w:rFonts w:ascii="Calibri" w:hAnsi="Calibri"/>
                <w:b/>
                <w:i w:val="0"/>
                <w:color w:val="FFFFFF"/>
                <w:sz w:val="20"/>
              </w:rPr>
              <w:t>value</w:t>
            </w:r>
          </w:p>
        </w:tc>
        <w:tc>
          <w:tcPr>
            <w:tcW w:type="dxa" w:w="1104"/>
            <w:shd w:val="clear" w:color="auto" w:fill="1F4E79"/>
            <w:vAlign w:val="center"/>
          </w:tcPr>
          <w:p>
            <w:pPr>
              <w:keepNext/>
              <w:spacing w:after="0"/>
            </w:pPr>
            <w:r>
              <w:rPr>
                <w:rFonts w:ascii="Calibri" w:hAnsi="Calibri"/>
                <w:b/>
                <w:i w:val="0"/>
                <w:color w:val="FFFFFF"/>
                <w:sz w:val="20"/>
              </w:rPr>
              <w:t>outcome</w:t>
            </w:r>
          </w:p>
        </w:tc>
      </w:tr>
      <w:tr>
        <w:trPr>
          <w:cantSplit/>
        </w:trPr>
        <w:tc>
          <w:tcPr>
            <w:tcW w:type="dxa" w:w="5867"/>
            <w:shd w:val="clear" w:color="auto" w:fill="FFFFFF"/>
            <w:vAlign w:val="center"/>
          </w:tcPr>
          <w:p>
            <w:pPr>
              <w:keepNext/>
              <w:spacing w:after="0"/>
            </w:pPr>
            <w:r>
              <w:rPr>
                <w:rFonts w:ascii="Calibri" w:hAnsi="Calibri"/>
                <w:b/>
                <w:i w:val="0"/>
                <w:color w:val="222222"/>
                <w:sz w:val="20"/>
              </w:rPr>
              <w:t>R1 reach: median real-to-nearest distance at most halves</w:t>
            </w:r>
          </w:p>
        </w:tc>
        <w:tc>
          <w:tcPr>
            <w:tcW w:type="dxa" w:w="1525"/>
            <w:shd w:val="clear" w:color="auto" w:fill="FFFFFF"/>
            <w:vAlign w:val="center"/>
          </w:tcPr>
          <w:p>
            <w:pPr>
              <w:keepNext/>
              <w:spacing w:after="0"/>
            </w:pPr>
            <w:r>
              <w:rPr>
                <w:rFonts w:ascii="Calibri" w:hAnsi="Calibri"/>
                <w:b w:val="0"/>
                <w:i w:val="0"/>
                <w:color w:val="222222"/>
                <w:sz w:val="20"/>
              </w:rPr>
              <w:t>2.43 to 2.211, ratio 0.91</w:t>
            </w:r>
          </w:p>
        </w:tc>
        <w:tc>
          <w:tcPr>
            <w:tcW w:type="dxa" w:w="1104"/>
            <w:shd w:val="clear" w:color="auto" w:fill="FFFFFF"/>
            <w:vAlign w:val="center"/>
          </w:tcPr>
          <w:p>
            <w:pPr>
              <w:keepNext/>
              <w:spacing w:after="0"/>
            </w:pPr>
            <w:r>
              <w:rPr>
                <w:rFonts w:ascii="Calibri" w:hAnsi="Calibri"/>
                <w:b w:val="0"/>
                <w:i w:val="0"/>
                <w:color w:val="222222"/>
                <w:sz w:val="20"/>
              </w:rPr>
              <w:t>fail</w:t>
            </w:r>
          </w:p>
        </w:tc>
      </w:tr>
      <w:tr>
        <w:trPr>
          <w:cantSplit/>
        </w:trPr>
        <w:tc>
          <w:tcPr>
            <w:tcW w:type="dxa" w:w="5867"/>
            <w:shd w:val="clear" w:color="auto" w:fill="F7F9FB"/>
            <w:vAlign w:val="center"/>
          </w:tcPr>
          <w:p>
            <w:pPr>
              <w:keepNext/>
              <w:spacing w:after="0"/>
            </w:pPr>
            <w:r>
              <w:rPr>
                <w:rFonts w:ascii="Calibri" w:hAnsi="Calibri"/>
                <w:b/>
                <w:i w:val="0"/>
                <w:color w:val="222222"/>
                <w:sz w:val="20"/>
              </w:rPr>
              <w:t>R2 the old region keeps a near neighbour for at least half of the first-round held-out runs</w:t>
            </w:r>
          </w:p>
        </w:tc>
        <w:tc>
          <w:tcPr>
            <w:tcW w:type="dxa" w:w="1525"/>
            <w:shd w:val="clear" w:color="auto" w:fill="F7F9FB"/>
            <w:vAlign w:val="center"/>
          </w:tcPr>
          <w:p>
            <w:pPr>
              <w:keepNext/>
              <w:spacing w:after="0"/>
              <w:jc w:val="center"/>
            </w:pPr>
            <w:r>
              <w:rPr>
                <w:rFonts w:ascii="Calibri" w:hAnsi="Calibri"/>
                <w:b w:val="0"/>
                <w:i w:val="0"/>
                <w:color w:val="222222"/>
                <w:sz w:val="20"/>
              </w:rPr>
              <w:t>0.8233</w:t>
            </w:r>
          </w:p>
        </w:tc>
        <w:tc>
          <w:tcPr>
            <w:tcW w:type="dxa" w:w="1104"/>
            <w:shd w:val="clear" w:color="auto" w:fill="F7F9FB"/>
            <w:vAlign w:val="center"/>
          </w:tcPr>
          <w:p>
            <w:pPr>
              <w:keepNext/>
              <w:spacing w:after="0"/>
            </w:pPr>
            <w:r>
              <w:rPr>
                <w:rFonts w:ascii="Calibri" w:hAnsi="Calibri"/>
                <w:b w:val="0"/>
                <w:i w:val="0"/>
                <w:color w:val="222222"/>
                <w:sz w:val="20"/>
              </w:rPr>
              <w:t>pass</w:t>
            </w:r>
          </w:p>
        </w:tc>
      </w:tr>
      <w:tr>
        <w:trPr>
          <w:cantSplit/>
        </w:trPr>
        <w:tc>
          <w:tcPr>
            <w:tcW w:type="dxa" w:w="5867"/>
            <w:shd w:val="clear" w:color="auto" w:fill="FFFFFF"/>
            <w:vAlign w:val="center"/>
          </w:tcPr>
          <w:p>
            <w:pPr>
              <w:keepNext w:val="0"/>
              <w:spacing w:after="0"/>
            </w:pPr>
            <w:r>
              <w:rPr>
                <w:rFonts w:ascii="Calibri" w:hAnsi="Calibri"/>
                <w:b/>
                <w:i w:val="0"/>
                <w:color w:val="222222"/>
                <w:sz w:val="20"/>
              </w:rPr>
              <w:t xml:space="preserve">R3 one flow on the new pool is calibrated for </w:t>
            </w:r>
            <w:r>
              <w:rPr>
                <w:rFonts w:ascii="Consolas" w:hAnsi="Consolas"/>
                <w:b/>
                <w:i w:val="0"/>
                <w:color w:val="222222"/>
                <w:sz w:val="18"/>
              </w:rPr>
              <w:t>threshold_scale</w:t>
            </w:r>
            <w:r>
              <w:rPr>
                <w:rFonts w:ascii="Calibri" w:hAnsi="Calibri"/>
                <w:b/>
                <w:i w:val="0"/>
                <w:color w:val="222222"/>
                <w:sz w:val="20"/>
              </w:rPr>
              <w:t xml:space="preserve"> on the 200 held-out runs nearest the real recordings (KS p ≥ 0.05)</w:t>
            </w:r>
          </w:p>
        </w:tc>
        <w:tc>
          <w:tcPr>
            <w:tcW w:type="dxa" w:w="1525"/>
            <w:shd w:val="clear" w:color="auto" w:fill="FFFFFF"/>
            <w:vAlign w:val="center"/>
          </w:tcPr>
          <w:p>
            <w:pPr>
              <w:keepNext w:val="0"/>
              <w:spacing w:after="0"/>
              <w:jc w:val="center"/>
            </w:pPr>
            <w:r>
              <w:rPr>
                <w:rFonts w:ascii="Calibri" w:hAnsi="Calibri"/>
                <w:b w:val="0"/>
                <w:i w:val="0"/>
                <w:color w:val="222222"/>
                <w:sz w:val="20"/>
              </w:rPr>
              <w:t>0.2682</w:t>
            </w:r>
          </w:p>
        </w:tc>
        <w:tc>
          <w:tcPr>
            <w:tcW w:type="dxa" w:w="1104"/>
            <w:shd w:val="clear" w:color="auto" w:fill="FFFFFF"/>
            <w:vAlign w:val="center"/>
          </w:tcPr>
          <w:p>
            <w:pPr>
              <w:keepNext w:val="0"/>
              <w:spacing w:after="0"/>
            </w:pPr>
            <w:r>
              <w:rPr>
                <w:rFonts w:ascii="Calibri" w:hAnsi="Calibri"/>
                <w:b w:val="0"/>
                <w:i w:val="0"/>
                <w:color w:val="222222"/>
                <w:sz w:val="20"/>
              </w:rPr>
              <w:t>pass</w:t>
            </w:r>
          </w:p>
        </w:tc>
      </w:tr>
    </w:tbl>
    <w:p>
      <w:pPr>
        <w:spacing w:after="80"/>
      </w:pPr>
    </w:p>
    <w:p>
      <w:pPr>
        <w:spacing w:after="120"/>
      </w:pPr>
      <w:r>
        <w:rPr>
          <w:rFonts w:ascii="Calibri" w:hAnsi="Calibri"/>
          <w:b w:val="0"/>
          <w:i w:val="0"/>
          <w:color w:val="222222"/>
          <w:sz w:val="21"/>
        </w:rPr>
        <w:t>The registered reading of an R1 failure is misspecification within the widened box. Widening helps the far tail (the 90th percentile falls from 5.864 to 4.069), but the typical recording barely moves, and no real recording, in either pool, comes within the distance at which simulations neighbour each other (a share of 0.0 of recordings for the first-round pool and 0.0 for the widened one). What is left is carried by the same summaries as before: the chamber rate ratio (0.2998), the coupling lag (0.1829) and the electrode counts. The new box produces rate ratios on both sides, yet 15% of real recordings still lie above its 99th percentile, which is what one expects if the real asymmetry comes from something the twin does not have (a chamber-specific excitability or cell density, a conduction delay, uneven electrode coverage) rather than from the pathway's direction. The verdict does not depend on the scale: on the new pool's own scale the ratio is 0.876, on the pooled scale 0.856. The first-round cache, whose summary-code hash moved when two off-by-default extractor options were added, still reproduces exactly (6 of 6 re-simulated rows identical), so the two pools come from the same simulator.</w:t>
      </w:r>
    </w:p>
    <w:p>
      <w:pPr>
        <w:keepNext/>
        <w:spacing w:after="120"/>
      </w:pPr>
      <w:r>
        <w:rPr>
          <w:rFonts w:ascii="Calibri" w:hAnsi="Calibri"/>
          <w:b w:val="0"/>
          <w:i w:val="0"/>
          <w:color w:val="222222"/>
          <w:sz w:val="21"/>
        </w:rPr>
        <w:t xml:space="preserve">R3 passes, but it is narrow. On the same 200 near-real runs the new flow fails </w:t>
      </w:r>
      <w:r>
        <w:rPr>
          <w:rFonts w:ascii="Consolas" w:hAnsi="Consolas"/>
          <w:b w:val="0"/>
          <w:i w:val="0"/>
          <w:color w:val="222222"/>
          <w:sz w:val="19"/>
        </w:rPr>
        <w:t>gabaa_scale</w:t>
      </w:r>
      <w:r>
        <w:rPr>
          <w:rFonts w:ascii="Calibri" w:hAnsi="Calibri"/>
          <w:b w:val="0"/>
          <w:i w:val="0"/>
          <w:color w:val="222222"/>
          <w:sz w:val="21"/>
        </w:rPr>
        <w:t xml:space="preserve"> (p = 0.0007) and </w:t>
      </w:r>
      <w:r>
        <w:rPr>
          <w:rFonts w:ascii="Consolas" w:hAnsi="Consolas"/>
          <w:b w:val="0"/>
          <w:i w:val="0"/>
          <w:color w:val="222222"/>
          <w:sz w:val="19"/>
        </w:rPr>
        <w:t>inter_in_degree</w:t>
      </w:r>
      <w:r>
        <w:rPr>
          <w:rFonts w:ascii="Calibri" w:hAnsi="Calibri"/>
          <w:b w:val="0"/>
          <w:i w:val="0"/>
          <w:color w:val="222222"/>
          <w:sz w:val="21"/>
        </w:rPr>
        <w:t xml:space="preserve"> (p = 0.0146), and on all 600 held-out runs </w:t>
      </w:r>
      <w:r>
        <w:rPr>
          <w:rFonts w:ascii="Consolas" w:hAnsi="Consolas"/>
          <w:b w:val="0"/>
          <w:i w:val="0"/>
          <w:color w:val="222222"/>
          <w:sz w:val="19"/>
        </w:rPr>
        <w:t>threshold_scale</w:t>
      </w:r>
      <w:r>
        <w:rPr>
          <w:rFonts w:ascii="Calibri" w:hAnsi="Calibri"/>
          <w:b w:val="0"/>
          <w:i w:val="0"/>
          <w:color w:val="222222"/>
          <w:sz w:val="21"/>
        </w:rPr>
        <w:t xml:space="preserve"> only just passes (p = 0.0511; reported, not tested). And "near" still means about two units away. The wider box does make the inverse model extrapolate less on real recordings: a median 0.468 of its raw draws fall inside its box, against 0.035 for the first-round flow inside its own. But 30% of recordings still put most of their mass above the new </w:t>
      </w:r>
      <w:r>
        <w:rPr>
          <w:rFonts w:ascii="Consolas" w:hAnsi="Consolas"/>
          <w:b w:val="0"/>
          <w:i w:val="0"/>
          <w:color w:val="222222"/>
          <w:sz w:val="19"/>
        </w:rPr>
        <w:t>ampa_scale</w:t>
      </w:r>
      <w:r>
        <w:rPr>
          <w:rFonts w:ascii="Calibri" w:hAnsi="Calibri"/>
          <w:b w:val="0"/>
          <w:i w:val="0"/>
          <w:color w:val="222222"/>
          <w:sz w:val="21"/>
        </w:rPr>
        <w:t xml:space="preserve"> bound, so a still wider box is not ruled out for that knob (reported, not tested). What this means for use: the twin's inverse model is not to be read on absolute real recordings, under either prior; the </w:t>
      </w:r>
      <w:r>
        <w:rPr>
          <w:rFonts w:ascii="Consolas" w:hAnsi="Consolas"/>
          <w:b w:val="0"/>
          <w:i w:val="0"/>
          <w:color w:val="222222"/>
          <w:sz w:val="19"/>
        </w:rPr>
        <w:t>threshold_scale</w:t>
      </w:r>
      <w:r>
        <w:rPr>
          <w:rFonts w:ascii="Calibri" w:hAnsi="Calibri"/>
          <w:b w:val="0"/>
          <w:i w:val="0"/>
          <w:color w:val="222222"/>
          <w:sz w:val="21"/>
        </w:rPr>
        <w:t xml:space="preserve"> calibration D31 adopted holds near them but describes simulations that are themselves far from the data. The next step is a change to the model, not to its prior: a parameter for chamber-specific excitability and for the coupling delay. The full record is </w:t>
      </w:r>
      <w:r>
        <w:rPr>
          <w:rFonts w:ascii="Consolas" w:hAnsi="Consolas"/>
          <w:b w:val="0"/>
          <w:i w:val="0"/>
          <w:color w:val="222222"/>
          <w:sz w:val="19"/>
        </w:rPr>
        <w:t>twin_prior_reach</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xml:space="preserve"> and </w:t>
      </w:r>
      <w:r>
        <w:rPr>
          <w:rFonts w:ascii="Consolas" w:hAnsi="Consolas"/>
          <w:b w:val="0"/>
          <w:i w:val="0"/>
          <w:color w:val="222222"/>
          <w:sz w:val="19"/>
        </w:rPr>
        <w:t>outputs/twin/prior_reach_SIMULATED.json</w:t>
      </w:r>
      <w:r>
        <w:rPr>
          <w:rFonts w:ascii="Calibri" w:hAnsi="Calibri"/>
          <w:b w:val="0"/>
          <w:i w:val="0"/>
          <w:color w:val="222222"/>
          <w:sz w:val="21"/>
        </w:rPr>
        <w:t>.</w:t>
      </w:r>
    </w:p>
    <w:p>
      <w:pPr>
        <w:keepNext/>
        <w:spacing w:before="120" w:after="40"/>
        <w:jc w:val="center"/>
      </w:pPr>
      <w:r>
        <w:drawing>
          <wp:inline xmlns:a="http://schemas.openxmlformats.org/drawingml/2006/main" xmlns:pic="http://schemas.openxmlformats.org/drawingml/2006/picture">
            <wp:extent cx="5394960" cy="4954831"/>
            <wp:docPr id="16" name="Picture 16"/>
            <wp:cNvGraphicFramePr>
              <a:graphicFrameLocks noChangeAspect="1"/>
            </wp:cNvGraphicFramePr>
            <a:graphic>
              <a:graphicData uri="http://schemas.openxmlformats.org/drawingml/2006/picture">
                <pic:pic>
                  <pic:nvPicPr>
                    <pic:cNvPr id="0" name="prior_reach_simulated.png"/>
                    <pic:cNvPicPr/>
                  </pic:nvPicPr>
                  <pic:blipFill>
                    <a:blip r:embed="rId28"/>
                    <a:stretch>
                      <a:fillRect/>
                    </a:stretch>
                  </pic:blipFill>
                  <pic:spPr>
                    <a:xfrm>
                      <a:off x="0" y="0"/>
                      <a:ext cx="5394960" cy="4954831"/>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SIMULATED twin pools under the first-round prior and the widened D38 prior, against the 113 REAL two-chamber recordings, on the first-round scale. Top: each summary's distribution. Bottom left: distance from each real recording to its nearest simulation, both pools at 3,000 runs, beside the distance between neighbouring simulations. Bottom right: which summaries carry that distance.</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
        <w:gridCol w:w="2075"/>
        <w:gridCol w:w="2914"/>
        <w:gridCol w:w="3202"/>
      </w:tblGrid>
      <w:tr>
        <w:trPr>
          <w:cantSplit/>
          <w:tblHeader/>
        </w:trPr>
        <w:tc>
          <w:tcPr>
            <w:tcW w:type="dxa" w:w="305"/>
            <w:shd w:val="clear" w:color="auto" w:fill="1F4E79"/>
            <w:vAlign w:val="center"/>
          </w:tcPr>
          <w:p>
            <w:pPr>
              <w:keepNext/>
              <w:spacing w:after="0"/>
              <w:jc w:val="center"/>
            </w:pPr>
            <w:r>
              <w:rPr>
                <w:rFonts w:ascii="Calibri" w:hAnsi="Calibri"/>
                <w:b/>
                <w:i w:val="0"/>
                <w:color w:val="FFFFFF"/>
                <w:sz w:val="20"/>
              </w:rPr>
              <w:t>#</w:t>
            </w:r>
          </w:p>
        </w:tc>
        <w:tc>
          <w:tcPr>
            <w:tcW w:type="dxa" w:w="2075"/>
            <w:shd w:val="clear" w:color="auto" w:fill="1F4E79"/>
            <w:vAlign w:val="center"/>
          </w:tcPr>
          <w:p>
            <w:pPr>
              <w:keepNext/>
              <w:spacing w:after="0"/>
            </w:pPr>
            <w:r>
              <w:rPr>
                <w:rFonts w:ascii="Calibri" w:hAnsi="Calibri"/>
                <w:b/>
                <w:i w:val="0"/>
                <w:color w:val="FFFFFF"/>
                <w:sz w:val="20"/>
              </w:rPr>
              <w:t>finding</w:t>
            </w:r>
          </w:p>
        </w:tc>
        <w:tc>
          <w:tcPr>
            <w:tcW w:type="dxa" w:w="2914"/>
            <w:shd w:val="clear" w:color="auto" w:fill="1F4E79"/>
            <w:vAlign w:val="center"/>
          </w:tcPr>
          <w:p>
            <w:pPr>
              <w:keepNext/>
              <w:spacing w:after="0"/>
            </w:pPr>
            <w:r>
              <w:rPr>
                <w:rFonts w:ascii="Calibri" w:hAnsi="Calibri"/>
                <w:b/>
                <w:i w:val="0"/>
                <w:color w:val="FFFFFF"/>
                <w:sz w:val="20"/>
              </w:rPr>
              <w:t>evidence</w:t>
            </w:r>
          </w:p>
        </w:tc>
        <w:tc>
          <w:tcPr>
            <w:tcW w:type="dxa" w:w="3202"/>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5"/>
            <w:shd w:val="clear" w:color="auto" w:fill="FFFFFF"/>
            <w:vAlign w:val="center"/>
          </w:tcPr>
          <w:p>
            <w:pPr>
              <w:keepNext/>
              <w:spacing w:after="0"/>
              <w:jc w:val="center"/>
            </w:pPr>
            <w:r>
              <w:rPr>
                <w:rFonts w:ascii="Calibri" w:hAnsi="Calibri"/>
                <w:b/>
                <w:i w:val="0"/>
                <w:color w:val="222222"/>
                <w:sz w:val="20"/>
              </w:rPr>
              <w:t>1</w:t>
            </w:r>
          </w:p>
        </w:tc>
        <w:tc>
          <w:tcPr>
            <w:tcW w:type="dxa" w:w="2075"/>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914"/>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202"/>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5"/>
            <w:shd w:val="clear" w:color="auto" w:fill="F7F9FB"/>
            <w:vAlign w:val="center"/>
          </w:tcPr>
          <w:p>
            <w:pPr>
              <w:keepNext/>
              <w:spacing w:after="0"/>
              <w:jc w:val="center"/>
            </w:pPr>
            <w:r>
              <w:rPr>
                <w:rFonts w:ascii="Calibri" w:hAnsi="Calibri"/>
                <w:b/>
                <w:i w:val="0"/>
                <w:color w:val="222222"/>
                <w:sz w:val="20"/>
              </w:rPr>
              <w:t>2</w:t>
            </w:r>
          </w:p>
        </w:tc>
        <w:tc>
          <w:tcPr>
            <w:tcW w:type="dxa" w:w="2075"/>
            <w:shd w:val="clear" w:color="auto" w:fill="F7F9FB"/>
            <w:vAlign w:val="center"/>
          </w:tcPr>
          <w:p>
            <w:pPr>
              <w:keepNext/>
              <w:spacing w:after="0"/>
            </w:pPr>
            <w:r>
              <w:rPr>
                <w:rFonts w:ascii="Calibri" w:hAnsi="Calibri"/>
                <w:b w:val="0"/>
                <w:i w:val="0"/>
                <w:color w:val="222222"/>
                <w:sz w:val="20"/>
              </w:rPr>
              <w:t>chamber readouts miss direction</w:t>
            </w:r>
          </w:p>
        </w:tc>
        <w:tc>
          <w:tcPr>
            <w:tcW w:type="dxa" w:w="2914"/>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202"/>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5"/>
            <w:shd w:val="clear" w:color="auto" w:fill="FFFFFF"/>
            <w:vAlign w:val="center"/>
          </w:tcPr>
          <w:p>
            <w:pPr>
              <w:keepNext/>
              <w:spacing w:after="0"/>
              <w:jc w:val="center"/>
            </w:pPr>
            <w:r>
              <w:rPr>
                <w:rFonts w:ascii="Calibri" w:hAnsi="Calibri"/>
                <w:b/>
                <w:i w:val="0"/>
                <w:color w:val="222222"/>
                <w:sz w:val="20"/>
              </w:rPr>
              <w:t>3</w:t>
            </w:r>
          </w:p>
        </w:tc>
        <w:tc>
          <w:tcPr>
            <w:tcW w:type="dxa" w:w="2075"/>
            <w:shd w:val="clear" w:color="auto" w:fill="FFFFFF"/>
            <w:vAlign w:val="center"/>
          </w:tcPr>
          <w:p>
            <w:pPr>
              <w:keepNext/>
              <w:spacing w:after="0"/>
            </w:pPr>
            <w:r>
              <w:rPr>
                <w:rFonts w:ascii="Calibri" w:hAnsi="Calibri"/>
                <w:b w:val="0"/>
                <w:i w:val="0"/>
                <w:color w:val="222222"/>
                <w:sz w:val="20"/>
              </w:rPr>
              <w:t>no cross-laboratory transfer</w:t>
            </w:r>
          </w:p>
        </w:tc>
        <w:tc>
          <w:tcPr>
            <w:tcW w:type="dxa" w:w="2914"/>
            <w:shd w:val="clear" w:color="auto" w:fill="FFFFFF"/>
            <w:vAlign w:val="center"/>
          </w:tcPr>
          <w:p>
            <w:pPr>
              <w:keepNext/>
              <w:spacing w:after="0"/>
            </w:pPr>
            <w:r>
              <w:rPr>
                <w:rFonts w:ascii="Calibri" w:hAnsi="Calibri"/>
                <w:b w:val="0"/>
                <w:i w:val="0"/>
                <w:color w:val="222222"/>
                <w:sz w:val="20"/>
              </w:rPr>
              <w:t>0.3482 against 0.3333 chance</w:t>
            </w:r>
          </w:p>
        </w:tc>
        <w:tc>
          <w:tcPr>
            <w:tcW w:type="dxa" w:w="3202"/>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5"/>
            <w:shd w:val="clear" w:color="auto" w:fill="F7F9FB"/>
            <w:vAlign w:val="center"/>
          </w:tcPr>
          <w:p>
            <w:pPr>
              <w:keepNext/>
              <w:spacing w:after="0"/>
              <w:jc w:val="center"/>
            </w:pPr>
            <w:r>
              <w:rPr>
                <w:rFonts w:ascii="Calibri" w:hAnsi="Calibri"/>
                <w:b/>
                <w:i w:val="0"/>
                <w:color w:val="222222"/>
                <w:sz w:val="20"/>
              </w:rPr>
              <w:t>4</w:t>
            </w:r>
          </w:p>
        </w:tc>
        <w:tc>
          <w:tcPr>
            <w:tcW w:type="dxa" w:w="2075"/>
            <w:shd w:val="clear" w:color="auto" w:fill="F7F9FB"/>
            <w:vAlign w:val="center"/>
          </w:tcPr>
          <w:p>
            <w:pPr>
              <w:keepNext/>
              <w:spacing w:after="0"/>
            </w:pPr>
            <w:r>
              <w:rPr>
                <w:rFonts w:ascii="Calibri" w:hAnsi="Calibri"/>
                <w:b w:val="0"/>
                <w:i w:val="0"/>
                <w:color w:val="222222"/>
                <w:sz w:val="20"/>
              </w:rPr>
              <w:t>domain adaptation backfires</w:t>
            </w:r>
          </w:p>
        </w:tc>
        <w:tc>
          <w:tcPr>
            <w:tcW w:type="dxa" w:w="2914"/>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202"/>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5"/>
            <w:shd w:val="clear" w:color="auto" w:fill="FFFFFF"/>
            <w:vAlign w:val="center"/>
          </w:tcPr>
          <w:p>
            <w:pPr>
              <w:keepNext/>
              <w:spacing w:after="0"/>
              <w:jc w:val="center"/>
            </w:pPr>
            <w:r>
              <w:rPr>
                <w:rFonts w:ascii="Calibri" w:hAnsi="Calibri"/>
                <w:b/>
                <w:i w:val="0"/>
                <w:color w:val="222222"/>
                <w:sz w:val="20"/>
              </w:rPr>
              <w:t>5</w:t>
            </w:r>
          </w:p>
        </w:tc>
        <w:tc>
          <w:tcPr>
            <w:tcW w:type="dxa" w:w="2075"/>
            <w:shd w:val="clear" w:color="auto" w:fill="FFFFFF"/>
            <w:vAlign w:val="center"/>
          </w:tcPr>
          <w:p>
            <w:pPr>
              <w:keepNext/>
              <w:spacing w:after="0"/>
            </w:pPr>
            <w:r>
              <w:rPr>
                <w:rFonts w:ascii="Calibri" w:hAnsi="Calibri"/>
                <w:b w:val="0"/>
                <w:i w:val="0"/>
                <w:color w:val="222222"/>
                <w:sz w:val="20"/>
              </w:rPr>
              <w:t>synchrony was an artifact</w:t>
            </w:r>
          </w:p>
        </w:tc>
        <w:tc>
          <w:tcPr>
            <w:tcW w:type="dxa" w:w="2914"/>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202"/>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5"/>
            <w:shd w:val="clear" w:color="auto" w:fill="F7F9FB"/>
            <w:vAlign w:val="center"/>
          </w:tcPr>
          <w:p>
            <w:pPr>
              <w:keepNext/>
              <w:spacing w:after="0"/>
              <w:jc w:val="center"/>
            </w:pPr>
            <w:r>
              <w:rPr>
                <w:rFonts w:ascii="Calibri" w:hAnsi="Calibri"/>
                <w:b/>
                <w:i w:val="0"/>
                <w:color w:val="222222"/>
                <w:sz w:val="20"/>
              </w:rPr>
              <w:t>6</w:t>
            </w:r>
          </w:p>
        </w:tc>
        <w:tc>
          <w:tcPr>
            <w:tcW w:type="dxa" w:w="2075"/>
            <w:shd w:val="clear" w:color="auto" w:fill="F7F9FB"/>
            <w:vAlign w:val="center"/>
          </w:tcPr>
          <w:p>
            <w:pPr>
              <w:keepNext/>
              <w:spacing w:after="0"/>
            </w:pPr>
            <w:r>
              <w:rPr>
                <w:rFonts w:ascii="Calibri" w:hAnsi="Calibri"/>
                <w:b w:val="0"/>
                <w:i w:val="0"/>
                <w:color w:val="222222"/>
                <w:sz w:val="20"/>
              </w:rPr>
              <w:t>posterior over-confidence</w:t>
            </w:r>
          </w:p>
        </w:tc>
        <w:tc>
          <w:tcPr>
            <w:tcW w:type="dxa" w:w="2914"/>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 since round 1, on fresh simulations all five parameters fail, and a five-flow ensemble on 15,750 simulations leaves four over-confident (§16)</w:t>
            </w:r>
          </w:p>
        </w:tc>
        <w:tc>
          <w:tcPr>
            <w:tcW w:type="dxa" w:w="3202"/>
            <w:shd w:val="clear" w:color="auto" w:fill="F7F9FB"/>
            <w:vAlign w:val="center"/>
          </w:tcPr>
          <w:p>
            <w:pPr>
              <w:keepNext/>
              <w:spacing w:after="0"/>
            </w:pPr>
            <w:r>
              <w:rPr>
                <w:rFonts w:ascii="Calibri" w:hAnsi="Calibri"/>
                <w:b w:val="0"/>
                <w:i w:val="0"/>
                <w:color w:val="222222"/>
                <w:sz w:val="20"/>
              </w:rPr>
              <w:t>check rank uniformity and interval coverage on fresh simulations before quoting an interval; quote only parameters that pass both</w:t>
            </w:r>
          </w:p>
        </w:tc>
      </w:tr>
      <w:tr>
        <w:trPr>
          <w:cantSplit/>
        </w:trPr>
        <w:tc>
          <w:tcPr>
            <w:tcW w:type="dxa" w:w="305"/>
            <w:shd w:val="clear" w:color="auto" w:fill="FFFFFF"/>
            <w:vAlign w:val="center"/>
          </w:tcPr>
          <w:p>
            <w:pPr>
              <w:keepNext/>
              <w:spacing w:after="0"/>
              <w:jc w:val="center"/>
            </w:pPr>
            <w:r>
              <w:rPr>
                <w:rFonts w:ascii="Calibri" w:hAnsi="Calibri"/>
                <w:b/>
                <w:i w:val="0"/>
                <w:color w:val="222222"/>
                <w:sz w:val="20"/>
              </w:rPr>
              <w:t>7</w:t>
            </w:r>
          </w:p>
        </w:tc>
        <w:tc>
          <w:tcPr>
            <w:tcW w:type="dxa" w:w="2075"/>
            <w:shd w:val="clear" w:color="auto" w:fill="FFFFFF"/>
            <w:vAlign w:val="center"/>
          </w:tcPr>
          <w:p>
            <w:pPr>
              <w:keepNext/>
              <w:spacing w:after="0"/>
            </w:pPr>
            <w:r>
              <w:rPr>
                <w:rFonts w:ascii="Calibri" w:hAnsi="Calibri"/>
                <w:b w:val="0"/>
                <w:i w:val="0"/>
                <w:color w:val="222222"/>
                <w:sz w:val="20"/>
              </w:rPr>
              <w:t>baseline read as drug effect</w:t>
            </w:r>
          </w:p>
        </w:tc>
        <w:tc>
          <w:tcPr>
            <w:tcW w:type="dxa" w:w="2914"/>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202"/>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5"/>
            <w:shd w:val="clear" w:color="auto" w:fill="F7F9FB"/>
            <w:vAlign w:val="center"/>
          </w:tcPr>
          <w:p>
            <w:pPr>
              <w:keepNext/>
              <w:spacing w:after="0"/>
              <w:jc w:val="center"/>
            </w:pPr>
            <w:r>
              <w:rPr>
                <w:rFonts w:ascii="Calibri" w:hAnsi="Calibri"/>
                <w:b/>
                <w:i w:val="0"/>
                <w:color w:val="222222"/>
                <w:sz w:val="20"/>
              </w:rPr>
              <w:t>8</w:t>
            </w:r>
          </w:p>
        </w:tc>
        <w:tc>
          <w:tcPr>
            <w:tcW w:type="dxa" w:w="2075"/>
            <w:shd w:val="clear" w:color="auto" w:fill="F7F9FB"/>
            <w:vAlign w:val="center"/>
          </w:tcPr>
          <w:p>
            <w:pPr>
              <w:keepNext/>
              <w:spacing w:after="0"/>
            </w:pPr>
            <w:r>
              <w:rPr>
                <w:rFonts w:ascii="Calibri" w:hAnsi="Calibri"/>
                <w:b w:val="0"/>
                <w:i w:val="0"/>
                <w:color w:val="222222"/>
                <w:sz w:val="20"/>
              </w:rPr>
              <w:t>support rejection</w:t>
            </w:r>
          </w:p>
        </w:tc>
        <w:tc>
          <w:tcPr>
            <w:tcW w:type="dxa" w:w="2914"/>
            <w:shd w:val="clear" w:color="auto" w:fill="F7F9FB"/>
            <w:vAlign w:val="center"/>
          </w:tcPr>
          <w:p>
            <w:pPr>
              <w:keepNext/>
              <w:spacing w:after="0"/>
            </w:pPr>
            <w:r>
              <w:rPr>
                <w:rFonts w:ascii="Calibri" w:hAnsi="Calibri"/>
                <w:b w:val="0"/>
                <w:i w:val="0"/>
                <w:color w:val="222222"/>
                <w:sz w:val="20"/>
              </w:rPr>
              <w:t>the calibrated twin cannot sample 9 of 113 real recordings; since round 1, a prior widened where the posterior pointed leaves the real recordings almost as far from every simulation (median distance ratio 0.91, registered, §16): the twin does not produce them, so this is misspecification, not the prior's range</w:t>
            </w:r>
          </w:p>
        </w:tc>
        <w:tc>
          <w:tcPr>
            <w:tcW w:type="dxa" w:w="3202"/>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 do not read absolute real recordings through the inverse model under either prior; change the model (chamber-specific excitability, coupling delay) before widening the prior further</w:t>
            </w:r>
          </w:p>
        </w:tc>
      </w:tr>
      <w:tr>
        <w:trPr>
          <w:cantSplit/>
        </w:trPr>
        <w:tc>
          <w:tcPr>
            <w:tcW w:type="dxa" w:w="305"/>
            <w:shd w:val="clear" w:color="auto" w:fill="FFFFFF"/>
            <w:vAlign w:val="center"/>
          </w:tcPr>
          <w:p>
            <w:pPr>
              <w:keepNext w:val="0"/>
              <w:spacing w:after="0"/>
              <w:jc w:val="center"/>
            </w:pPr>
            <w:r>
              <w:rPr>
                <w:rFonts w:ascii="Calibri" w:hAnsi="Calibri"/>
                <w:b/>
                <w:i w:val="0"/>
                <w:color w:val="222222"/>
                <w:sz w:val="20"/>
              </w:rPr>
              <w:t>9</w:t>
            </w:r>
          </w:p>
        </w:tc>
        <w:tc>
          <w:tcPr>
            <w:tcW w:type="dxa" w:w="2075"/>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914"/>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202"/>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 Since round 1: in the EPA's rat cortical wells, GABA-A antagonists raise firing rate as the twin does (§33), so the real direction differs between laboratories</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7" name="Picture 17"/>
            <wp:cNvGraphicFramePr>
              <a:graphicFrameLocks noChangeAspect="1"/>
            </wp:cNvGraphicFramePr>
            <a:graphic>
              <a:graphicData uri="http://schemas.openxmlformats.org/drawingml/2006/picture">
                <pic:pic>
                  <pic:nvPicPr>
                    <pic:cNvPr id="0" name="depression_under_block_simulated.png"/>
                    <pic:cNvPicPr/>
                  </pic:nvPicPr>
                  <pic:blipFill>
                    <a:blip r:embed="rId29"/>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six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spacing w:after="120"/>
      </w:pPr>
      <w:r>
        <w:rPr>
          <w:rFonts w:ascii="Calibri" w:hAnsi="Calibri"/>
          <w:b/>
          <w:i w:val="0"/>
          <w:color w:val="156082"/>
          <w:sz w:val="21"/>
        </w:rPr>
        <w:t>6. Sample size and plate layout, from real untreated wells (Act IX, added after the first round).</w:t>
      </w:r>
      <w:r>
        <w:rPr>
          <w:rFonts w:ascii="Calibri" w:hAnsi="Calibri"/>
          <w:b w:val="0"/>
          <w:i w:val="0"/>
          <w:color w:val="222222"/>
          <w:sz w:val="21"/>
        </w:rPr>
        <w:t xml:space="preserve"> Before a lab runs a chip screen it needs to know how many wells a given change takes and how to lay them out. The EPA's own vehicle wells answer that for each of 15 readouts (§32). Untreated firing rate falls by a median of −32% over the exposure window, and the exposure day carries 0.42 of the variance, so every reading must be made against vehicle wells from the same day: against a historical reference no number of wells from one day sees a halving of firing rate, while 4 treated and 4 vehicle wells on that day do. Burst-shape and synchrony readouts are several times quieter than firing rate and need far fewer wells for the same relative change. §34 turns this into three quality-control rules.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76"/>
        <w:gridCol w:w="4519"/>
        <w:gridCol w:w="2301"/>
      </w:tblGrid>
      <w:tr>
        <w:trPr>
          <w:cantSplit/>
          <w:tblHeader/>
        </w:trPr>
        <w:tc>
          <w:tcPr>
            <w:tcW w:type="dxa" w:w="1676"/>
            <w:shd w:val="clear" w:color="auto" w:fill="1F4E79"/>
            <w:vAlign w:val="center"/>
          </w:tcPr>
          <w:p>
            <w:pPr>
              <w:keepNext/>
              <w:spacing w:after="0"/>
            </w:pPr>
            <w:r>
              <w:rPr>
                <w:rFonts w:ascii="Calibri" w:hAnsi="Calibri"/>
                <w:b/>
                <w:i w:val="0"/>
                <w:color w:val="FFFFFF"/>
                <w:sz w:val="20"/>
              </w:rPr>
              <w:t>step</w:t>
            </w:r>
          </w:p>
        </w:tc>
        <w:tc>
          <w:tcPr>
            <w:tcW w:type="dxa" w:w="4519"/>
            <w:shd w:val="clear" w:color="auto" w:fill="1F4E79"/>
            <w:vAlign w:val="center"/>
          </w:tcPr>
          <w:p>
            <w:pPr>
              <w:keepNext/>
              <w:spacing w:after="0"/>
            </w:pPr>
            <w:r>
              <w:rPr>
                <w:rFonts w:ascii="Calibri" w:hAnsi="Calibri"/>
                <w:b/>
                <w:i w:val="0"/>
                <w:color w:val="FFFFFF"/>
                <w:sz w:val="20"/>
              </w:rPr>
              <w:t>command</w:t>
            </w:r>
          </w:p>
        </w:tc>
        <w:tc>
          <w:tcPr>
            <w:tcW w:type="dxa" w:w="2301"/>
            <w:shd w:val="clear" w:color="auto" w:fill="1F4E79"/>
            <w:vAlign w:val="center"/>
          </w:tcPr>
          <w:p>
            <w:pPr>
              <w:keepNext/>
              <w:spacing w:after="0"/>
            </w:pPr>
            <w:r>
              <w:rPr>
                <w:rFonts w:ascii="Calibri" w:hAnsi="Calibri"/>
                <w:b/>
                <w:i w:val="0"/>
                <w:color w:val="FFFFFF"/>
                <w:sz w:val="20"/>
              </w:rPr>
              <w:t>what it does</w:t>
            </w:r>
          </w:p>
        </w:tc>
      </w:tr>
      <w:tr>
        <w:trPr>
          <w:cantSplit/>
        </w:trPr>
        <w:tc>
          <w:tcPr>
            <w:tcW w:type="dxa" w:w="1676"/>
            <w:shd w:val="clear" w:color="auto" w:fill="FFFFFF"/>
            <w:vAlign w:val="center"/>
          </w:tcPr>
          <w:p>
            <w:pPr>
              <w:keepNext/>
              <w:spacing w:after="0"/>
            </w:pPr>
            <w:r>
              <w:rPr>
                <w:rFonts w:ascii="Calibri" w:hAnsi="Calibri"/>
                <w:b/>
                <w:i w:val="0"/>
                <w:color w:val="222222"/>
                <w:sz w:val="20"/>
              </w:rPr>
              <w:t>1. get the code</w:t>
            </w:r>
          </w:p>
        </w:tc>
        <w:tc>
          <w:tcPr>
            <w:tcW w:type="dxa" w:w="451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301"/>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676"/>
            <w:shd w:val="clear" w:color="auto" w:fill="F7F9FB"/>
            <w:vAlign w:val="center"/>
          </w:tcPr>
          <w:p>
            <w:pPr>
              <w:keepNext/>
              <w:spacing w:after="0"/>
            </w:pPr>
            <w:r>
              <w:rPr>
                <w:rFonts w:ascii="Calibri" w:hAnsi="Calibri"/>
                <w:b/>
                <w:i w:val="0"/>
                <w:color w:val="222222"/>
                <w:sz w:val="20"/>
              </w:rPr>
              <w:t>2. create the environment</w:t>
            </w:r>
          </w:p>
        </w:tc>
        <w:tc>
          <w:tcPr>
            <w:tcW w:type="dxa" w:w="451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301"/>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676"/>
            <w:shd w:val="clear" w:color="auto" w:fill="FFFFFF"/>
            <w:vAlign w:val="center"/>
          </w:tcPr>
          <w:p>
            <w:pPr>
              <w:keepNext/>
              <w:spacing w:after="0"/>
            </w:pPr>
            <w:r>
              <w:rPr>
                <w:rFonts w:ascii="Calibri" w:hAnsi="Calibri"/>
                <w:b/>
                <w:i w:val="0"/>
                <w:color w:val="222222"/>
                <w:sz w:val="20"/>
              </w:rPr>
              <w:t>3. install</w:t>
            </w:r>
          </w:p>
        </w:tc>
        <w:tc>
          <w:tcPr>
            <w:tcW w:type="dxa" w:w="451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301"/>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676"/>
            <w:shd w:val="clear" w:color="auto" w:fill="F7F9FB"/>
            <w:vAlign w:val="center"/>
          </w:tcPr>
          <w:p>
            <w:pPr>
              <w:keepNext/>
              <w:spacing w:after="0"/>
            </w:pPr>
            <w:r>
              <w:rPr>
                <w:rFonts w:ascii="Calibri" w:hAnsi="Calibri"/>
                <w:b/>
                <w:i w:val="0"/>
                <w:color w:val="222222"/>
                <w:sz w:val="20"/>
              </w:rPr>
              <w:t>4. quick run</w:t>
            </w:r>
          </w:p>
        </w:tc>
        <w:tc>
          <w:tcPr>
            <w:tcW w:type="dxa" w:w="4519"/>
            <w:shd w:val="clear" w:color="auto" w:fill="F7F9FB"/>
            <w:vAlign w:val="center"/>
          </w:tcPr>
          <w:p>
            <w:pPr>
              <w:keepNext/>
              <w:spacing w:after="0"/>
            </w:pPr>
            <w:r>
              <w:rPr>
                <w:rFonts w:ascii="Consolas" w:hAnsi="Consolas"/>
                <w:b w:val="0"/>
                <w:i w:val="0"/>
                <w:color w:val="222222"/>
                <w:sz w:val="18"/>
              </w:rPr>
              <w:t>.venv/bin/python run_all.py --quick</w:t>
            </w:r>
          </w:p>
        </w:tc>
        <w:tc>
          <w:tcPr>
            <w:tcW w:type="dxa" w:w="2301"/>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676"/>
            <w:shd w:val="clear" w:color="auto" w:fill="FFFFFF"/>
            <w:vAlign w:val="center"/>
          </w:tcPr>
          <w:p>
            <w:pPr>
              <w:keepNext/>
              <w:spacing w:after="0"/>
            </w:pPr>
            <w:r>
              <w:rPr>
                <w:rFonts w:ascii="Calibri" w:hAnsi="Calibri"/>
                <w:b/>
                <w:i w:val="0"/>
                <w:color w:val="222222"/>
                <w:sz w:val="20"/>
              </w:rPr>
              <w:t>5. full run</w:t>
            </w:r>
          </w:p>
        </w:tc>
        <w:tc>
          <w:tcPr>
            <w:tcW w:type="dxa" w:w="4519"/>
            <w:shd w:val="clear" w:color="auto" w:fill="FFFFFF"/>
            <w:vAlign w:val="center"/>
          </w:tcPr>
          <w:p>
            <w:pPr>
              <w:keepNext/>
              <w:spacing w:after="0"/>
            </w:pPr>
            <w:r>
              <w:rPr>
                <w:rFonts w:ascii="Consolas" w:hAnsi="Consolas"/>
                <w:b w:val="0"/>
                <w:i w:val="0"/>
                <w:color w:val="222222"/>
                <w:sz w:val="18"/>
              </w:rPr>
              <w:t>.venv/bin/python run_all.py</w:t>
            </w:r>
          </w:p>
        </w:tc>
        <w:tc>
          <w:tcPr>
            <w:tcW w:type="dxa" w:w="2301"/>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676"/>
            <w:shd w:val="clear" w:color="auto" w:fill="F7F9FB"/>
            <w:vAlign w:val="center"/>
          </w:tcPr>
          <w:p>
            <w:pPr>
              <w:keepNext/>
              <w:spacing w:after="0"/>
            </w:pPr>
            <w:r>
              <w:rPr>
                <w:rFonts w:ascii="Calibri" w:hAnsi="Calibri"/>
                <w:b/>
                <w:i w:val="0"/>
                <w:color w:val="222222"/>
                <w:sz w:val="20"/>
              </w:rPr>
              <w:t>6. check the numbers</w:t>
            </w:r>
          </w:p>
        </w:tc>
        <w:tc>
          <w:tcPr>
            <w:tcW w:type="dxa" w:w="451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301"/>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676"/>
            <w:shd w:val="clear" w:color="auto" w:fill="FFFFFF"/>
            <w:vAlign w:val="center"/>
          </w:tcPr>
          <w:p>
            <w:pPr>
              <w:keepNext/>
              <w:spacing w:after="0"/>
            </w:pPr>
            <w:r>
              <w:rPr>
                <w:rFonts w:ascii="Calibri" w:hAnsi="Calibri"/>
                <w:b/>
                <w:i w:val="0"/>
                <w:color w:val="222222"/>
                <w:sz w:val="20"/>
              </w:rPr>
              <w:t>7. check the registrations</w:t>
            </w:r>
          </w:p>
        </w:tc>
        <w:tc>
          <w:tcPr>
            <w:tcW w:type="dxa" w:w="4519"/>
            <w:shd w:val="clear" w:color="auto" w:fill="FFFFFF"/>
            <w:vAlign w:val="center"/>
          </w:tcPr>
          <w:p>
            <w:pPr>
              <w:keepNext/>
              <w:spacing w:after="0"/>
            </w:pPr>
            <w:r>
              <w:rPr>
                <w:rFonts w:ascii="Consolas" w:hAnsi="Consolas"/>
                <w:b w:val="0"/>
                <w:i w:val="0"/>
                <w:color w:val="222222"/>
                <w:sz w:val="18"/>
              </w:rPr>
              <w:t>.venv/bin/python -m neuromps.report.timestamps</w:t>
            </w:r>
          </w:p>
        </w:tc>
        <w:tc>
          <w:tcPr>
            <w:tcW w:type="dxa" w:w="2301"/>
            <w:shd w:val="clear" w:color="auto" w:fill="FFFFFF"/>
            <w:vAlign w:val="center"/>
          </w:tcPr>
          <w:p>
            <w:pPr>
              <w:keepNext/>
              <w:spacing w:after="0"/>
            </w:pPr>
            <w:r>
              <w:rPr>
                <w:rFonts w:ascii="Calibri" w:hAnsi="Calibri"/>
                <w:b w:val="0"/>
                <w:i w:val="0"/>
                <w:color w:val="222222"/>
                <w:sz w:val="20"/>
              </w:rPr>
              <w:t>hash-chains every registration and checks that each was committed before its results (needs the full git history, not a shallow clone)</w:t>
            </w:r>
          </w:p>
        </w:tc>
      </w:tr>
      <w:tr>
        <w:trPr>
          <w:cantSplit/>
        </w:trPr>
        <w:tc>
          <w:tcPr>
            <w:tcW w:type="dxa" w:w="1676"/>
            <w:shd w:val="clear" w:color="auto" w:fill="F7F9FB"/>
            <w:vAlign w:val="center"/>
          </w:tcPr>
          <w:p>
            <w:pPr>
              <w:keepNext w:val="0"/>
              <w:spacing w:after="0"/>
            </w:pPr>
            <w:r>
              <w:rPr>
                <w:rFonts w:ascii="Calibri" w:hAnsi="Calibri"/>
                <w:b/>
                <w:i w:val="0"/>
                <w:color w:val="222222"/>
                <w:sz w:val="20"/>
              </w:rPr>
              <w:t>8. open the demo</w:t>
            </w:r>
          </w:p>
        </w:tc>
        <w:tc>
          <w:tcPr>
            <w:tcW w:type="dxa" w:w="4519"/>
            <w:shd w:val="clear" w:color="auto" w:fill="F7F9FB"/>
            <w:vAlign w:val="center"/>
          </w:tcPr>
          <w:p>
            <w:pPr>
              <w:keepNext w:val="0"/>
              <w:spacing w:after="0"/>
            </w:pPr>
            <w:r>
              <w:rPr>
                <w:rFonts w:ascii="Consolas" w:hAnsi="Consolas"/>
                <w:b w:val="0"/>
                <w:i w:val="0"/>
                <w:color w:val="222222"/>
                <w:sz w:val="18"/>
              </w:rPr>
              <w:t>.venv/bin/streamlit run app/app.py</w:t>
            </w:r>
          </w:p>
        </w:tc>
        <w:tc>
          <w:tcPr>
            <w:tcW w:type="dxa" w:w="2301"/>
            <w:shd w:val="clear" w:color="auto" w:fill="F7F9FB"/>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spacing w:after="120"/>
      </w:pPr>
      <w:r>
        <w:rPr>
          <w:rFonts w:ascii="Calibri" w:hAnsi="Calibri"/>
          <w:b w:val="0"/>
          <w:i w:val="0"/>
          <w:color w:val="222222"/>
          <w:sz w:val="21"/>
        </w:rPr>
        <w:t xml:space="preserve">The registrations are checked the same way. Every study that registered its predictions in </w:t>
      </w:r>
      <w:r>
        <w:rPr>
          <w:rFonts w:ascii="Consolas" w:hAnsi="Consolas"/>
          <w:b w:val="0"/>
          <w:i w:val="0"/>
          <w:color w:val="222222"/>
          <w:sz w:val="19"/>
        </w:rPr>
        <w:t>preregistration/</w:t>
      </w:r>
      <w:r>
        <w:rPr>
          <w:rFonts w:ascii="Calibri" w:hAnsi="Calibri"/>
          <w:b w:val="0"/>
          <w:i w:val="0"/>
          <w:color w:val="222222"/>
          <w:sz w:val="21"/>
        </w:rPr>
        <w:t xml:space="preserve"> records each prediction's outcome, and </w:t>
      </w:r>
      <w:r>
        <w:rPr>
          <w:rFonts w:ascii="Consolas" w:hAnsi="Consolas"/>
          <w:b w:val="0"/>
          <w:i w:val="0"/>
          <w:color w:val="222222"/>
          <w:sz w:val="19"/>
        </w:rPr>
        <w:t>neuromps.report.audit</w:t>
      </w:r>
      <w:r>
        <w:rPr>
          <w:rFonts w:ascii="Calibri" w:hAnsi="Calibri"/>
          <w:b w:val="0"/>
          <w:i w:val="0"/>
          <w:color w:val="222222"/>
          <w:sz w:val="21"/>
        </w:rPr>
        <w:t xml:space="preserve"> (run at the end of every </w:t>
      </w:r>
      <w:r>
        <w:rPr>
          <w:rFonts w:ascii="Consolas" w:hAnsi="Consolas"/>
          <w:b w:val="0"/>
          <w:i w:val="0"/>
          <w:color w:val="222222"/>
          <w:sz w:val="19"/>
        </w:rPr>
        <w:t>run_all</w:t>
      </w:r>
      <w:r>
        <w:rPr>
          <w:rFonts w:ascii="Calibri" w:hAnsi="Calibri"/>
          <w:b w:val="0"/>
          <w:i w:val="0"/>
          <w:color w:val="222222"/>
          <w:sz w:val="21"/>
        </w:rPr>
        <w:t xml:space="preserve">) counts them: 48 studies made 239 registered predictions, of which 108 passed, 91 failed and 39 were uninterpretable. The audit names any study whose predictions carry no outcome, so that none is left out unnoticed (none is now; </w:t>
      </w:r>
      <w:r>
        <w:rPr>
          <w:rFonts w:ascii="Consolas" w:hAnsi="Consolas"/>
          <w:b w:val="0"/>
          <w:i w:val="0"/>
          <w:color w:val="222222"/>
          <w:sz w:val="19"/>
        </w:rPr>
        <w:t>registration_audit.unrecognised</w:t>
      </w:r>
      <w:r>
        <w:rPr>
          <w:rFonts w:ascii="Calibri" w:hAnsi="Calibri"/>
          <w:b w:val="0"/>
          <w:i w:val="0"/>
          <w:color w:val="222222"/>
          <w:sz w:val="21"/>
        </w:rPr>
        <w:t xml:space="preserve">), and it leaves out the rhythm audit, which re-reads predictions already counted under their own stages.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the commit that first added it, a hash chain over them in commit order, and, for every result file that names its registration, whether the registration's commit came first. Of 47 registrations, 43 result files were checked and 0 came before their registration. The check cannot see the 4 registrations whose results do not name them (the twin's depression test, its prior classifier, the ToxCast noise floors and the inverse-model recalibration, whose results are recorded only in </w:t>
      </w:r>
      <w:r>
        <w:rPr>
          <w:rFonts w:ascii="Consolas" w:hAnsi="Consolas"/>
          <w:b w:val="0"/>
          <w:i w:val="0"/>
          <w:color w:val="222222"/>
          <w:sz w:val="19"/>
        </w:rPr>
        <w:t>metrics.json</w:t>
      </w:r>
      <w:r>
        <w:rPr>
          <w:rFonts w:ascii="Calibri" w:hAnsi="Calibri"/>
          <w:b w:val="0"/>
          <w:i w:val="0"/>
          <w:color w:val="222222"/>
          <w:sz w:val="21"/>
        </w:rPr>
        <w:t>), and it rests on this repository's own history, not on a third-party timestamp. The two manuscripts in preparation register their studies the same way in a separate, private repository.</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8" name="Picture 18"/>
            <wp:cNvGraphicFramePr>
              <a:graphicFrameLocks noChangeAspect="1"/>
            </wp:cNvGraphicFramePr>
            <a:graphic>
              <a:graphicData uri="http://schemas.openxmlformats.org/drawingml/2006/picture">
                <pic:pic>
                  <pic:nvPicPr>
                    <pic:cNvPr id="0" name="fly_chip_to_animal_dose_SIMULATED.png"/>
                    <pic:cNvPicPr/>
                  </pic:nvPicPr>
                  <pic:blipFill>
                    <a:blip r:embed="rId30"/>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9" name="Picture 19"/>
            <wp:cNvGraphicFramePr>
              <a:graphicFrameLocks noChangeAspect="1"/>
            </wp:cNvGraphicFramePr>
            <a:graphic>
              <a:graphicData uri="http://schemas.openxmlformats.org/drawingml/2006/picture">
                <pic:pic>
                  <pic:nvPicPr>
                    <pic:cNvPr id="0" name="fly_sentinel_ladder_SIMULATED.png"/>
                    <pic:cNvPicPr/>
                  </pic:nvPicPr>
                  <pic:blipFill>
                    <a:blip r:embed="rId31"/>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20" name="Picture 20"/>
            <wp:cNvGraphicFramePr>
              <a:graphicFrameLocks noChangeAspect="1"/>
            </wp:cNvGraphicFramePr>
            <a:graphic>
              <a:graphicData uri="http://schemas.openxmlformats.org/drawingml/2006/picture">
                <pic:pic>
                  <pic:nvPicPr>
                    <pic:cNvPr id="0" name="fly_output_tract_SIMULATED.png"/>
                    <pic:cNvPicPr/>
                  </pic:nvPicPr>
                  <pic:blipFill>
                    <a:blip r:embed="rId32"/>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21" name="Picture 21"/>
            <wp:cNvGraphicFramePr>
              <a:graphicFrameLocks noChangeAspect="1"/>
            </wp:cNvGraphicFramePr>
            <a:graphic>
              <a:graphicData uri="http://schemas.openxmlformats.org/drawingml/2006/picture">
                <pic:pic>
                  <pic:nvPicPr>
                    <pic:cNvPr id="0" name="fly_direction_SIMULATED.png"/>
                    <pic:cNvPicPr/>
                  </pic:nvPicPr>
                  <pic:blipFill>
                    <a:blip r:embed="rId33"/>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22" name="Picture 22"/>
            <wp:cNvGraphicFramePr>
              <a:graphicFrameLocks noChangeAspect="1"/>
            </wp:cNvGraphicFramePr>
            <a:graphic>
              <a:graphicData uri="http://schemas.openxmlformats.org/drawingml/2006/picture">
                <pic:pic>
                  <pic:nvPicPr>
                    <pic:cNvPr id="0" name="fly_motor_onsets_SIMULATED.png"/>
                    <pic:cNvPicPr/>
                  </pic:nvPicPr>
                  <pic:blipFill>
                    <a:blip r:embed="rId34"/>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3" name="Picture 23"/>
            <wp:cNvGraphicFramePr>
              <a:graphicFrameLocks noChangeAspect="1"/>
            </wp:cNvGraphicFramePr>
            <a:graphic>
              <a:graphicData uri="http://schemas.openxmlformats.org/drawingml/2006/picture">
                <pic:pic>
                  <pic:nvPicPr>
                    <pic:cNvPr id="0" name="fly_motor_tie_break_SIMULATED.png"/>
                    <pic:cNvPicPr/>
                  </pic:nvPicPr>
                  <pic:blipFill>
                    <a:blip r:embed="rId35"/>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23.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 registered check finds no rhythm when the volumes are shuffled across neurons, so the rhythm needs the identified neurons' own volumes. A promotor-remotor offset seen once did not replicate reliably,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Read through a fictive walking rhythm alone, GABA-A and GluCl block break it well before the chip flags them; whether acetylcholine block is caught first depends on how the rhythm is scored (a registered retest counts its low-dose rise in rhythm as a change at 0.2), so it is not claimed.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360" w:after="120"/>
      </w:pPr>
      <w:r>
        <w:rPr>
          <w:rFonts w:ascii="Calibri" w:hAnsi="Calibri"/>
          <w:b/>
          <w:i w:val="0"/>
          <w:color w:val="2F5597"/>
          <w:sz w:val="27"/>
        </w:rPr>
        <w:t>ACT IX: What a real screen's untreated wells say (after round 1)</w:t>
      </w:r>
    </w:p>
    <w:p>
      <w:pPr>
        <w:spacing w:after="120"/>
      </w:pPr>
      <w:r>
        <w:rPr>
          <w:rFonts w:ascii="Calibri" w:hAnsi="Calibri"/>
          <w:b w:val="0"/>
          <w:i/>
          <w:color w:val="222222"/>
          <w:sz w:val="21"/>
        </w:rPr>
        <w:t xml:space="preserve">Added after the first-round deadline (`report/POST_SUBMISSION_CHANGES.md`, entry 42). Unlike Acts VII and VIII, the measurements in this act are </w:t>
      </w:r>
      <w:r>
        <w:rPr>
          <w:rFonts w:ascii="Calibri" w:hAnsi="Calibri"/>
          <w:b w:val="0"/>
          <w:i/>
          <w:color w:val="222222"/>
          <w:sz w:val="21"/>
        </w:rPr>
        <w:t>real</w:t>
      </w:r>
      <w:r>
        <w:rPr>
          <w:rFonts w:ascii="Calibri" w:hAnsi="Calibri"/>
          <w:b w:val="0"/>
          <w:i/>
          <w:color w:val="222222"/>
          <w:sz w:val="21"/>
        </w:rPr>
        <w:t>: well-level recordings from the EPA's acute MEA screen. The twin's side of §33 and §35 is simulated and labelled so. All three analyses were registered before any response statistic was computed (`preregistration/toxcast_noise_floors.json`, `preregistration/twin_toxcast_positive_controls.json`, `preregistration/twin_toxcast_dose_response.json`). This is research decision support about measurement design; nothing here is a claim about any compound's effect.</w:t>
      </w:r>
    </w:p>
    <w:p>
      <w:pPr>
        <w:keepNext/>
        <w:spacing w:before="240" w:after="60"/>
      </w:pPr>
      <w:r>
        <w:rPr>
          <w:rFonts w:ascii="Calibri" w:hAnsi="Calibri"/>
          <w:b/>
          <w:i w:val="0"/>
          <w:color w:val="1F4E79"/>
          <w:sz w:val="23"/>
        </w:rPr>
        <w:t>32. How large a change can a chip see? The noise floor, per feature</w:t>
      </w:r>
    </w:p>
    <w:p>
      <w:pPr>
        <w:spacing w:after="120"/>
      </w:pPr>
      <w:r>
        <w:rPr>
          <w:rFonts w:ascii="Calibri" w:hAnsi="Calibri"/>
          <w:b w:val="0"/>
          <w:i w:val="0"/>
          <w:color w:val="222222"/>
          <w:sz w:val="21"/>
        </w:rPr>
        <w:t xml:space="preserve">A lab that wants to use a neural chip has to answer a plain question before any modelling: how many wells does it take to see a fall of a fifth, and in which readout? The answer depends on how much an </w:t>
      </w:r>
      <w:r>
        <w:rPr>
          <w:rFonts w:ascii="Calibri" w:hAnsi="Calibri"/>
          <w:b w:val="0"/>
          <w:i/>
          <w:color w:val="222222"/>
          <w:sz w:val="21"/>
        </w:rPr>
        <w:t>untreated</w:t>
      </w:r>
      <w:r>
        <w:rPr>
          <w:rFonts w:ascii="Calibri" w:hAnsi="Calibri"/>
          <w:b w:val="0"/>
          <w:i w:val="0"/>
          <w:color w:val="222222"/>
          <w:sz w:val="21"/>
        </w:rPr>
        <w:t xml:space="preserve"> well moves on its own, and on whether that movement is shared by wells recorded on the same day. Neither number is in the published curve fits we used in round 1. Both are in the EPA's raw database.</w:t>
      </w:r>
    </w:p>
    <w:p>
      <w:pPr>
        <w:keepNext/>
        <w:spacing w:after="120"/>
      </w:pPr>
      <w:r>
        <w:rPr>
          <w:rFonts w:ascii="Calibri" w:hAnsi="Calibri"/>
          <w:b/>
          <w:i w:val="0"/>
          <w:color w:val="156082"/>
          <w:sz w:val="21"/>
        </w:rPr>
        <w:t>The data.</w:t>
      </w:r>
      <w:r>
        <w:rPr>
          <w:rFonts w:ascii="Calibri" w:hAnsi="Calibri"/>
          <w:b w:val="0"/>
          <w:i w:val="0"/>
          <w:color w:val="222222"/>
          <w:sz w:val="21"/>
        </w:rPr>
        <w:t xml:space="preserve"> The EPA's ToxCast database (invitrodb, CC0) holds every well of its acute MEA screen: rat cortical cultures on 48-well plates, each well recorded 40 minutes before and 40 minutes after exposure, stored as the percent change from its own baseline. We read its full MySQL dump as text, never executing it, and extracted the 15 electrophysiology readouts (</w:t>
      </w:r>
      <w:r>
        <w:rPr>
          <w:rFonts w:ascii="Consolas" w:hAnsi="Consolas"/>
          <w:b w:val="0"/>
          <w:i w:val="0"/>
          <w:color w:val="222222"/>
          <w:sz w:val="19"/>
        </w:rPr>
        <w:t>neuromps.etl.toxcast_wells</w:t>
      </w:r>
      <w:r>
        <w:rPr>
          <w:rFonts w:ascii="Calibri" w:hAnsi="Calibri"/>
          <w:b w:val="0"/>
          <w:i w:val="0"/>
          <w:color w:val="222222"/>
          <w:sz w:val="21"/>
        </w:rPr>
        <w:t>). Seven of these readouts, firing rate among them, have no well rows in the public dump; we recovered them from the dump's own row numbering and checked the recovery against values the database stores independently: concentrations agree on every row and each exposure date's stored baseline is reproduced on every date (</w:t>
      </w:r>
      <w:r>
        <w:rPr>
          <w:rFonts w:ascii="Consolas" w:hAnsi="Consolas"/>
          <w:b w:val="0"/>
          <w:i w:val="0"/>
          <w:color w:val="222222"/>
          <w:sz w:val="19"/>
        </w:rPr>
        <w:t>neuromps.etl.toxcast_recover</w:t>
      </w:r>
      <w:r>
        <w:rPr>
          <w:rFonts w:ascii="Calibri" w:hAnsi="Calibri"/>
          <w:b w:val="0"/>
          <w:i w:val="0"/>
          <w:color w:val="222222"/>
          <w:sz w:val="21"/>
        </w:rPr>
        <w:t xml:space="preserve">; checks in </w:t>
      </w:r>
      <w:r>
        <w:rPr>
          <w:rFonts w:ascii="Consolas" w:hAnsi="Consolas"/>
          <w:b w:val="0"/>
          <w:i w:val="0"/>
          <w:color w:val="222222"/>
          <w:sz w:val="19"/>
        </w:rPr>
        <w:t>data/interim/toxcast_mea/recovery_checks.json</w:t>
      </w:r>
      <w:r>
        <w:rPr>
          <w:rFonts w:ascii="Calibri" w:hAnsi="Calibri"/>
          <w:b w:val="0"/>
          <w:i w:val="0"/>
          <w:color w:val="222222"/>
          <w:sz w:val="21"/>
        </w:rPr>
        <w:t>). The vehicle wells (DMSO or water) are the untreated reference: 714 wells on 97 exposure dates and 274 physical plates.</w:t>
      </w:r>
    </w:p>
    <w:p>
      <w:pPr>
        <w:keepNext/>
        <w:spacing w:before="120" w:after="40"/>
        <w:jc w:val="center"/>
      </w:pPr>
      <w:r>
        <w:drawing>
          <wp:inline xmlns:a="http://schemas.openxmlformats.org/drawingml/2006/main" xmlns:pic="http://schemas.openxmlformats.org/drawingml/2006/picture">
            <wp:extent cx="5394960" cy="2062560"/>
            <wp:docPr id="24" name="Picture 24"/>
            <wp:cNvGraphicFramePr>
              <a:graphicFrameLocks noChangeAspect="1"/>
            </wp:cNvGraphicFramePr>
            <a:graphic>
              <a:graphicData uri="http://schemas.openxmlformats.org/drawingml/2006/picture">
                <pic:pic>
                  <pic:nvPicPr>
                    <pic:cNvPr id="0" name="toxcast_noise_floors_real.png"/>
                    <pic:cNvPicPr/>
                  </pic:nvPicPr>
                  <pic:blipFill>
                    <a:blip r:embed="rId36"/>
                    <a:stretch>
                      <a:fillRect/>
                    </a:stretch>
                  </pic:blipFill>
                  <pic:spPr>
                    <a:xfrm>
                      <a:off x="0" y="0"/>
                      <a:ext cx="5394960" cy="2062560"/>
                    </a:xfrm>
                    <a:prstGeom prst="rect"/>
                  </pic:spPr>
                </pic:pic>
              </a:graphicData>
            </a:graphic>
          </wp:inline>
        </w:drawing>
      </w:r>
    </w:p>
    <w:p>
      <w:pPr>
        <w:spacing w:after="200"/>
        <w:jc w:val="center"/>
      </w:pPr>
      <w:r>
        <w:rPr>
          <w:rFonts w:ascii="Calibri" w:hAnsi="Calibri"/>
          <w:b/>
          <w:i/>
          <w:color w:val="222222"/>
          <w:sz w:val="17"/>
        </w:rPr>
        <w:t xml:space="preserve">Figure 24. </w:t>
      </w:r>
      <w:r>
        <w:rPr>
          <w:rFonts w:ascii="Calibri" w:hAnsi="Calibri"/>
          <w:b w:val="0"/>
          <w:i/>
          <w:color w:val="222222"/>
          <w:sz w:val="17"/>
        </w:rPr>
        <w:t>REAL ToxCast acute MEA vehicle wells. Left: each untreated well's change from its own baseline, 5th to 95th percentile (bar) and median (dot), per readout. Middle: the share of that variance carried by the exposure date, with a 95% interval from resampling dates. Right: the firing-rate fall detectable at 5% false alarms with 80% power against the number of wells, for three designs.</w:t>
      </w:r>
    </w:p>
    <w:p>
      <w:pPr>
        <w:spacing w:after="120"/>
      </w:pPr>
      <w:r>
        <w:rPr>
          <w:rFonts w:ascii="Calibri" w:hAnsi="Calibri"/>
          <w:b/>
          <w:i w:val="0"/>
          <w:color w:val="156082"/>
          <w:sz w:val="21"/>
        </w:rPr>
        <w:t>Three findings a chip user needs.</w:t>
      </w:r>
    </w:p>
    <w:p>
      <w:pPr>
        <w:spacing w:after="120"/>
        <w:ind w:left="432" w:hanging="259"/>
      </w:pPr>
      <w:r>
        <w:rPr>
          <w:rFonts w:ascii="Calibri" w:hAnsi="Calibri"/>
          <w:b w:val="0"/>
          <w:i w:val="0"/>
          <w:color w:val="222222"/>
          <w:sz w:val="21"/>
        </w:rPr>
        <w:t>1.</w:t>
        <w:tab/>
      </w:r>
      <w:r>
        <w:rPr>
          <w:rFonts w:ascii="Calibri" w:hAnsi="Calibri"/>
          <w:b/>
          <w:i w:val="0"/>
          <w:color w:val="156082"/>
          <w:sz w:val="21"/>
        </w:rPr>
        <w:t>Untreated wells drift, and by a lot.</w:t>
      </w:r>
      <w:r>
        <w:rPr>
          <w:rFonts w:ascii="Calibri" w:hAnsi="Calibri"/>
          <w:b w:val="0"/>
          <w:i w:val="0"/>
          <w:color w:val="222222"/>
          <w:sz w:val="21"/>
        </w:rPr>
        <w:t xml:space="preserve"> Over the 40-minute exposure window an untreated well's firing rate falls by a median of −32%, and one well in twenty falls by more than −69%. A treated well read only against its own baseline would show a large "effect" with no drug at all. Every change must be read against vehicle wells. Burst counts and cross-correlation drift the same way; burst shape, synchrony and network-burst readouts barely drift.</w:t>
      </w:r>
    </w:p>
    <w:p>
      <w:pPr>
        <w:spacing w:after="120"/>
        <w:ind w:left="432" w:hanging="259"/>
      </w:pPr>
      <w:r>
        <w:rPr>
          <w:rFonts w:ascii="Calibri" w:hAnsi="Calibri"/>
          <w:b w:val="0"/>
          <w:i w:val="0"/>
          <w:color w:val="222222"/>
          <w:sz w:val="21"/>
        </w:rPr>
        <w:t>2.</w:t>
        <w:tab/>
      </w:r>
      <w:r>
        <w:rPr>
          <w:rFonts w:ascii="Calibri" w:hAnsi="Calibri"/>
          <w:b/>
          <w:i w:val="0"/>
          <w:color w:val="156082"/>
          <w:sz w:val="21"/>
        </w:rPr>
        <w:t>Much of the noise is the day, not the well.</w:t>
      </w:r>
      <w:r>
        <w:rPr>
          <w:rFonts w:ascii="Calibri" w:hAnsi="Calibri"/>
          <w:b w:val="0"/>
          <w:i w:val="0"/>
          <w:color w:val="222222"/>
          <w:sz w:val="21"/>
        </w:rPr>
        <w:t xml:space="preserve"> The exposure date carries 0.42 of the variance in vehicle firing rate (95% interval 0.31 to 0.54, resampling dates); the physical plate adds almost nothing beyond it (plate share 0.40). Wells recorded on one day share that day's offset, so adding more of them does not average it away.</w:t>
      </w:r>
    </w:p>
    <w:p>
      <w:pPr>
        <w:spacing w:after="120"/>
        <w:ind w:left="432" w:hanging="259"/>
      </w:pPr>
      <w:r>
        <w:rPr>
          <w:rFonts w:ascii="Calibri" w:hAnsi="Calibri"/>
          <w:b w:val="0"/>
          <w:i w:val="0"/>
          <w:color w:val="222222"/>
          <w:sz w:val="21"/>
        </w:rPr>
        <w:t>3.</w:t>
        <w:tab/>
      </w:r>
      <w:r>
        <w:rPr>
          <w:rFonts w:ascii="Calibri" w:hAnsi="Calibri"/>
          <w:b/>
          <w:i w:val="0"/>
          <w:color w:val="156082"/>
          <w:sz w:val="21"/>
        </w:rPr>
        <w:t>So the design matters more than the well count.</w:t>
      </w:r>
      <w:r>
        <w:rPr>
          <w:rFonts w:ascii="Calibri" w:hAnsi="Calibri"/>
          <w:b w:val="0"/>
          <w:i w:val="0"/>
          <w:color w:val="222222"/>
          <w:sz w:val="21"/>
        </w:rPr>
        <w:t xml:space="preserve"> For a 20% fall in firing rate: 32 wells spread over independent dates suffice; the same number from one date, judged against the screen's historical vehicle mean, never does (more than 96 wells; even a 50% fall stays out of reach, since 96 wells from one date detect only a 52% fall); and wells from one date judged against the same number of vehicle wells from that date need 32 of each. For a 50% fall the counts are 3 independent wells, or 4 treated and 4 vehicle wells on one date. A single well detects only a fall of 68% or more, and rises are harder to see than falls of the same percentage (a 20% rise needs 48 independent wells).</w:t>
      </w:r>
    </w:p>
    <w:p>
      <w:pPr>
        <w:keepNext/>
        <w:spacing w:after="120"/>
      </w:pPr>
      <w:r>
        <w:rPr>
          <w:rFonts w:ascii="Calibri" w:hAnsi="Calibri"/>
          <w:b/>
          <w:i w:val="0"/>
          <w:color w:val="156082"/>
          <w:sz w:val="21"/>
        </w:rPr>
        <w:t>Wells needed to detect a fall, per readout</w:t>
      </w:r>
      <w:r>
        <w:rPr>
          <w:rFonts w:ascii="Calibri" w:hAnsi="Calibri"/>
          <w:b w:val="0"/>
          <w:i w:val="0"/>
          <w:color w:val="222222"/>
          <w:sz w:val="21"/>
        </w:rPr>
        <w:t xml:space="preserve"> (two-sided false alarms at 5% per test, power 80%; smallest count on the grid 1 to 96; A: wells spread over independent dates; B: all wells from one date against the historical vehicle mean; C: that many treated </w:t>
      </w:r>
      <w:r>
        <w:rPr>
          <w:rFonts w:ascii="Calibri" w:hAnsi="Calibri"/>
          <w:b w:val="0"/>
          <w:i/>
          <w:color w:val="222222"/>
          <w:sz w:val="21"/>
        </w:rPr>
        <w:t>and</w:t>
      </w:r>
      <w:r>
        <w:rPr>
          <w:rFonts w:ascii="Calibri" w:hAnsi="Calibri"/>
          <w:b w:val="0"/>
          <w:i w:val="0"/>
          <w:color w:val="222222"/>
          <w:sz w:val="21"/>
        </w:rPr>
        <w:t xml:space="preserve"> that many vehicle wells on one date; sorted by noise floor; every vehicle well of the screen, DMSO and water):</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43"/>
        <w:gridCol w:w="1898"/>
        <w:gridCol w:w="1079"/>
        <w:gridCol w:w="887"/>
        <w:gridCol w:w="1294"/>
        <w:gridCol w:w="1294"/>
      </w:tblGrid>
      <w:tr>
        <w:trPr>
          <w:cantSplit/>
          <w:tblHeader/>
        </w:trPr>
        <w:tc>
          <w:tcPr>
            <w:tcW w:type="dxa" w:w="2043"/>
            <w:shd w:val="clear" w:color="auto" w:fill="1F4E79"/>
            <w:vAlign w:val="center"/>
          </w:tcPr>
          <w:p>
            <w:pPr>
              <w:keepNext/>
              <w:spacing w:after="0"/>
            </w:pPr>
            <w:r>
              <w:rPr>
                <w:rFonts w:ascii="Calibri" w:hAnsi="Calibri"/>
                <w:b/>
                <w:i w:val="0"/>
                <w:color w:val="FFFFFF"/>
                <w:sz w:val="20"/>
              </w:rPr>
              <w:t>readout</w:t>
            </w:r>
          </w:p>
        </w:tc>
        <w:tc>
          <w:tcPr>
            <w:tcW w:type="dxa" w:w="1898"/>
            <w:shd w:val="clear" w:color="auto" w:fill="1F4E79"/>
            <w:vAlign w:val="center"/>
          </w:tcPr>
          <w:p>
            <w:pPr>
              <w:keepNext/>
              <w:spacing w:after="0"/>
            </w:pPr>
            <w:r>
              <w:rPr>
                <w:rFonts w:ascii="Calibri" w:hAnsi="Calibri"/>
                <w:b/>
                <w:i w:val="0"/>
                <w:color w:val="FFFFFF"/>
                <w:sz w:val="20"/>
              </w:rPr>
              <w:t>untreated change, median (5th to 95th pct.)</w:t>
            </w:r>
          </w:p>
        </w:tc>
        <w:tc>
          <w:tcPr>
            <w:tcW w:type="dxa" w:w="1079"/>
            <w:shd w:val="clear" w:color="auto" w:fill="1F4E79"/>
            <w:vAlign w:val="center"/>
          </w:tcPr>
          <w:p>
            <w:pPr>
              <w:keepNext/>
              <w:spacing w:after="0"/>
              <w:jc w:val="center"/>
            </w:pPr>
            <w:r>
              <w:rPr>
                <w:rFonts w:ascii="Calibri" w:hAnsi="Calibri"/>
                <w:b/>
                <w:i w:val="0"/>
                <w:color w:val="FFFFFF"/>
                <w:sz w:val="20"/>
              </w:rPr>
              <w:t>abs. q95 (log2)</w:t>
            </w:r>
          </w:p>
        </w:tc>
        <w:tc>
          <w:tcPr>
            <w:tcW w:type="dxa" w:w="887"/>
            <w:shd w:val="clear" w:color="auto" w:fill="1F4E79"/>
            <w:vAlign w:val="center"/>
          </w:tcPr>
          <w:p>
            <w:pPr>
              <w:keepNext/>
              <w:spacing w:after="0"/>
              <w:jc w:val="center"/>
            </w:pPr>
            <w:r>
              <w:rPr>
                <w:rFonts w:ascii="Calibri" w:hAnsi="Calibri"/>
                <w:b/>
                <w:i w:val="0"/>
                <w:color w:val="FFFFFF"/>
                <w:sz w:val="20"/>
              </w:rPr>
              <w:t>date share</w:t>
            </w:r>
          </w:p>
        </w:tc>
        <w:tc>
          <w:tcPr>
            <w:tcW w:type="dxa" w:w="1294"/>
            <w:shd w:val="clear" w:color="auto" w:fill="1F4E79"/>
            <w:vAlign w:val="center"/>
          </w:tcPr>
          <w:p>
            <w:pPr>
              <w:keepNext/>
              <w:spacing w:after="0"/>
            </w:pPr>
            <w:r>
              <w:rPr>
                <w:rFonts w:ascii="Calibri" w:hAnsi="Calibri"/>
                <w:b/>
                <w:i w:val="0"/>
                <w:color w:val="FFFFFF"/>
                <w:sz w:val="20"/>
              </w:rPr>
              <w:t>wells for a 20% fall (A / B / C)</w:t>
            </w:r>
          </w:p>
        </w:tc>
        <w:tc>
          <w:tcPr>
            <w:tcW w:type="dxa" w:w="1294"/>
            <w:shd w:val="clear" w:color="auto" w:fill="1F4E79"/>
            <w:vAlign w:val="center"/>
          </w:tcPr>
          <w:p>
            <w:pPr>
              <w:keepNext/>
              <w:spacing w:after="0"/>
            </w:pPr>
            <w:r>
              <w:rPr>
                <w:rFonts w:ascii="Calibri" w:hAnsi="Calibri"/>
                <w:b/>
                <w:i w:val="0"/>
                <w:color w:val="FFFFFF"/>
                <w:sz w:val="20"/>
              </w:rPr>
              <w:t>wells for a 50% fall (A / B / C)</w:t>
            </w:r>
          </w:p>
        </w:tc>
      </w:tr>
      <w:tr>
        <w:trPr>
          <w:cantSplit/>
        </w:trPr>
        <w:tc>
          <w:tcPr>
            <w:tcW w:type="dxa" w:w="2043"/>
            <w:shd w:val="clear" w:color="auto" w:fill="FFFFFF"/>
            <w:vAlign w:val="center"/>
          </w:tcPr>
          <w:p>
            <w:pPr>
              <w:keepNext/>
              <w:spacing w:after="0"/>
            </w:pPr>
            <w:r>
              <w:rPr>
                <w:rFonts w:ascii="Calibri" w:hAnsi="Calibri"/>
                <w:b/>
                <w:i w:val="0"/>
                <w:color w:val="222222"/>
                <w:sz w:val="20"/>
              </w:rPr>
              <w:t>network burst percentage</w:t>
            </w:r>
          </w:p>
        </w:tc>
        <w:tc>
          <w:tcPr>
            <w:tcW w:type="dxa" w:w="1898"/>
            <w:shd w:val="clear" w:color="auto" w:fill="FFFFFF"/>
            <w:vAlign w:val="center"/>
          </w:tcPr>
          <w:p>
            <w:pPr>
              <w:keepNext/>
              <w:spacing w:after="0"/>
            </w:pPr>
            <w:r>
              <w:rPr>
                <w:rFonts w:ascii="Calibri" w:hAnsi="Calibri"/>
                <w:b w:val="0"/>
                <w:i w:val="0"/>
                <w:color w:val="222222"/>
                <w:sz w:val="20"/>
              </w:rPr>
              <w:t>−1% (−12% to +2%)</w:t>
            </w:r>
          </w:p>
        </w:tc>
        <w:tc>
          <w:tcPr>
            <w:tcW w:type="dxa" w:w="1079"/>
            <w:shd w:val="clear" w:color="auto" w:fill="FFFFFF"/>
            <w:vAlign w:val="center"/>
          </w:tcPr>
          <w:p>
            <w:pPr>
              <w:keepNext/>
              <w:spacing w:after="0"/>
              <w:jc w:val="center"/>
            </w:pPr>
            <w:r>
              <w:rPr>
                <w:rFonts w:ascii="Calibri" w:hAnsi="Calibri"/>
                <w:b w:val="0"/>
                <w:i w:val="0"/>
                <w:color w:val="222222"/>
                <w:sz w:val="20"/>
              </w:rPr>
              <w:t>0.20</w:t>
            </w:r>
          </w:p>
        </w:tc>
        <w:tc>
          <w:tcPr>
            <w:tcW w:type="dxa" w:w="887"/>
            <w:shd w:val="clear" w:color="auto" w:fill="FFFFFF"/>
            <w:vAlign w:val="center"/>
          </w:tcPr>
          <w:p>
            <w:pPr>
              <w:keepNext/>
              <w:spacing w:after="0"/>
              <w:jc w:val="center"/>
            </w:pPr>
            <w:r>
              <w:rPr>
                <w:rFonts w:ascii="Calibri" w:hAnsi="Calibri"/>
                <w:b w:val="0"/>
                <w:i w:val="0"/>
                <w:color w:val="222222"/>
                <w:sz w:val="20"/>
              </w:rPr>
              <w:t>0.18</w:t>
            </w:r>
          </w:p>
        </w:tc>
        <w:tc>
          <w:tcPr>
            <w:tcW w:type="dxa" w:w="1294"/>
            <w:shd w:val="clear" w:color="auto" w:fill="FFFFFF"/>
            <w:vAlign w:val="center"/>
          </w:tcPr>
          <w:p>
            <w:pPr>
              <w:keepNext/>
              <w:spacing w:after="0"/>
              <w:jc w:val="center"/>
            </w:pPr>
            <w:r>
              <w:rPr>
                <w:rFonts w:ascii="Calibri" w:hAnsi="Calibri"/>
                <w:b w:val="0"/>
                <w:i w:val="0"/>
                <w:color w:val="222222"/>
                <w:sz w:val="20"/>
              </w:rPr>
              <w:t>3 / 8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synchrony index</w:t>
            </w:r>
          </w:p>
        </w:tc>
        <w:tc>
          <w:tcPr>
            <w:tcW w:type="dxa" w:w="1898"/>
            <w:shd w:val="clear" w:color="auto" w:fill="F7F9FB"/>
            <w:vAlign w:val="center"/>
          </w:tcPr>
          <w:p>
            <w:pPr>
              <w:keepNext/>
              <w:spacing w:after="0"/>
            </w:pPr>
            <w:r>
              <w:rPr>
                <w:rFonts w:ascii="Calibri" w:hAnsi="Calibri"/>
                <w:b w:val="0"/>
                <w:i w:val="0"/>
                <w:color w:val="222222"/>
                <w:sz w:val="20"/>
              </w:rPr>
              <w:t>−4% (−16% to +3%)</w:t>
            </w:r>
          </w:p>
        </w:tc>
        <w:tc>
          <w:tcPr>
            <w:tcW w:type="dxa" w:w="1079"/>
            <w:shd w:val="clear" w:color="auto" w:fill="F7F9FB"/>
            <w:vAlign w:val="center"/>
          </w:tcPr>
          <w:p>
            <w:pPr>
              <w:keepNext/>
              <w:spacing w:after="0"/>
              <w:jc w:val="center"/>
            </w:pPr>
            <w:r>
              <w:rPr>
                <w:rFonts w:ascii="Calibri" w:hAnsi="Calibri"/>
                <w:b w:val="0"/>
                <w:i w:val="0"/>
                <w:color w:val="222222"/>
                <w:sz w:val="20"/>
              </w:rPr>
              <w:t>0.26</w:t>
            </w:r>
          </w:p>
        </w:tc>
        <w:tc>
          <w:tcPr>
            <w:tcW w:type="dxa" w:w="887"/>
            <w:shd w:val="clear" w:color="auto" w:fill="F7F9FB"/>
            <w:vAlign w:val="center"/>
          </w:tcPr>
          <w:p>
            <w:pPr>
              <w:keepNext/>
              <w:spacing w:after="0"/>
              <w:jc w:val="center"/>
            </w:pPr>
            <w:r>
              <w:rPr>
                <w:rFonts w:ascii="Calibri" w:hAnsi="Calibri"/>
                <w:b w:val="0"/>
                <w:i w:val="0"/>
                <w:color w:val="222222"/>
                <w:sz w:val="20"/>
              </w:rPr>
              <w:t>0.32</w:t>
            </w:r>
          </w:p>
        </w:tc>
        <w:tc>
          <w:tcPr>
            <w:tcW w:type="dxa" w:w="1294"/>
            <w:shd w:val="clear" w:color="auto" w:fill="F7F9FB"/>
            <w:vAlign w:val="center"/>
          </w:tcPr>
          <w:p>
            <w:pPr>
              <w:keepNext/>
              <w:spacing w:after="0"/>
              <w:jc w:val="center"/>
            </w:pPr>
            <w:r>
              <w:rPr>
                <w:rFonts w:ascii="Calibri" w:hAnsi="Calibri"/>
                <w:b w:val="0"/>
                <w:i w:val="0"/>
                <w:color w:val="222222"/>
                <w:sz w:val="20"/>
              </w:rPr>
              <w:t>6 / 12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electrodes number mean</w:t>
            </w:r>
          </w:p>
        </w:tc>
        <w:tc>
          <w:tcPr>
            <w:tcW w:type="dxa" w:w="1898"/>
            <w:shd w:val="clear" w:color="auto" w:fill="FFFFFF"/>
            <w:vAlign w:val="center"/>
          </w:tcPr>
          <w:p>
            <w:pPr>
              <w:keepNext/>
              <w:spacing w:after="0"/>
            </w:pPr>
            <w:r>
              <w:rPr>
                <w:rFonts w:ascii="Calibri" w:hAnsi="Calibri"/>
                <w:b w:val="0"/>
                <w:i w:val="0"/>
                <w:color w:val="222222"/>
                <w:sz w:val="20"/>
              </w:rPr>
              <w:t>−6% (−21% to +10%)</w:t>
            </w:r>
          </w:p>
        </w:tc>
        <w:tc>
          <w:tcPr>
            <w:tcW w:type="dxa" w:w="1079"/>
            <w:shd w:val="clear" w:color="auto" w:fill="FFFFFF"/>
            <w:vAlign w:val="center"/>
          </w:tcPr>
          <w:p>
            <w:pPr>
              <w:keepNext/>
              <w:spacing w:after="0"/>
              <w:jc w:val="center"/>
            </w:pPr>
            <w:r>
              <w:rPr>
                <w:rFonts w:ascii="Calibri" w:hAnsi="Calibri"/>
                <w:b w:val="0"/>
                <w:i w:val="0"/>
                <w:color w:val="222222"/>
                <w:sz w:val="20"/>
              </w:rPr>
              <w:t>0.40</w:t>
            </w:r>
          </w:p>
        </w:tc>
        <w:tc>
          <w:tcPr>
            <w:tcW w:type="dxa" w:w="887"/>
            <w:shd w:val="clear" w:color="auto" w:fill="FFFFFF"/>
            <w:vAlign w:val="center"/>
          </w:tcPr>
          <w:p>
            <w:pPr>
              <w:keepNext/>
              <w:spacing w:after="0"/>
              <w:jc w:val="center"/>
            </w:pPr>
            <w:r>
              <w:rPr>
                <w:rFonts w:ascii="Calibri" w:hAnsi="Calibri"/>
                <w:b w:val="0"/>
                <w:i w:val="0"/>
                <w:color w:val="222222"/>
                <w:sz w:val="20"/>
              </w:rPr>
              <w:t>0.25</w:t>
            </w:r>
          </w:p>
        </w:tc>
        <w:tc>
          <w:tcPr>
            <w:tcW w:type="dxa" w:w="1294"/>
            <w:shd w:val="clear" w:color="auto" w:fill="FFFFFF"/>
            <w:vAlign w:val="center"/>
          </w:tcPr>
          <w:p>
            <w:pPr>
              <w:keepNext/>
              <w:spacing w:after="0"/>
              <w:jc w:val="center"/>
            </w:pPr>
            <w:r>
              <w:rPr>
                <w:rFonts w:ascii="Calibri" w:hAnsi="Calibri"/>
                <w:b w:val="0"/>
                <w:i w:val="0"/>
                <w:color w:val="222222"/>
                <w:sz w:val="20"/>
              </w:rPr>
              <w:t>3 / 4 / 4</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mean</w:t>
            </w:r>
          </w:p>
        </w:tc>
        <w:tc>
          <w:tcPr>
            <w:tcW w:type="dxa" w:w="1898"/>
            <w:shd w:val="clear" w:color="auto" w:fill="F7F9FB"/>
            <w:vAlign w:val="center"/>
          </w:tcPr>
          <w:p>
            <w:pPr>
              <w:keepNext/>
              <w:spacing w:after="0"/>
            </w:pPr>
            <w:r>
              <w:rPr>
                <w:rFonts w:ascii="Calibri" w:hAnsi="Calibri"/>
                <w:b w:val="0"/>
                <w:i w:val="0"/>
                <w:color w:val="222222"/>
                <w:sz w:val="20"/>
              </w:rPr>
              <w:t>−6% (−24% to +3%)</w:t>
            </w:r>
          </w:p>
        </w:tc>
        <w:tc>
          <w:tcPr>
            <w:tcW w:type="dxa" w:w="1079"/>
            <w:shd w:val="clear" w:color="auto" w:fill="F7F9FB"/>
            <w:vAlign w:val="center"/>
          </w:tcPr>
          <w:p>
            <w:pPr>
              <w:keepNext/>
              <w:spacing w:after="0"/>
              <w:jc w:val="center"/>
            </w:pPr>
            <w:r>
              <w:rPr>
                <w:rFonts w:ascii="Calibri" w:hAnsi="Calibri"/>
                <w:b w:val="0"/>
                <w:i w:val="0"/>
                <w:color w:val="222222"/>
                <w:sz w:val="20"/>
              </w:rPr>
              <w:t>0.40</w:t>
            </w:r>
          </w:p>
        </w:tc>
        <w:tc>
          <w:tcPr>
            <w:tcW w:type="dxa" w:w="887"/>
            <w:shd w:val="clear" w:color="auto" w:fill="F7F9FB"/>
            <w:vAlign w:val="center"/>
          </w:tcPr>
          <w:p>
            <w:pPr>
              <w:keepNext/>
              <w:spacing w:after="0"/>
              <w:jc w:val="center"/>
            </w:pPr>
            <w:r>
              <w:rPr>
                <w:rFonts w:ascii="Calibri" w:hAnsi="Calibri"/>
                <w:b w:val="0"/>
                <w:i w:val="0"/>
                <w:color w:val="222222"/>
                <w:sz w:val="20"/>
              </w:rPr>
              <w:t>0.39</w:t>
            </w:r>
          </w:p>
        </w:tc>
        <w:tc>
          <w:tcPr>
            <w:tcW w:type="dxa" w:w="1294"/>
            <w:shd w:val="clear" w:color="auto" w:fill="F7F9FB"/>
            <w:vAlign w:val="center"/>
          </w:tcPr>
          <w:p>
            <w:pPr>
              <w:keepNext/>
              <w:spacing w:after="0"/>
              <w:jc w:val="center"/>
            </w:pPr>
            <w:r>
              <w:rPr>
                <w:rFonts w:ascii="Calibri" w:hAnsi="Calibri"/>
                <w:b w:val="0"/>
                <w:i w:val="0"/>
                <w:color w:val="222222"/>
                <w:sz w:val="20"/>
              </w:rPr>
              <w:t>3 / 16 / 8</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burst spike number mean</w:t>
            </w:r>
          </w:p>
        </w:tc>
        <w:tc>
          <w:tcPr>
            <w:tcW w:type="dxa" w:w="1898"/>
            <w:shd w:val="clear" w:color="auto" w:fill="FFFFFF"/>
            <w:vAlign w:val="center"/>
          </w:tcPr>
          <w:p>
            <w:pPr>
              <w:keepNext/>
              <w:spacing w:after="0"/>
            </w:pPr>
            <w:r>
              <w:rPr>
                <w:rFonts w:ascii="Calibri" w:hAnsi="Calibri"/>
                <w:b w:val="0"/>
                <w:i w:val="0"/>
                <w:color w:val="222222"/>
                <w:sz w:val="20"/>
              </w:rPr>
              <w:t>−5% (−23% to +22%)</w:t>
            </w:r>
          </w:p>
        </w:tc>
        <w:tc>
          <w:tcPr>
            <w:tcW w:type="dxa" w:w="1079"/>
            <w:shd w:val="clear" w:color="auto" w:fill="FFFFFF"/>
            <w:vAlign w:val="center"/>
          </w:tcPr>
          <w:p>
            <w:pPr>
              <w:keepNext/>
              <w:spacing w:after="0"/>
              <w:jc w:val="center"/>
            </w:pPr>
            <w:r>
              <w:rPr>
                <w:rFonts w:ascii="Calibri" w:hAnsi="Calibri"/>
                <w:b w:val="0"/>
                <w:i w:val="0"/>
                <w:color w:val="222222"/>
                <w:sz w:val="20"/>
              </w:rPr>
              <w:t>0.43</w:t>
            </w:r>
          </w:p>
        </w:tc>
        <w:tc>
          <w:tcPr>
            <w:tcW w:type="dxa" w:w="887"/>
            <w:shd w:val="clear" w:color="auto" w:fill="FFFFFF"/>
            <w:vAlign w:val="center"/>
          </w:tcPr>
          <w:p>
            <w:pPr>
              <w:keepNext/>
              <w:spacing w:after="0"/>
              <w:jc w:val="center"/>
            </w:pPr>
            <w:r>
              <w:rPr>
                <w:rFonts w:ascii="Calibri" w:hAnsi="Calibri"/>
                <w:b w:val="0"/>
                <w:i w:val="0"/>
                <w:color w:val="222222"/>
                <w:sz w:val="20"/>
              </w:rPr>
              <w:t>0.33</w:t>
            </w:r>
          </w:p>
        </w:tc>
        <w:tc>
          <w:tcPr>
            <w:tcW w:type="dxa" w:w="1294"/>
            <w:shd w:val="clear" w:color="auto" w:fill="FFFFFF"/>
            <w:vAlign w:val="center"/>
          </w:tcPr>
          <w:p>
            <w:pPr>
              <w:keepNext/>
              <w:spacing w:after="0"/>
            </w:pPr>
            <w:r>
              <w:rPr>
                <w:rFonts w:ascii="Calibri" w:hAnsi="Calibri"/>
                <w:b w:val="0"/>
                <w:i w:val="0"/>
                <w:color w:val="222222"/>
                <w:sz w:val="20"/>
              </w:rPr>
              <w:t>4 / &gt;96 / 6</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cross correlation HWHM</w:t>
            </w:r>
          </w:p>
        </w:tc>
        <w:tc>
          <w:tcPr>
            <w:tcW w:type="dxa" w:w="1898"/>
            <w:shd w:val="clear" w:color="auto" w:fill="F7F9FB"/>
            <w:vAlign w:val="center"/>
          </w:tcPr>
          <w:p>
            <w:pPr>
              <w:keepNext/>
              <w:spacing w:after="0"/>
            </w:pPr>
            <w:r>
              <w:rPr>
                <w:rFonts w:ascii="Calibri" w:hAnsi="Calibri"/>
                <w:b w:val="0"/>
                <w:i w:val="0"/>
                <w:color w:val="222222"/>
                <w:sz w:val="20"/>
              </w:rPr>
              <w:t>+1% (−26% to +23%)</w:t>
            </w:r>
          </w:p>
        </w:tc>
        <w:tc>
          <w:tcPr>
            <w:tcW w:type="dxa" w:w="1079"/>
            <w:shd w:val="clear" w:color="auto" w:fill="F7F9FB"/>
            <w:vAlign w:val="center"/>
          </w:tcPr>
          <w:p>
            <w:pPr>
              <w:keepNext/>
              <w:spacing w:after="0"/>
              <w:jc w:val="center"/>
            </w:pPr>
            <w:r>
              <w:rPr>
                <w:rFonts w:ascii="Calibri" w:hAnsi="Calibri"/>
                <w:b w:val="0"/>
                <w:i w:val="0"/>
                <w:color w:val="222222"/>
                <w:sz w:val="20"/>
              </w:rPr>
              <w:t>0.49</w:t>
            </w:r>
          </w:p>
        </w:tc>
        <w:tc>
          <w:tcPr>
            <w:tcW w:type="dxa" w:w="887"/>
            <w:shd w:val="clear" w:color="auto" w:fill="F7F9FB"/>
            <w:vAlign w:val="center"/>
          </w:tcPr>
          <w:p>
            <w:pPr>
              <w:keepNext/>
              <w:spacing w:after="0"/>
              <w:jc w:val="center"/>
            </w:pPr>
            <w:r>
              <w:rPr>
                <w:rFonts w:ascii="Calibri" w:hAnsi="Calibri"/>
                <w:b w:val="0"/>
                <w:i w:val="0"/>
                <w:color w:val="222222"/>
                <w:sz w:val="20"/>
              </w:rPr>
              <w:t>0.33</w:t>
            </w:r>
          </w:p>
        </w:tc>
        <w:tc>
          <w:tcPr>
            <w:tcW w:type="dxa" w:w="1294"/>
            <w:shd w:val="clear" w:color="auto" w:fill="F7F9FB"/>
            <w:vAlign w:val="center"/>
          </w:tcPr>
          <w:p>
            <w:pPr>
              <w:keepNext/>
              <w:spacing w:after="0"/>
            </w:pPr>
            <w:r>
              <w:rPr>
                <w:rFonts w:ascii="Calibri" w:hAnsi="Calibri"/>
                <w:b w:val="0"/>
                <w:i w:val="0"/>
                <w:color w:val="222222"/>
                <w:sz w:val="20"/>
              </w:rPr>
              <w:t>6 / &gt;96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burst duration mean</w:t>
            </w:r>
          </w:p>
        </w:tc>
        <w:tc>
          <w:tcPr>
            <w:tcW w:type="dxa" w:w="1898"/>
            <w:shd w:val="clear" w:color="auto" w:fill="FFFFFF"/>
            <w:vAlign w:val="center"/>
          </w:tcPr>
          <w:p>
            <w:pPr>
              <w:keepNext/>
              <w:spacing w:after="0"/>
            </w:pPr>
            <w:r>
              <w:rPr>
                <w:rFonts w:ascii="Calibri" w:hAnsi="Calibri"/>
                <w:b w:val="0"/>
                <w:i w:val="0"/>
                <w:color w:val="222222"/>
                <w:sz w:val="20"/>
              </w:rPr>
              <w:t>+4% (−20% to +43%)</w:t>
            </w:r>
          </w:p>
        </w:tc>
        <w:tc>
          <w:tcPr>
            <w:tcW w:type="dxa" w:w="1079"/>
            <w:shd w:val="clear" w:color="auto" w:fill="FFFFFF"/>
            <w:vAlign w:val="center"/>
          </w:tcPr>
          <w:p>
            <w:pPr>
              <w:keepNext/>
              <w:spacing w:after="0"/>
              <w:jc w:val="center"/>
            </w:pPr>
            <w:r>
              <w:rPr>
                <w:rFonts w:ascii="Calibri" w:hAnsi="Calibri"/>
                <w:b w:val="0"/>
                <w:i w:val="0"/>
                <w:color w:val="222222"/>
                <w:sz w:val="20"/>
              </w:rPr>
              <w:t>0.54</w:t>
            </w:r>
          </w:p>
        </w:tc>
        <w:tc>
          <w:tcPr>
            <w:tcW w:type="dxa" w:w="887"/>
            <w:shd w:val="clear" w:color="auto" w:fill="FFFFFF"/>
            <w:vAlign w:val="center"/>
          </w:tcPr>
          <w:p>
            <w:pPr>
              <w:keepNext/>
              <w:spacing w:after="0"/>
              <w:jc w:val="center"/>
            </w:pPr>
            <w:r>
              <w:rPr>
                <w:rFonts w:ascii="Calibri" w:hAnsi="Calibri"/>
                <w:b w:val="0"/>
                <w:i w:val="0"/>
                <w:color w:val="222222"/>
                <w:sz w:val="20"/>
              </w:rPr>
              <w:t>0.36</w:t>
            </w:r>
          </w:p>
        </w:tc>
        <w:tc>
          <w:tcPr>
            <w:tcW w:type="dxa" w:w="1294"/>
            <w:shd w:val="clear" w:color="auto" w:fill="FFFFFF"/>
            <w:vAlign w:val="center"/>
          </w:tcPr>
          <w:p>
            <w:pPr>
              <w:keepNext/>
              <w:spacing w:after="0"/>
            </w:pPr>
            <w:r>
              <w:rPr>
                <w:rFonts w:ascii="Calibri" w:hAnsi="Calibri"/>
                <w:b w:val="0"/>
                <w:i w:val="0"/>
                <w:color w:val="222222"/>
                <w:sz w:val="20"/>
              </w:rPr>
              <w:t>5 / &gt;96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per network burst spike number std</w:t>
            </w:r>
          </w:p>
        </w:tc>
        <w:tc>
          <w:tcPr>
            <w:tcW w:type="dxa" w:w="1898"/>
            <w:shd w:val="clear" w:color="auto" w:fill="F7F9FB"/>
            <w:vAlign w:val="center"/>
          </w:tcPr>
          <w:p>
            <w:pPr>
              <w:keepNext/>
              <w:spacing w:after="0"/>
            </w:pPr>
            <w:r>
              <w:rPr>
                <w:rFonts w:ascii="Calibri" w:hAnsi="Calibri"/>
                <w:b w:val="0"/>
                <w:i w:val="0"/>
                <w:color w:val="222222"/>
                <w:sz w:val="20"/>
              </w:rPr>
              <w:t>+2% (−31% to +56%)</w:t>
            </w:r>
          </w:p>
        </w:tc>
        <w:tc>
          <w:tcPr>
            <w:tcW w:type="dxa" w:w="1079"/>
            <w:shd w:val="clear" w:color="auto" w:fill="F7F9FB"/>
            <w:vAlign w:val="center"/>
          </w:tcPr>
          <w:p>
            <w:pPr>
              <w:keepNext/>
              <w:spacing w:after="0"/>
              <w:jc w:val="center"/>
            </w:pPr>
            <w:r>
              <w:rPr>
                <w:rFonts w:ascii="Calibri" w:hAnsi="Calibri"/>
                <w:b w:val="0"/>
                <w:i w:val="0"/>
                <w:color w:val="222222"/>
                <w:sz w:val="20"/>
              </w:rPr>
              <w:t>0.80</w:t>
            </w:r>
          </w:p>
        </w:tc>
        <w:tc>
          <w:tcPr>
            <w:tcW w:type="dxa" w:w="887"/>
            <w:shd w:val="clear" w:color="auto" w:fill="F7F9FB"/>
            <w:vAlign w:val="center"/>
          </w:tcPr>
          <w:p>
            <w:pPr>
              <w:keepNext/>
              <w:spacing w:after="0"/>
              <w:jc w:val="center"/>
            </w:pPr>
            <w:r>
              <w:rPr>
                <w:rFonts w:ascii="Calibri" w:hAnsi="Calibri"/>
                <w:b w:val="0"/>
                <w:i w:val="0"/>
                <w:color w:val="222222"/>
                <w:sz w:val="20"/>
              </w:rPr>
              <w:t>0.38</w:t>
            </w:r>
          </w:p>
        </w:tc>
        <w:tc>
          <w:tcPr>
            <w:tcW w:type="dxa" w:w="1294"/>
            <w:shd w:val="clear" w:color="auto" w:fill="F7F9FB"/>
            <w:vAlign w:val="center"/>
          </w:tcPr>
          <w:p>
            <w:pPr>
              <w:keepNext/>
              <w:spacing w:after="0"/>
            </w:pPr>
            <w:r>
              <w:rPr>
                <w:rFonts w:ascii="Calibri" w:hAnsi="Calibri"/>
                <w:b w:val="0"/>
                <w:i w:val="0"/>
                <w:color w:val="222222"/>
                <w:sz w:val="20"/>
              </w:rPr>
              <w:t>16 / &gt;96 / 20</w:t>
            </w:r>
          </w:p>
        </w:tc>
        <w:tc>
          <w:tcPr>
            <w:tcW w:type="dxa" w:w="1294"/>
            <w:shd w:val="clear" w:color="auto" w:fill="F7F9FB"/>
            <w:vAlign w:val="center"/>
          </w:tcPr>
          <w:p>
            <w:pPr>
              <w:keepNext/>
              <w:spacing w:after="0"/>
              <w:jc w:val="center"/>
            </w:pPr>
            <w:r>
              <w:rPr>
                <w:rFonts w:ascii="Calibri" w:hAnsi="Calibri"/>
                <w:b w:val="0"/>
                <w:i w:val="0"/>
                <w:color w:val="222222"/>
                <w:sz w:val="20"/>
              </w:rPr>
              <w:t>2 / 2 / 2</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spike number mean</w:t>
            </w:r>
          </w:p>
        </w:tc>
        <w:tc>
          <w:tcPr>
            <w:tcW w:type="dxa" w:w="1898"/>
            <w:shd w:val="clear" w:color="auto" w:fill="FFFFFF"/>
            <w:vAlign w:val="center"/>
          </w:tcPr>
          <w:p>
            <w:pPr>
              <w:keepNext/>
              <w:spacing w:after="0"/>
            </w:pPr>
            <w:r>
              <w:rPr>
                <w:rFonts w:ascii="Calibri" w:hAnsi="Calibri"/>
                <w:b w:val="0"/>
                <w:i w:val="0"/>
                <w:color w:val="222222"/>
                <w:sz w:val="20"/>
              </w:rPr>
              <w:t>−25% (−52% to +40%)</w:t>
            </w:r>
          </w:p>
        </w:tc>
        <w:tc>
          <w:tcPr>
            <w:tcW w:type="dxa" w:w="1079"/>
            <w:shd w:val="clear" w:color="auto" w:fill="FFFFFF"/>
            <w:vAlign w:val="center"/>
          </w:tcPr>
          <w:p>
            <w:pPr>
              <w:keepNext/>
              <w:spacing w:after="0"/>
              <w:jc w:val="center"/>
            </w:pPr>
            <w:r>
              <w:rPr>
                <w:rFonts w:ascii="Calibri" w:hAnsi="Calibri"/>
                <w:b w:val="0"/>
                <w:i w:val="0"/>
                <w:color w:val="222222"/>
                <w:sz w:val="20"/>
              </w:rPr>
              <w:t>1.11</w:t>
            </w:r>
          </w:p>
        </w:tc>
        <w:tc>
          <w:tcPr>
            <w:tcW w:type="dxa" w:w="887"/>
            <w:shd w:val="clear" w:color="auto" w:fill="FFFFFF"/>
            <w:vAlign w:val="center"/>
          </w:tcPr>
          <w:p>
            <w:pPr>
              <w:keepNext/>
              <w:spacing w:after="0"/>
              <w:jc w:val="center"/>
            </w:pPr>
            <w:r>
              <w:rPr>
                <w:rFonts w:ascii="Calibri" w:hAnsi="Calibri"/>
                <w:b w:val="0"/>
                <w:i w:val="0"/>
                <w:color w:val="222222"/>
                <w:sz w:val="20"/>
              </w:rPr>
              <w:t>0.31</w:t>
            </w:r>
          </w:p>
        </w:tc>
        <w:tc>
          <w:tcPr>
            <w:tcW w:type="dxa" w:w="1294"/>
            <w:shd w:val="clear" w:color="auto" w:fill="FFFFFF"/>
            <w:vAlign w:val="center"/>
          </w:tcPr>
          <w:p>
            <w:pPr>
              <w:keepNext/>
              <w:spacing w:after="0"/>
            </w:pPr>
            <w:r>
              <w:rPr>
                <w:rFonts w:ascii="Calibri" w:hAnsi="Calibri"/>
                <w:b w:val="0"/>
                <w:i w:val="0"/>
                <w:color w:val="222222"/>
                <w:sz w:val="20"/>
              </w:rPr>
              <w:t>20 / &gt;96 / 32</w:t>
            </w:r>
          </w:p>
        </w:tc>
        <w:tc>
          <w:tcPr>
            <w:tcW w:type="dxa" w:w="1294"/>
            <w:shd w:val="clear" w:color="auto" w:fill="FFFFFF"/>
            <w:vAlign w:val="center"/>
          </w:tcPr>
          <w:p>
            <w:pPr>
              <w:keepNext/>
              <w:spacing w:after="0"/>
              <w:jc w:val="center"/>
            </w:pPr>
            <w:r>
              <w:rPr>
                <w:rFonts w:ascii="Calibri" w:hAnsi="Calibri"/>
                <w:b w:val="0"/>
                <w:i w:val="0"/>
                <w:color w:val="222222"/>
                <w:sz w:val="20"/>
              </w:rPr>
              <w:t>2 / 3 / 3</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std</w:t>
            </w:r>
          </w:p>
        </w:tc>
        <w:tc>
          <w:tcPr>
            <w:tcW w:type="dxa" w:w="1898"/>
            <w:shd w:val="clear" w:color="auto" w:fill="F7F9FB"/>
            <w:vAlign w:val="center"/>
          </w:tcPr>
          <w:p>
            <w:pPr>
              <w:keepNext/>
              <w:spacing w:after="0"/>
            </w:pPr>
            <w:r>
              <w:rPr>
                <w:rFonts w:ascii="Calibri" w:hAnsi="Calibri"/>
                <w:b w:val="0"/>
                <w:i w:val="0"/>
                <w:color w:val="222222"/>
                <w:sz w:val="20"/>
              </w:rPr>
              <w:t>+2% (−29% to +121%)</w:t>
            </w:r>
          </w:p>
        </w:tc>
        <w:tc>
          <w:tcPr>
            <w:tcW w:type="dxa" w:w="1079"/>
            <w:shd w:val="clear" w:color="auto" w:fill="F7F9FB"/>
            <w:vAlign w:val="center"/>
          </w:tcPr>
          <w:p>
            <w:pPr>
              <w:keepNext/>
              <w:spacing w:after="0"/>
              <w:jc w:val="center"/>
            </w:pPr>
            <w:r>
              <w:rPr>
                <w:rFonts w:ascii="Calibri" w:hAnsi="Calibri"/>
                <w:b w:val="0"/>
                <w:i w:val="0"/>
                <w:color w:val="222222"/>
                <w:sz w:val="20"/>
              </w:rPr>
              <w:t>1.20</w:t>
            </w:r>
          </w:p>
        </w:tc>
        <w:tc>
          <w:tcPr>
            <w:tcW w:type="dxa" w:w="887"/>
            <w:shd w:val="clear" w:color="auto" w:fill="F7F9FB"/>
            <w:vAlign w:val="center"/>
          </w:tcPr>
          <w:p>
            <w:pPr>
              <w:keepNext/>
              <w:spacing w:after="0"/>
              <w:jc w:val="center"/>
            </w:pPr>
            <w:r>
              <w:rPr>
                <w:rFonts w:ascii="Calibri" w:hAnsi="Calibri"/>
                <w:b w:val="0"/>
                <w:i w:val="0"/>
                <w:color w:val="222222"/>
                <w:sz w:val="20"/>
              </w:rPr>
              <w:t>0.19</w:t>
            </w:r>
          </w:p>
        </w:tc>
        <w:tc>
          <w:tcPr>
            <w:tcW w:type="dxa" w:w="1294"/>
            <w:shd w:val="clear" w:color="auto" w:fill="F7F9FB"/>
            <w:vAlign w:val="center"/>
          </w:tcPr>
          <w:p>
            <w:pPr>
              <w:keepNext/>
              <w:spacing w:after="0"/>
            </w:pPr>
            <w:r>
              <w:rPr>
                <w:rFonts w:ascii="Calibri" w:hAnsi="Calibri"/>
                <w:b w:val="0"/>
                <w:i w:val="0"/>
                <w:color w:val="222222"/>
                <w:sz w:val="20"/>
              </w:rPr>
              <w:t>24 / &gt;96 / 48</w:t>
            </w:r>
          </w:p>
        </w:tc>
        <w:tc>
          <w:tcPr>
            <w:tcW w:type="dxa" w:w="1294"/>
            <w:shd w:val="clear" w:color="auto" w:fill="F7F9FB"/>
            <w:vAlign w:val="center"/>
          </w:tcPr>
          <w:p>
            <w:pPr>
              <w:keepNext/>
              <w:spacing w:after="0"/>
              <w:jc w:val="center"/>
            </w:pPr>
            <w:r>
              <w:rPr>
                <w:rFonts w:ascii="Calibri" w:hAnsi="Calibri"/>
                <w:b w:val="0"/>
                <w:i w:val="0"/>
                <w:color w:val="222222"/>
                <w:sz w:val="20"/>
              </w:rPr>
              <w:t>3 / 4 / 4</w:t>
            </w:r>
          </w:p>
        </w:tc>
      </w:tr>
      <w:tr>
        <w:trPr>
          <w:cantSplit/>
        </w:trPr>
        <w:tc>
          <w:tcPr>
            <w:tcW w:type="dxa" w:w="2043"/>
            <w:shd w:val="clear" w:color="auto" w:fill="FFFFFF"/>
            <w:vAlign w:val="center"/>
          </w:tcPr>
          <w:p>
            <w:pPr>
              <w:keepNext/>
              <w:spacing w:after="0"/>
            </w:pPr>
            <w:r>
              <w:rPr>
                <w:rFonts w:ascii="Calibri" w:hAnsi="Calibri"/>
                <w:b/>
                <w:i w:val="0"/>
                <w:color w:val="222222"/>
                <w:sz w:val="20"/>
              </w:rPr>
              <w:t>spike number</w:t>
            </w:r>
          </w:p>
        </w:tc>
        <w:tc>
          <w:tcPr>
            <w:tcW w:type="dxa" w:w="1898"/>
            <w:shd w:val="clear" w:color="auto" w:fill="FFFFFF"/>
            <w:vAlign w:val="center"/>
          </w:tcPr>
          <w:p>
            <w:pPr>
              <w:keepNext/>
              <w:spacing w:after="0"/>
            </w:pPr>
            <w:r>
              <w:rPr>
                <w:rFonts w:ascii="Calibri" w:hAnsi="Calibri"/>
                <w:b w:val="0"/>
                <w:i w:val="0"/>
                <w:color w:val="222222"/>
                <w:sz w:val="20"/>
              </w:rPr>
              <w:t>−32% (−69% to +5%)</w:t>
            </w:r>
          </w:p>
        </w:tc>
        <w:tc>
          <w:tcPr>
            <w:tcW w:type="dxa" w:w="1079"/>
            <w:shd w:val="clear" w:color="auto" w:fill="FFFFFF"/>
            <w:vAlign w:val="center"/>
          </w:tcPr>
          <w:p>
            <w:pPr>
              <w:keepNext/>
              <w:spacing w:after="0"/>
              <w:jc w:val="center"/>
            </w:pPr>
            <w:r>
              <w:rPr>
                <w:rFonts w:ascii="Calibri" w:hAnsi="Calibri"/>
                <w:b w:val="0"/>
                <w:i w:val="0"/>
                <w:color w:val="222222"/>
                <w:sz w:val="20"/>
              </w:rPr>
              <w:t>1.71</w:t>
            </w:r>
          </w:p>
        </w:tc>
        <w:tc>
          <w:tcPr>
            <w:tcW w:type="dxa" w:w="887"/>
            <w:shd w:val="clear" w:color="auto" w:fill="FFFFFF"/>
            <w:vAlign w:val="center"/>
          </w:tcPr>
          <w:p>
            <w:pPr>
              <w:keepNext/>
              <w:spacing w:after="0"/>
              <w:jc w:val="center"/>
            </w:pPr>
            <w:r>
              <w:rPr>
                <w:rFonts w:ascii="Calibri" w:hAnsi="Calibri"/>
                <w:b w:val="0"/>
                <w:i w:val="0"/>
                <w:color w:val="222222"/>
                <w:sz w:val="20"/>
              </w:rPr>
              <w:t>0.42</w:t>
            </w:r>
          </w:p>
        </w:tc>
        <w:tc>
          <w:tcPr>
            <w:tcW w:type="dxa" w:w="1294"/>
            <w:shd w:val="clear" w:color="auto" w:fill="FFFFFF"/>
            <w:vAlign w:val="center"/>
          </w:tcPr>
          <w:p>
            <w:pPr>
              <w:keepNext/>
              <w:spacing w:after="0"/>
            </w:pPr>
            <w:r>
              <w:rPr>
                <w:rFonts w:ascii="Calibri" w:hAnsi="Calibri"/>
                <w:b w:val="0"/>
                <w:i w:val="0"/>
                <w:color w:val="222222"/>
                <w:sz w:val="20"/>
              </w:rPr>
              <w:t>32 / &gt;96 / 48</w:t>
            </w:r>
          </w:p>
        </w:tc>
        <w:tc>
          <w:tcPr>
            <w:tcW w:type="dxa" w:w="1294"/>
            <w:shd w:val="clear" w:color="auto" w:fill="FFFFFF"/>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7F9FB"/>
            <w:vAlign w:val="center"/>
          </w:tcPr>
          <w:p>
            <w:pPr>
              <w:keepNext/>
              <w:spacing w:after="0"/>
            </w:pPr>
            <w:r>
              <w:rPr>
                <w:rFonts w:ascii="Calibri" w:hAnsi="Calibri"/>
                <w:b/>
                <w:i w:val="0"/>
                <w:color w:val="222222"/>
                <w:sz w:val="20"/>
              </w:rPr>
              <w:t>firing rate mean</w:t>
            </w:r>
          </w:p>
        </w:tc>
        <w:tc>
          <w:tcPr>
            <w:tcW w:type="dxa" w:w="1898"/>
            <w:shd w:val="clear" w:color="auto" w:fill="F7F9FB"/>
            <w:vAlign w:val="center"/>
          </w:tcPr>
          <w:p>
            <w:pPr>
              <w:keepNext/>
              <w:spacing w:after="0"/>
            </w:pPr>
            <w:r>
              <w:rPr>
                <w:rFonts w:ascii="Calibri" w:hAnsi="Calibri"/>
                <w:b w:val="0"/>
                <w:i w:val="0"/>
                <w:color w:val="222222"/>
                <w:sz w:val="20"/>
              </w:rPr>
              <w:t>−32% (−69% to +5%)</w:t>
            </w:r>
          </w:p>
        </w:tc>
        <w:tc>
          <w:tcPr>
            <w:tcW w:type="dxa" w:w="1079"/>
            <w:shd w:val="clear" w:color="auto" w:fill="F7F9FB"/>
            <w:vAlign w:val="center"/>
          </w:tcPr>
          <w:p>
            <w:pPr>
              <w:keepNext/>
              <w:spacing w:after="0"/>
              <w:jc w:val="center"/>
            </w:pPr>
            <w:r>
              <w:rPr>
                <w:rFonts w:ascii="Calibri" w:hAnsi="Calibri"/>
                <w:b w:val="0"/>
                <w:i w:val="0"/>
                <w:color w:val="222222"/>
                <w:sz w:val="20"/>
              </w:rPr>
              <w:t>1.71</w:t>
            </w:r>
          </w:p>
        </w:tc>
        <w:tc>
          <w:tcPr>
            <w:tcW w:type="dxa" w:w="887"/>
            <w:shd w:val="clear" w:color="auto" w:fill="F7F9FB"/>
            <w:vAlign w:val="center"/>
          </w:tcPr>
          <w:p>
            <w:pPr>
              <w:keepNext/>
              <w:spacing w:after="0"/>
              <w:jc w:val="center"/>
            </w:pPr>
            <w:r>
              <w:rPr>
                <w:rFonts w:ascii="Calibri" w:hAnsi="Calibri"/>
                <w:b w:val="0"/>
                <w:i w:val="0"/>
                <w:color w:val="222222"/>
                <w:sz w:val="20"/>
              </w:rPr>
              <w:t>0.42</w:t>
            </w:r>
          </w:p>
        </w:tc>
        <w:tc>
          <w:tcPr>
            <w:tcW w:type="dxa" w:w="1294"/>
            <w:shd w:val="clear" w:color="auto" w:fill="F7F9FB"/>
            <w:vAlign w:val="center"/>
          </w:tcPr>
          <w:p>
            <w:pPr>
              <w:keepNext/>
              <w:spacing w:after="0"/>
            </w:pPr>
            <w:r>
              <w:rPr>
                <w:rFonts w:ascii="Calibri" w:hAnsi="Calibri"/>
                <w:b w:val="0"/>
                <w:i w:val="0"/>
                <w:color w:val="222222"/>
                <w:sz w:val="20"/>
              </w:rPr>
              <w:t>32 / &gt;96 / 32</w:t>
            </w:r>
          </w:p>
        </w:tc>
        <w:tc>
          <w:tcPr>
            <w:tcW w:type="dxa" w:w="1294"/>
            <w:shd w:val="clear" w:color="auto" w:fill="F7F9FB"/>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FFFFF"/>
            <w:vAlign w:val="center"/>
          </w:tcPr>
          <w:p>
            <w:pPr>
              <w:keepNext/>
              <w:spacing w:after="0"/>
            </w:pPr>
            <w:r>
              <w:rPr>
                <w:rFonts w:ascii="Calibri" w:hAnsi="Calibri"/>
                <w:b/>
                <w:i w:val="0"/>
                <w:color w:val="222222"/>
                <w:sz w:val="20"/>
              </w:rPr>
              <w:t>burst number</w:t>
            </w:r>
          </w:p>
        </w:tc>
        <w:tc>
          <w:tcPr>
            <w:tcW w:type="dxa" w:w="1898"/>
            <w:shd w:val="clear" w:color="auto" w:fill="FFFFFF"/>
            <w:vAlign w:val="center"/>
          </w:tcPr>
          <w:p>
            <w:pPr>
              <w:keepNext/>
              <w:spacing w:after="0"/>
            </w:pPr>
            <w:r>
              <w:rPr>
                <w:rFonts w:ascii="Calibri" w:hAnsi="Calibri"/>
                <w:b w:val="0"/>
                <w:i w:val="0"/>
                <w:color w:val="222222"/>
                <w:sz w:val="20"/>
              </w:rPr>
              <w:t>−35% (−73% to +4%)</w:t>
            </w:r>
          </w:p>
        </w:tc>
        <w:tc>
          <w:tcPr>
            <w:tcW w:type="dxa" w:w="1079"/>
            <w:shd w:val="clear" w:color="auto" w:fill="FFFFFF"/>
            <w:vAlign w:val="center"/>
          </w:tcPr>
          <w:p>
            <w:pPr>
              <w:keepNext/>
              <w:spacing w:after="0"/>
              <w:jc w:val="center"/>
            </w:pPr>
            <w:r>
              <w:rPr>
                <w:rFonts w:ascii="Calibri" w:hAnsi="Calibri"/>
                <w:b w:val="0"/>
                <w:i w:val="0"/>
                <w:color w:val="222222"/>
                <w:sz w:val="20"/>
              </w:rPr>
              <w:t>1.87</w:t>
            </w:r>
          </w:p>
        </w:tc>
        <w:tc>
          <w:tcPr>
            <w:tcW w:type="dxa" w:w="887"/>
            <w:shd w:val="clear" w:color="auto" w:fill="FFFFFF"/>
            <w:vAlign w:val="center"/>
          </w:tcPr>
          <w:p>
            <w:pPr>
              <w:keepNext/>
              <w:spacing w:after="0"/>
              <w:jc w:val="center"/>
            </w:pPr>
            <w:r>
              <w:rPr>
                <w:rFonts w:ascii="Calibri" w:hAnsi="Calibri"/>
                <w:b w:val="0"/>
                <w:i w:val="0"/>
                <w:color w:val="222222"/>
                <w:sz w:val="20"/>
              </w:rPr>
              <w:t>0.38</w:t>
            </w:r>
          </w:p>
        </w:tc>
        <w:tc>
          <w:tcPr>
            <w:tcW w:type="dxa" w:w="1294"/>
            <w:shd w:val="clear" w:color="auto" w:fill="FFFFFF"/>
            <w:vAlign w:val="center"/>
          </w:tcPr>
          <w:p>
            <w:pPr>
              <w:keepNext/>
              <w:spacing w:after="0"/>
            </w:pPr>
            <w:r>
              <w:rPr>
                <w:rFonts w:ascii="Calibri" w:hAnsi="Calibri"/>
                <w:b w:val="0"/>
                <w:i w:val="0"/>
                <w:color w:val="222222"/>
                <w:sz w:val="20"/>
              </w:rPr>
              <w:t>48 / &gt;96 / 48</w:t>
            </w:r>
          </w:p>
        </w:tc>
        <w:tc>
          <w:tcPr>
            <w:tcW w:type="dxa" w:w="1294"/>
            <w:shd w:val="clear" w:color="auto" w:fill="FFFFFF"/>
            <w:vAlign w:val="center"/>
          </w:tcPr>
          <w:p>
            <w:pPr>
              <w:keepNext/>
              <w:spacing w:after="0"/>
            </w:pPr>
            <w:r>
              <w:rPr>
                <w:rFonts w:ascii="Calibri" w:hAnsi="Calibri"/>
                <w:b w:val="0"/>
                <w:i w:val="0"/>
                <w:color w:val="222222"/>
                <w:sz w:val="20"/>
              </w:rPr>
              <w:t>4 / &gt;96 / 5</w:t>
            </w:r>
          </w:p>
        </w:tc>
      </w:tr>
      <w:tr>
        <w:trPr>
          <w:cantSplit/>
        </w:trPr>
        <w:tc>
          <w:tcPr>
            <w:tcW w:type="dxa" w:w="2043"/>
            <w:shd w:val="clear" w:color="auto" w:fill="F7F9FB"/>
            <w:vAlign w:val="center"/>
          </w:tcPr>
          <w:p>
            <w:pPr>
              <w:keepNext/>
              <w:spacing w:after="0"/>
            </w:pPr>
            <w:r>
              <w:rPr>
                <w:rFonts w:ascii="Calibri" w:hAnsi="Calibri"/>
                <w:b/>
                <w:i w:val="0"/>
                <w:color w:val="222222"/>
                <w:sz w:val="20"/>
              </w:rPr>
              <w:t>interburst interval mean</w:t>
            </w:r>
          </w:p>
        </w:tc>
        <w:tc>
          <w:tcPr>
            <w:tcW w:type="dxa" w:w="1898"/>
            <w:shd w:val="clear" w:color="auto" w:fill="F7F9FB"/>
            <w:vAlign w:val="center"/>
          </w:tcPr>
          <w:p>
            <w:pPr>
              <w:keepNext/>
              <w:spacing w:after="0"/>
            </w:pPr>
            <w:r>
              <w:rPr>
                <w:rFonts w:ascii="Calibri" w:hAnsi="Calibri"/>
                <w:b w:val="0"/>
                <w:i w:val="0"/>
                <w:color w:val="222222"/>
                <w:sz w:val="20"/>
              </w:rPr>
              <w:t>+61% (−15% to +327%)</w:t>
            </w:r>
          </w:p>
        </w:tc>
        <w:tc>
          <w:tcPr>
            <w:tcW w:type="dxa" w:w="1079"/>
            <w:shd w:val="clear" w:color="auto" w:fill="F7F9FB"/>
            <w:vAlign w:val="center"/>
          </w:tcPr>
          <w:p>
            <w:pPr>
              <w:keepNext/>
              <w:spacing w:after="0"/>
              <w:jc w:val="center"/>
            </w:pPr>
            <w:r>
              <w:rPr>
                <w:rFonts w:ascii="Calibri" w:hAnsi="Calibri"/>
                <w:b w:val="0"/>
                <w:i w:val="0"/>
                <w:color w:val="222222"/>
                <w:sz w:val="20"/>
              </w:rPr>
              <w:t>2.13</w:t>
            </w:r>
          </w:p>
        </w:tc>
        <w:tc>
          <w:tcPr>
            <w:tcW w:type="dxa" w:w="887"/>
            <w:shd w:val="clear" w:color="auto" w:fill="F7F9FB"/>
            <w:vAlign w:val="center"/>
          </w:tcPr>
          <w:p>
            <w:pPr>
              <w:keepNext/>
              <w:spacing w:after="0"/>
              <w:jc w:val="center"/>
            </w:pPr>
            <w:r>
              <w:rPr>
                <w:rFonts w:ascii="Calibri" w:hAnsi="Calibri"/>
                <w:b w:val="0"/>
                <w:i w:val="0"/>
                <w:color w:val="222222"/>
                <w:sz w:val="20"/>
              </w:rPr>
              <w:t>0.15</w:t>
            </w:r>
          </w:p>
        </w:tc>
        <w:tc>
          <w:tcPr>
            <w:tcW w:type="dxa" w:w="1294"/>
            <w:shd w:val="clear" w:color="auto" w:fill="F7F9FB"/>
            <w:vAlign w:val="center"/>
          </w:tcPr>
          <w:p>
            <w:pPr>
              <w:keepNext/>
              <w:spacing w:after="0"/>
            </w:pPr>
            <w:r>
              <w:rPr>
                <w:rFonts w:ascii="Calibri" w:hAnsi="Calibri"/>
                <w:b w:val="0"/>
                <w:i w:val="0"/>
                <w:color w:val="222222"/>
                <w:sz w:val="20"/>
              </w:rPr>
              <w:t>48 / &gt;96 / 96</w:t>
            </w:r>
          </w:p>
        </w:tc>
        <w:tc>
          <w:tcPr>
            <w:tcW w:type="dxa" w:w="1294"/>
            <w:shd w:val="clear" w:color="auto" w:fill="F7F9FB"/>
            <w:vAlign w:val="center"/>
          </w:tcPr>
          <w:p>
            <w:pPr>
              <w:keepNext/>
              <w:spacing w:after="0"/>
              <w:jc w:val="center"/>
            </w:pPr>
            <w:r>
              <w:rPr>
                <w:rFonts w:ascii="Calibri" w:hAnsi="Calibri"/>
                <w:b w:val="0"/>
                <w:i w:val="0"/>
                <w:color w:val="222222"/>
                <w:sz w:val="20"/>
              </w:rPr>
              <w:t>5 / 12 / 8</w:t>
            </w:r>
          </w:p>
        </w:tc>
      </w:tr>
      <w:tr>
        <w:trPr>
          <w:cantSplit/>
        </w:trPr>
        <w:tc>
          <w:tcPr>
            <w:tcW w:type="dxa" w:w="2043"/>
            <w:shd w:val="clear" w:color="auto" w:fill="FFFFFF"/>
            <w:vAlign w:val="center"/>
          </w:tcPr>
          <w:p>
            <w:pPr>
              <w:keepNext w:val="0"/>
              <w:spacing w:after="0"/>
            </w:pPr>
            <w:r>
              <w:rPr>
                <w:rFonts w:ascii="Calibri" w:hAnsi="Calibri"/>
                <w:b/>
                <w:i w:val="0"/>
                <w:color w:val="222222"/>
                <w:sz w:val="20"/>
              </w:rPr>
              <w:t>cross correlation area</w:t>
            </w:r>
          </w:p>
        </w:tc>
        <w:tc>
          <w:tcPr>
            <w:tcW w:type="dxa" w:w="1898"/>
            <w:shd w:val="clear" w:color="auto" w:fill="FFFFFF"/>
            <w:vAlign w:val="center"/>
          </w:tcPr>
          <w:p>
            <w:pPr>
              <w:keepNext w:val="0"/>
              <w:spacing w:after="0"/>
            </w:pPr>
            <w:r>
              <w:rPr>
                <w:rFonts w:ascii="Calibri" w:hAnsi="Calibri"/>
                <w:b w:val="0"/>
                <w:i w:val="0"/>
                <w:color w:val="222222"/>
                <w:sz w:val="20"/>
              </w:rPr>
              <w:t>−43% (−77% to +3%)</w:t>
            </w:r>
          </w:p>
        </w:tc>
        <w:tc>
          <w:tcPr>
            <w:tcW w:type="dxa" w:w="1079"/>
            <w:shd w:val="clear" w:color="auto" w:fill="FFFFFF"/>
            <w:vAlign w:val="center"/>
          </w:tcPr>
          <w:p>
            <w:pPr>
              <w:keepNext w:val="0"/>
              <w:spacing w:after="0"/>
              <w:jc w:val="center"/>
            </w:pPr>
            <w:r>
              <w:rPr>
                <w:rFonts w:ascii="Calibri" w:hAnsi="Calibri"/>
                <w:b w:val="0"/>
                <w:i w:val="0"/>
                <w:color w:val="222222"/>
                <w:sz w:val="20"/>
              </w:rPr>
              <w:t>2.15</w:t>
            </w:r>
          </w:p>
        </w:tc>
        <w:tc>
          <w:tcPr>
            <w:tcW w:type="dxa" w:w="887"/>
            <w:shd w:val="clear" w:color="auto" w:fill="FFFFFF"/>
            <w:vAlign w:val="center"/>
          </w:tcPr>
          <w:p>
            <w:pPr>
              <w:keepNext w:val="0"/>
              <w:spacing w:after="0"/>
              <w:jc w:val="center"/>
            </w:pPr>
            <w:r>
              <w:rPr>
                <w:rFonts w:ascii="Calibri" w:hAnsi="Calibri"/>
                <w:b w:val="0"/>
                <w:i w:val="0"/>
                <w:color w:val="222222"/>
                <w:sz w:val="20"/>
              </w:rPr>
              <w:t>0.44</w:t>
            </w:r>
          </w:p>
        </w:tc>
        <w:tc>
          <w:tcPr>
            <w:tcW w:type="dxa" w:w="1294"/>
            <w:shd w:val="clear" w:color="auto" w:fill="FFFFFF"/>
            <w:vAlign w:val="center"/>
          </w:tcPr>
          <w:p>
            <w:pPr>
              <w:keepNext w:val="0"/>
              <w:spacing w:after="0"/>
            </w:pPr>
            <w:r>
              <w:rPr>
                <w:rFonts w:ascii="Calibri" w:hAnsi="Calibri"/>
                <w:b w:val="0"/>
                <w:i w:val="0"/>
                <w:color w:val="222222"/>
                <w:sz w:val="20"/>
              </w:rPr>
              <w:t>48 / &gt;96 / 64</w:t>
            </w:r>
          </w:p>
        </w:tc>
        <w:tc>
          <w:tcPr>
            <w:tcW w:type="dxa" w:w="1294"/>
            <w:shd w:val="clear" w:color="auto" w:fill="FFFFFF"/>
            <w:vAlign w:val="center"/>
          </w:tcPr>
          <w:p>
            <w:pPr>
              <w:keepNext w:val="0"/>
              <w:spacing w:after="0"/>
            </w:pPr>
            <w:r>
              <w:rPr>
                <w:rFonts w:ascii="Calibri" w:hAnsi="Calibri"/>
                <w:b w:val="0"/>
                <w:i w:val="0"/>
                <w:color w:val="222222"/>
                <w:sz w:val="20"/>
              </w:rPr>
              <w:t>5 / &gt;96 / 6</w:t>
            </w:r>
          </w:p>
        </w:tc>
      </w:tr>
    </w:tbl>
    <w:p>
      <w:pPr>
        <w:spacing w:after="80"/>
      </w:pPr>
    </w:p>
    <w:p>
      <w:pPr>
        <w:spacing w:after="120"/>
      </w:pPr>
      <w:r>
        <w:rPr>
          <w:rFonts w:ascii="Calibri" w:hAnsi="Calibri"/>
          <w:b w:val="0"/>
          <w:i w:val="0"/>
          <w:color w:val="222222"/>
          <w:sz w:val="21"/>
        </w:rPr>
        <w:t>The same pattern holds across readouts. Burst shape (burst duration, spikes per burst, the share of spikes in bursts), synchrony and network-burst readouts are quiet: a handful of wells sees a fall of a fifth. Firing rate, spike and burst counts and cross-correlation area are several times noisier, and for them a one-date experiment against a historical reference cannot see even a halving.</w:t>
      </w:r>
    </w:p>
    <w:p>
      <w:pPr>
        <w:spacing w:after="120"/>
      </w:pPr>
      <w:r>
        <w:rPr>
          <w:rFonts w:ascii="Calibri" w:hAnsi="Calibri"/>
          <w:b/>
          <w:i w:val="0"/>
          <w:color w:val="156082"/>
          <w:sz w:val="21"/>
        </w:rPr>
        <w:t>How we checked the arithmetic.</w:t>
      </w:r>
      <w:r>
        <w:rPr>
          <w:rFonts w:ascii="Calibri" w:hAnsi="Calibri"/>
          <w:b w:val="0"/>
          <w:i w:val="0"/>
          <w:color w:val="222222"/>
          <w:sz w:val="21"/>
        </w:rPr>
        <w:t xml:space="preserve"> The counts come from resampling the vehicle wells through a two-level model (a shrunken effect per date plus a within-date residual), which is what lets us ask about 96 wells from one date when no date has more than a handful. Two assumptions could make it wrong, and both are checked in </w:t>
      </w:r>
      <w:r>
        <w:rPr>
          <w:rFonts w:ascii="Consolas" w:hAnsi="Consolas"/>
          <w:b w:val="0"/>
          <w:i w:val="0"/>
          <w:color w:val="222222"/>
          <w:sz w:val="19"/>
        </w:rPr>
        <w:t>toxcast_noise_floors.components.*.model_checks</w:t>
      </w:r>
      <w:r>
        <w:rPr>
          <w:rFonts w:ascii="Calibri" w:hAnsi="Calibri"/>
          <w:b w:val="0"/>
          <w:i w:val="0"/>
          <w:color w:val="222222"/>
          <w:sz w:val="21"/>
        </w:rPr>
        <w:t>. First, the model might misrepresent the real wells: for firing rate, plain resampling of real wells (and, up to six wells, of real wells from one real date) gives thresholds within −0.135 (relative) of the model's. For three quiet readouts with a single well at the floor (synchrony, burst percentage, network-burst percentage) the model is conservative by up to −0.598 (relative), so their counts are upper bounds. Second, the vehicle might matter: on DMSO wells alone (706), the date share of firing rate is 0.41 and the independent-well count for a 20% fall is unchanged at 32. The counts assume treated wells scatter around their shifted mean as vehicle wells scatter around theirs; a drug that also makes wells more variable needs more.</w:t>
      </w:r>
    </w:p>
    <w:p>
      <w:pPr>
        <w:keepNext/>
        <w:spacing w:before="240" w:after="60"/>
      </w:pPr>
      <w:r>
        <w:rPr>
          <w:rFonts w:ascii="Calibri" w:hAnsi="Calibri"/>
          <w:b/>
          <w:i w:val="0"/>
          <w:color w:val="1F4E79"/>
          <w:sz w:val="23"/>
        </w:rPr>
        <w:t>33. The twin meets a laboratory it has never seen</w:t>
      </w:r>
    </w:p>
    <w:p>
      <w:pPr>
        <w:keepNext/>
        <w:spacing w:after="120"/>
      </w:pPr>
      <w:r>
        <w:rPr>
          <w:rFonts w:ascii="Calibri" w:hAnsi="Calibri"/>
          <w:b w:val="0"/>
          <w:i w:val="0"/>
          <w:color w:val="222222"/>
          <w:sz w:val="21"/>
        </w:rPr>
        <w:t>The twin was calibrated on one laboratory's baselines (ScreenNeuroPharm's chambers), and its drug knobs were checked (§14) against recordings from that laboratory and two others. The EPA screen is one it has never seen: on almost every exposure date it runs three positive controls, bicuculline and picrotoxin (both remove GABA-A inhibition) and tetrodotoxin (blocks sodium channels), each at one concentration. The twin has a knob for each mechanism: the GABA-A block knob for the first two, the excitability knob for TTX. Before computing any real statistic we registered the six readouts the two share, the rule for reading a direction from the twin (eight simulated chips, each recorded untreated and treated, must agree), and the agreement test; then the twin computed and we committed its predictions (</w:t>
      </w:r>
      <w:r>
        <w:rPr>
          <w:rFonts w:ascii="Consolas" w:hAnsi="Consolas"/>
          <w:b w:val="0"/>
          <w:i w:val="0"/>
          <w:color w:val="222222"/>
          <w:sz w:val="19"/>
        </w:rPr>
        <w:t>outputs/twin/toxcast_positive_controls_predictions_simulated.json</w:t>
      </w:r>
      <w:r>
        <w:rPr>
          <w:rFonts w:ascii="Calibri" w:hAnsi="Calibri"/>
          <w:b w:val="0"/>
          <w:i w:val="0"/>
          <w:color w:val="222222"/>
          <w:sz w:val="21"/>
        </w:rPr>
        <w:t>). Each real change is a well's change from its own baseline minus the median of the same date's vehicle wells, the correction §32 says every reading needs.</w:t>
      </w:r>
    </w:p>
    <w:p>
      <w:pPr>
        <w:keepNext/>
        <w:spacing w:before="120" w:after="40"/>
        <w:jc w:val="center"/>
      </w:pPr>
      <w:r>
        <w:drawing>
          <wp:inline xmlns:a="http://schemas.openxmlformats.org/drawingml/2006/main" xmlns:pic="http://schemas.openxmlformats.org/drawingml/2006/picture">
            <wp:extent cx="5394960" cy="1758688"/>
            <wp:docPr id="25" name="Picture 25"/>
            <wp:cNvGraphicFramePr>
              <a:graphicFrameLocks noChangeAspect="1"/>
            </wp:cNvGraphicFramePr>
            <a:graphic>
              <a:graphicData uri="http://schemas.openxmlformats.org/drawingml/2006/picture">
                <pic:pic>
                  <pic:nvPicPr>
                    <pic:cNvPr id="0" name="twin_toxcast_positive_controls.png"/>
                    <pic:cNvPicPr/>
                  </pic:nvPicPr>
                  <pic:blipFill>
                    <a:blip r:embed="rId37"/>
                    <a:stretch>
                      <a:fillRect/>
                    </a:stretch>
                  </pic:blipFill>
                  <pic:spPr>
                    <a:xfrm>
                      <a:off x="0" y="0"/>
                      <a:ext cx="5394960" cy="1758688"/>
                    </a:xfrm>
                    <a:prstGeom prst="rect"/>
                  </pic:spPr>
                </pic:pic>
              </a:graphicData>
            </a:graphic>
          </wp:inline>
        </w:drawing>
      </w:r>
    </w:p>
    <w:p>
      <w:pPr>
        <w:spacing w:after="200"/>
        <w:jc w:val="center"/>
      </w:pPr>
      <w:r>
        <w:rPr>
          <w:rFonts w:ascii="Calibri" w:hAnsi="Calibri"/>
          <w:b/>
          <w:i/>
          <w:color w:val="222222"/>
          <w:sz w:val="17"/>
        </w:rPr>
        <w:t xml:space="preserve">Figure 25. </w:t>
      </w:r>
      <w:r>
        <w:rPr>
          <w:rFonts w:ascii="Calibri" w:hAnsi="Calibri"/>
          <w:b w:val="0"/>
          <w:i/>
          <w:color w:val="222222"/>
          <w:sz w:val="17"/>
        </w:rPr>
        <w:t>SIMULATED twin knob changes (squares) against REAL ToxCast positive-control changes (circles, median with a 95% interval from resampling dates), per shared readout. "agree" and "differ" are scored cells; "n/s" means the twin made no call or the real direction was not established.</w:t>
      </w:r>
    </w:p>
    <w:p>
      <w:pPr>
        <w:spacing w:after="120"/>
      </w:pPr>
      <w:r>
        <w:rPr>
          <w:rFonts w:ascii="Calibri" w:hAnsi="Calibri"/>
          <w:b/>
          <w:i w:val="0"/>
          <w:color w:val="156082"/>
          <w:sz w:val="21"/>
        </w:rPr>
        <w:t>Every scored direction agrees:</w:t>
      </w:r>
      <w:r>
        <w:rPr>
          <w:rFonts w:ascii="Calibri" w:hAnsi="Calibri"/>
          <w:b w:val="0"/>
          <w:i w:val="0"/>
          <w:color w:val="222222"/>
          <w:sz w:val="21"/>
        </w:rPr>
        <w:t xml:space="preserve"> 12 of 12, four per drug, so all four registered predictions pass. The one that matters most is firing rate under GABA-A block. The twin raises it (2.367 log2), and §18 (row 9) recorded that as the twin's one wrong direction, because the real GABA-A antagonist pairs in our asset, from two other laboratories, lower it (−0.335 log2). In the EPA's rat cortical wells, bicuculline raises it by 1.124 log2 over 348 wells and picrotoxin by 1.624 log2, and TTX lowers it by −4.034 log2 (silence) where the twin predicts −3.065. So the direction of firing rate under disinhibition differs between laboratories and platforms; it is not simply a defect of the twin.</w:t>
      </w:r>
    </w:p>
    <w:p>
      <w:pPr>
        <w:spacing w:after="120"/>
      </w:pPr>
      <w:r>
        <w:rPr>
          <w:rFonts w:ascii="Calibri" w:hAnsi="Calibri"/>
          <w:b/>
          <w:i w:val="0"/>
          <w:color w:val="156082"/>
          <w:sz w:val="21"/>
        </w:rPr>
        <w:t>Why this is a low bar, which we checked after seeing the result.</w:t>
      </w:r>
      <w:r>
        <w:rPr>
          <w:rFonts w:ascii="Calibri" w:hAnsi="Calibri"/>
          <w:b w:val="0"/>
          <w:i w:val="0"/>
          <w:color w:val="222222"/>
          <w:sz w:val="21"/>
        </w:rPr>
        <w:t xml:space="preserve"> At these strong doses nearly every readout moves with firing rate. A rule that knows only whether each drug raised or lowered firing rate, and predicts every other readout the same way, scores 11 of 11 on the same cells, where the twin, firing rate excluded, scores 9 of 9. The twin earns no credit beyond that rule, and where they differ the rule is right: burst rate rises under bicuculline (0.382 log2) and picrotoxin (0.899), while the twin leans the other way (−0.261, too inconsistent across chips to count as a call). Magnitudes do not transfer: the twin overstates the rise in spikes per burst under GABA-A block (2.907 log2 against 1.042 for bicuculline), as §14 found for the sodium knob. The fair summary: the twin is not wrong on an unseen laboratory's strongest controls, and that is all this test can show.</w:t>
      </w:r>
    </w:p>
    <w:p>
      <w:pPr>
        <w:keepNext/>
        <w:spacing w:before="240" w:after="60"/>
      </w:pPr>
      <w:r>
        <w:rPr>
          <w:rFonts w:ascii="Calibri" w:hAnsi="Calibri"/>
          <w:b/>
          <w:i w:val="0"/>
          <w:color w:val="1F4E79"/>
          <w:sz w:val="23"/>
        </w:rPr>
        <w:t>34. A quality-control rule for chip screens, from §32</w:t>
      </w:r>
    </w:p>
    <w:p>
      <w:pPr>
        <w:spacing w:after="120"/>
      </w:pPr>
      <w:r>
        <w:rPr>
          <w:rFonts w:ascii="Calibri" w:hAnsi="Calibri"/>
          <w:b w:val="0"/>
          <w:i w:val="0"/>
          <w:color w:val="222222"/>
          <w:sz w:val="21"/>
        </w:rPr>
        <w:t xml:space="preserve">Three rules follow from the vehicle wells. The computation in </w:t>
      </w:r>
      <w:r>
        <w:rPr>
          <w:rFonts w:ascii="Consolas" w:hAnsi="Consolas"/>
          <w:b w:val="0"/>
          <w:i w:val="0"/>
          <w:color w:val="222222"/>
          <w:sz w:val="19"/>
        </w:rPr>
        <w:t>neuromps.models.toxcast_noise_floors</w:t>
      </w:r>
      <w:r>
        <w:rPr>
          <w:rFonts w:ascii="Calibri" w:hAnsi="Calibri"/>
          <w:b w:val="0"/>
          <w:i w:val="0"/>
          <w:color w:val="222222"/>
          <w:sz w:val="21"/>
        </w:rPr>
        <w:t xml:space="preserve"> applies unchanged to any lab's own vehicle wells, given a date for each.</w:t>
      </w:r>
    </w:p>
    <w:p>
      <w:pPr>
        <w:spacing w:after="120"/>
        <w:ind w:left="432" w:hanging="259"/>
      </w:pPr>
      <w:r>
        <w:rPr>
          <w:rFonts w:ascii="Calibri" w:hAnsi="Calibri"/>
          <w:b w:val="0"/>
          <w:i w:val="0"/>
          <w:color w:val="222222"/>
          <w:sz w:val="21"/>
        </w:rPr>
        <w:t>•</w:t>
        <w:tab/>
      </w:r>
      <w:r>
        <w:rPr>
          <w:rFonts w:ascii="Calibri" w:hAnsi="Calibri"/>
          <w:b/>
          <w:i w:val="0"/>
          <w:color w:val="156082"/>
          <w:sz w:val="21"/>
        </w:rPr>
        <w:t>Judge every treated well against vehicle wells from the same day, never against its own baseline alone.</w:t>
      </w:r>
      <w:r>
        <w:rPr>
          <w:rFonts w:ascii="Calibri" w:hAnsi="Calibri"/>
          <w:b w:val="0"/>
          <w:i w:val="0"/>
          <w:color w:val="222222"/>
          <w:sz w:val="21"/>
        </w:rPr>
        <w:t xml:space="preserve"> The vehicle drift (a median −32% in firing rate) is larger than most effects a screen looks for.</w:t>
      </w:r>
    </w:p>
    <w:p>
      <w:pPr>
        <w:spacing w:after="120"/>
        <w:ind w:left="432" w:hanging="259"/>
      </w:pPr>
      <w:r>
        <w:rPr>
          <w:rFonts w:ascii="Calibri" w:hAnsi="Calibri"/>
          <w:b w:val="0"/>
          <w:i w:val="0"/>
          <w:color w:val="222222"/>
          <w:sz w:val="21"/>
        </w:rPr>
        <w:t>•</w:t>
        <w:tab/>
      </w:r>
      <w:r>
        <w:rPr>
          <w:rFonts w:ascii="Calibri" w:hAnsi="Calibri"/>
          <w:b/>
          <w:i w:val="0"/>
          <w:color w:val="156082"/>
          <w:sz w:val="21"/>
        </w:rPr>
        <w:t>Put vehicle wells on every exposure date, or spread replicates across dates.</w:t>
      </w:r>
      <w:r>
        <w:rPr>
          <w:rFonts w:ascii="Calibri" w:hAnsi="Calibri"/>
          <w:b w:val="0"/>
          <w:i w:val="0"/>
          <w:color w:val="222222"/>
          <w:sz w:val="21"/>
        </w:rPr>
        <w:t xml:space="preserve"> With about two-fifths of the variance shared by the day, a one-day experiment against a historical reference is blind to a 50% fall in firing rate however many wells it uses; the same wells against same-day vehicles see it with 4 of each. The EPA's own normalization already works per date; a smaller lab should copy it.</w:t>
      </w:r>
    </w:p>
    <w:p>
      <w:pPr>
        <w:spacing w:after="120"/>
        <w:ind w:left="432" w:hanging="259"/>
      </w:pPr>
      <w:r>
        <w:rPr>
          <w:rFonts w:ascii="Calibri" w:hAnsi="Calibri"/>
          <w:b w:val="0"/>
          <w:i w:val="0"/>
          <w:color w:val="222222"/>
          <w:sz w:val="21"/>
        </w:rPr>
        <w:t>•</w:t>
        <w:tab/>
      </w:r>
      <w:r>
        <w:rPr>
          <w:rFonts w:ascii="Calibri" w:hAnsi="Calibri"/>
          <w:b/>
          <w:i w:val="0"/>
          <w:color w:val="156082"/>
          <w:sz w:val="21"/>
        </w:rPr>
        <w:t>Choose readouts by their noise floor, not only by their meaning.</w:t>
      </w:r>
      <w:r>
        <w:rPr>
          <w:rFonts w:ascii="Calibri" w:hAnsi="Calibri"/>
          <w:b w:val="0"/>
          <w:i w:val="0"/>
          <w:color w:val="222222"/>
          <w:sz w:val="21"/>
        </w:rPr>
        <w:t xml:space="preserve"> For a fall of a fifth, burst-shape and synchrony readouts need a handful of wells where firing rate needs 32. This also sharpens §20's fly result: the 0.149 log2 firing-rate change at which the simulated fly's behaviour had already failed is below what even 96 independent real wells detect (a 0.167 log2 rise).</w:t>
      </w:r>
    </w:p>
    <w:p>
      <w:pPr>
        <w:spacing w:after="120"/>
      </w:pPr>
      <w:r>
        <w:rPr>
          <w:rFonts w:ascii="Calibri" w:hAnsi="Calibri"/>
          <w:b/>
          <w:i w:val="0"/>
          <w:color w:val="156082"/>
          <w:sz w:val="21"/>
        </w:rPr>
        <w:t>What this act does not show.</w:t>
      </w:r>
      <w:r>
        <w:rPr>
          <w:rFonts w:ascii="Calibri" w:hAnsi="Calibri"/>
          <w:b w:val="0"/>
          <w:i w:val="0"/>
          <w:color w:val="222222"/>
          <w:sz w:val="21"/>
        </w:rPr>
        <w:t xml:space="preserve"> The noise floors are one laboratory's, on one rat cortical preparation and one platform; another lab's will differ and should be measured the same way. Seven of the fifteen readouts rest on recovered well assignments (§32); the checks that support them are exact, but they test dates and concentrations, not a well's position on its plate. The positive controls are single, saturating concentrations, so §33 tests directions at the extremes; §35 puts the dose response itself to the test.</w:t>
      </w:r>
    </w:p>
    <w:p>
      <w:pPr>
        <w:keepNext/>
        <w:spacing w:before="240" w:after="60"/>
      </w:pPr>
      <w:r>
        <w:rPr>
          <w:rFonts w:ascii="Calibri" w:hAnsi="Calibri"/>
          <w:b/>
          <w:i w:val="0"/>
          <w:color w:val="1F4E79"/>
          <w:sz w:val="23"/>
        </w:rPr>
        <w:t>35. The dose response: the twin's knob grid against real concentration-response curves</w:t>
      </w:r>
    </w:p>
    <w:p>
      <w:pPr>
        <w:spacing w:after="120"/>
      </w:pPr>
      <w:r>
        <w:rPr>
          <w:rFonts w:ascii="Calibri" w:hAnsi="Calibri"/>
          <w:b w:val="0"/>
          <w:i w:val="0"/>
          <w:color w:val="222222"/>
          <w:sz w:val="21"/>
        </w:rPr>
        <w:t xml:space="preserve">§33 left the obvious question open. The screen's positive controls are run at one saturating concentration, so they say nothing about whether the twin's knobs move the readouts </w:t>
      </w:r>
      <w:r>
        <w:rPr>
          <w:rFonts w:ascii="Calibri" w:hAnsi="Calibri"/>
          <w:b w:val="0"/>
          <w:i/>
          <w:color w:val="222222"/>
          <w:sz w:val="21"/>
        </w:rPr>
        <w:t>in the order</w:t>
      </w:r>
      <w:r>
        <w:rPr>
          <w:rFonts w:ascii="Calibri" w:hAnsi="Calibri"/>
          <w:b w:val="0"/>
          <w:i w:val="0"/>
          <w:color w:val="222222"/>
          <w:sz w:val="21"/>
        </w:rPr>
        <w:t xml:space="preserve"> a rising concentration does. The screen also runs about five hundred compounds over seven concentrations each, and for some of them the primary target is one of the twin's four knobs.</w:t>
      </w:r>
    </w:p>
    <w:p>
      <w:pPr>
        <w:keepNext/>
        <w:spacing w:after="120"/>
      </w:pPr>
      <w:r>
        <w:rPr>
          <w:rFonts w:ascii="Calibri" w:hAnsi="Calibri"/>
          <w:b w:val="0"/>
          <w:i w:val="0"/>
          <w:color w:val="222222"/>
          <w:sz w:val="21"/>
        </w:rPr>
        <w:t xml:space="preserve">Registered first (decision D30, </w:t>
      </w:r>
      <w:r>
        <w:rPr>
          <w:rFonts w:ascii="Consolas" w:hAnsi="Consolas"/>
          <w:b w:val="0"/>
          <w:i w:val="0"/>
          <w:color w:val="222222"/>
          <w:sz w:val="19"/>
        </w:rPr>
        <w:t>preregistration/twin_toxcast_dose_response.json</w:t>
      </w:r>
      <w:r>
        <w:rPr>
          <w:rFonts w:ascii="Calibri" w:hAnsi="Calibri"/>
          <w:b w:val="0"/>
          <w:i w:val="0"/>
          <w:color w:val="222222"/>
          <w:sz w:val="21"/>
        </w:rPr>
        <w:t xml:space="preserve">, committed before the twin ran): the compound list with one class label each, the knob grids, the rank rule matching a concentration to a knob level, the rule for which bins count as moving, an exclusion rule for the screen's own viability readout, and the predictions with their thresholds. Firing rate was declared already seen — an earlier private analysis had looked at it — and is reported here, never tested. The twin's curves (12 simulated chips, four knobs, seven levels each, every recording paired with its own chip untreated and run through the same </w:t>
      </w:r>
      <w:r>
        <w:rPr>
          <w:rFonts w:ascii="Consolas" w:hAnsi="Consolas"/>
          <w:b w:val="0"/>
          <w:i w:val="0"/>
          <w:color w:val="222222"/>
          <w:sz w:val="19"/>
        </w:rPr>
        <w:t>features/mea.py</w:t>
      </w:r>
      <w:r>
        <w:rPr>
          <w:rFonts w:ascii="Calibri" w:hAnsi="Calibri"/>
          <w:b w:val="0"/>
          <w:i w:val="0"/>
          <w:color w:val="222222"/>
          <w:sz w:val="21"/>
        </w:rPr>
        <w:t xml:space="preserve"> path) were committed before a single treated well was read. Concentrations are matched to knob levels by rank, because the two axes share no unit and every registered score is unchanged by a monotone map between them.</w:t>
      </w:r>
    </w:p>
    <w:p>
      <w:pPr>
        <w:keepNext/>
        <w:spacing w:before="120" w:after="40"/>
        <w:jc w:val="center"/>
      </w:pPr>
      <w:r>
        <w:drawing>
          <wp:inline xmlns:a="http://schemas.openxmlformats.org/drawingml/2006/main" xmlns:pic="http://schemas.openxmlformats.org/drawingml/2006/picture">
            <wp:extent cx="5394960" cy="3597471"/>
            <wp:docPr id="26" name="Picture 26"/>
            <wp:cNvGraphicFramePr>
              <a:graphicFrameLocks noChangeAspect="1"/>
            </wp:cNvGraphicFramePr>
            <a:graphic>
              <a:graphicData uri="http://schemas.openxmlformats.org/drawingml/2006/picture">
                <pic:pic>
                  <pic:nvPicPr>
                    <pic:cNvPr id="0" name="twin_toxcast_dose_response.png"/>
                    <pic:cNvPicPr/>
                  </pic:nvPicPr>
                  <pic:blipFill>
                    <a:blip r:embed="rId38"/>
                    <a:stretch>
                      <a:fillRect/>
                    </a:stretch>
                  </pic:blipFill>
                  <pic:spPr>
                    <a:xfrm>
                      <a:off x="0" y="0"/>
                      <a:ext cx="5394960" cy="3597471"/>
                    </a:xfrm>
                    <a:prstGeom prst="rect"/>
                  </pic:spPr>
                </pic:pic>
              </a:graphicData>
            </a:graphic>
          </wp:inline>
        </w:drawing>
      </w:r>
    </w:p>
    <w:p>
      <w:pPr>
        <w:spacing w:after="200"/>
        <w:jc w:val="center"/>
      </w:pPr>
      <w:r>
        <w:rPr>
          <w:rFonts w:ascii="Calibri" w:hAnsi="Calibri"/>
          <w:b/>
          <w:i/>
          <w:color w:val="222222"/>
          <w:sz w:val="17"/>
        </w:rPr>
        <w:t xml:space="preserve">Figure 26. </w:t>
      </w:r>
      <w:r>
        <w:rPr>
          <w:rFonts w:ascii="Calibri" w:hAnsi="Calibri"/>
          <w:b w:val="0"/>
          <w:i/>
          <w:color w:val="222222"/>
          <w:sz w:val="17"/>
        </w:rPr>
        <w:t>Left: Spearman correlation between the SIMULATED twin's matched curve and the REAL ToxCast curve, one bar per compound and readout, with the registered hit line and the two nulls' means. Right: the best-scoring pair, REAL wells (circles, median against same-date vehicle wells) against the SIMULATED twin's rank-matched knob curve (squares).</w:t>
      </w:r>
    </w:p>
    <w:p>
      <w:pPr>
        <w:spacing w:after="120"/>
      </w:pPr>
      <w:r>
        <w:rPr>
          <w:rFonts w:ascii="Calibri" w:hAnsi="Calibri"/>
          <w:b/>
          <w:i w:val="0"/>
          <w:color w:val="156082"/>
          <w:sz w:val="21"/>
        </w:rPr>
        <w:t>Two of the four registered predictions pass</w:t>
      </w:r>
      <w:r>
        <w:rPr>
          <w:rFonts w:ascii="Calibri" w:hAnsi="Calibri"/>
          <w:b w:val="0"/>
          <w:i w:val="0"/>
          <w:color w:val="222222"/>
          <w:sz w:val="21"/>
        </w:rPr>
        <w:t xml:space="preserve"> (2 of 4), over 13 compounds and 26 scored compound-readout pairs.</w:t>
      </w:r>
    </w:p>
    <w:p>
      <w:pPr>
        <w:spacing w:after="120"/>
        <w:ind w:left="432" w:hanging="259"/>
      </w:pPr>
      <w:r>
        <w:rPr>
          <w:rFonts w:ascii="Calibri" w:hAnsi="Calibri"/>
          <w:b w:val="0"/>
          <w:i w:val="0"/>
          <w:color w:val="222222"/>
          <w:sz w:val="21"/>
        </w:rPr>
        <w:t>•</w:t>
        <w:tab/>
      </w:r>
      <w:r>
        <w:rPr>
          <w:rFonts w:ascii="Calibri" w:hAnsi="Calibri"/>
          <w:b/>
          <w:i w:val="0"/>
          <w:color w:val="156082"/>
          <w:sz w:val="21"/>
        </w:rPr>
        <w:t>P1 (shape) fails.</w:t>
      </w:r>
      <w:r>
        <w:rPr>
          <w:rFonts w:ascii="Calibri" w:hAnsi="Calibri"/>
          <w:b w:val="0"/>
          <w:i w:val="0"/>
          <w:color w:val="222222"/>
          <w:sz w:val="21"/>
        </w:rPr>
        <w:t xml:space="preserve"> Only 10 of 26 pairs reach the registered correlation of 0.6, a hit rate of 0.38 against the 0.5 the registration required, at a mean Spearman of 0.34.</w:t>
      </w:r>
    </w:p>
    <w:p>
      <w:pPr>
        <w:spacing w:after="120"/>
        <w:ind w:left="432" w:hanging="259"/>
      </w:pPr>
      <w:r>
        <w:rPr>
          <w:rFonts w:ascii="Calibri" w:hAnsi="Calibri"/>
          <w:b w:val="0"/>
          <w:i w:val="0"/>
          <w:color w:val="222222"/>
          <w:sz w:val="21"/>
        </w:rPr>
        <w:t>•</w:t>
        <w:tab/>
      </w:r>
      <w:r>
        <w:rPr>
          <w:rFonts w:ascii="Calibri" w:hAnsi="Calibri"/>
          <w:b/>
          <w:i w:val="0"/>
          <w:color w:val="156082"/>
          <w:sz w:val="21"/>
        </w:rPr>
        <w:t>P2 (beat the follow-firing-rate rule) fails</w:t>
      </w:r>
      <w:r>
        <w:rPr>
          <w:rFonts w:ascii="Calibri" w:hAnsi="Calibri"/>
          <w:b w:val="0"/>
          <w:i w:val="0"/>
          <w:color w:val="222222"/>
          <w:sz w:val="21"/>
        </w:rPr>
        <w:t>, as in §33. Predicting every readout's curve from the compound's own real firing-rate curve scores 0.52, so the twin is behind by −0.18.</w:t>
      </w:r>
    </w:p>
    <w:p>
      <w:pPr>
        <w:spacing w:after="120"/>
        <w:ind w:left="432" w:hanging="259"/>
      </w:pPr>
      <w:r>
        <w:rPr>
          <w:rFonts w:ascii="Calibri" w:hAnsi="Calibri"/>
          <w:b w:val="0"/>
          <w:i w:val="0"/>
          <w:color w:val="222222"/>
          <w:sz w:val="21"/>
        </w:rPr>
        <w:t>•</w:t>
        <w:tab/>
      </w:r>
      <w:r>
        <w:rPr>
          <w:rFonts w:ascii="Calibri" w:hAnsi="Calibri"/>
          <w:b/>
          <w:i w:val="0"/>
          <w:color w:val="156082"/>
          <w:sz w:val="21"/>
        </w:rPr>
        <w:t>P3 (the mechanism label matters) passes, and not narrowly.</w:t>
      </w:r>
      <w:r>
        <w:rPr>
          <w:rFonts w:ascii="Calibri" w:hAnsi="Calibri"/>
          <w:b w:val="0"/>
          <w:i w:val="0"/>
          <w:color w:val="222222"/>
          <w:sz w:val="21"/>
        </w:rPr>
        <w:t xml:space="preserve"> Scored under a knob the compound is not labelled with, the same curves give −0.13 over 64 combinations, so the labelled knob leads by 0.47. Whatever the twin's curves carry, it is specific to the mechanism, not a shape any knob would produce.</w:t>
      </w:r>
    </w:p>
    <w:p>
      <w:pPr>
        <w:spacing w:after="120"/>
        <w:ind w:left="432" w:hanging="259"/>
      </w:pPr>
      <w:r>
        <w:rPr>
          <w:rFonts w:ascii="Calibri" w:hAnsi="Calibri"/>
          <w:b w:val="0"/>
          <w:i w:val="0"/>
          <w:color w:val="222222"/>
          <w:sz w:val="21"/>
        </w:rPr>
        <w:t>•</w:t>
        <w:tab/>
      </w:r>
      <w:r>
        <w:rPr>
          <w:rFonts w:ascii="Calibri" w:hAnsi="Calibri"/>
          <w:b/>
          <w:i w:val="0"/>
          <w:color w:val="156082"/>
          <w:sz w:val="21"/>
        </w:rPr>
        <w:t>P4 (which readout moves first) passes.</w:t>
      </w:r>
      <w:r>
        <w:rPr>
          <w:rFonts w:ascii="Calibri" w:hAnsi="Calibri"/>
          <w:b w:val="0"/>
          <w:i w:val="0"/>
          <w:color w:val="222222"/>
          <w:sz w:val="21"/>
        </w:rPr>
        <w:t xml:space="preserve"> The twin names the first-moving readout for 8 of 11 compounds where both sides make a call, a rate of 0.73; in almost every case that readout is spikes per burst, which the vehicle wells of §32 also showed to be among the quietest.</w:t>
      </w:r>
    </w:p>
    <w:p>
      <w:pPr>
        <w:spacing w:after="120"/>
        <w:ind w:left="432" w:hanging="259"/>
      </w:pPr>
      <w:r>
        <w:rPr>
          <w:rFonts w:ascii="Calibri" w:hAnsi="Calibri"/>
          <w:b w:val="0"/>
          <w:i w:val="0"/>
          <w:color w:val="222222"/>
          <w:sz w:val="21"/>
        </w:rPr>
        <w:t>•</w:t>
        <w:tab/>
      </w:r>
      <w:r>
        <w:rPr>
          <w:rFonts w:ascii="Calibri" w:hAnsi="Calibri"/>
          <w:b/>
          <w:i w:val="0"/>
          <w:color w:val="156082"/>
          <w:sz w:val="21"/>
        </w:rPr>
        <w:t>Firing rate (seen, so reported only).</w:t>
      </w:r>
      <w:r>
        <w:rPr>
          <w:rFonts w:ascii="Calibri" w:hAnsi="Calibri"/>
          <w:b w:val="0"/>
          <w:i w:val="0"/>
          <w:color w:val="222222"/>
          <w:sz w:val="21"/>
        </w:rPr>
        <w:t xml:space="preserve"> At each compound's highest retained concentration the twin's sign agrees with the real one for 9 of 13 compounds. Three of the four that differ are GABA-A antagonists whose real firing rate collapses at the top concentration where the twin's disinhibition knob raises it; the fourth is the one barbiturate, where the real change is small and the twin's knob is weak.</w:t>
      </w:r>
    </w:p>
    <w:p>
      <w:pPr>
        <w:spacing w:after="120"/>
      </w:pPr>
      <w:r>
        <w:rPr>
          <w:rFonts w:ascii="Calibri" w:hAnsi="Calibri"/>
          <w:b/>
          <w:i w:val="0"/>
          <w:color w:val="156082"/>
          <w:sz w:val="21"/>
        </w:rPr>
        <w:t>The assumption this rests on, and the check.</w:t>
      </w:r>
      <w:r>
        <w:rPr>
          <w:rFonts w:ascii="Calibri" w:hAnsi="Calibri"/>
          <w:b w:val="0"/>
          <w:i w:val="0"/>
          <w:color w:val="222222"/>
          <w:sz w:val="21"/>
        </w:rPr>
        <w:t xml:space="preserve"> The rank match assumes the screen's concentration range covers a comparable span of each mechanism to the knob grid. Rescoring with the grid's two strongest levels removed changes little (0.31 against 0.34), so the result does not hinge on where the grid ends.</w:t>
      </w:r>
    </w:p>
    <w:p>
      <w:pPr>
        <w:spacing w:after="120"/>
      </w:pPr>
      <w:r>
        <w:rPr>
          <w:rFonts w:ascii="Calibri" w:hAnsi="Calibri"/>
          <w:b/>
          <w:i w:val="0"/>
          <w:color w:val="156082"/>
          <w:sz w:val="21"/>
        </w:rPr>
        <w:t>Where the registered test broke, found after the fact.</w:t>
      </w:r>
      <w:r>
        <w:rPr>
          <w:rFonts w:ascii="Calibri" w:hAnsi="Calibri"/>
          <w:b w:val="0"/>
          <w:i w:val="0"/>
          <w:color w:val="222222"/>
          <w:sz w:val="21"/>
        </w:rPr>
        <w:t xml:space="preserve"> The registered exclusion rule — drop every concentration from the first one at which the plates' own viability readout falls below its vehicle noise floor — excluded nothing anywhere. In a forty-minute acute exposure that readout barely moves, and for two compounds some bins pooled more wells than any single exposure date's vehicle set can supply, so the rule had no power to judge them at all (</w:t>
      </w:r>
      <w:r>
        <w:rPr>
          <w:rFonts w:ascii="Consolas" w:hAnsi="Consolas"/>
          <w:b w:val="0"/>
          <w:i w:val="0"/>
          <w:color w:val="222222"/>
          <w:sz w:val="19"/>
        </w:rPr>
        <w:t>viability_untestable_bins</w:t>
      </w:r>
      <w:r>
        <w:rPr>
          <w:rFonts w:ascii="Calibri" w:hAnsi="Calibri"/>
          <w:b w:val="0"/>
          <w:i w:val="0"/>
          <w:color w:val="222222"/>
          <w:sz w:val="21"/>
        </w:rPr>
        <w:t xml:space="preserve">). The top concentration therefore stayed in every curve. </w:t>
      </w:r>
      <w:r>
        <w:rPr>
          <w:rFonts w:ascii="Calibri" w:hAnsi="Calibri"/>
          <w:b/>
          <w:i w:val="0"/>
          <w:color w:val="222222"/>
          <w:sz w:val="21"/>
        </w:rPr>
        <w:t>Post hoc</w:t>
      </w:r>
      <w:r>
        <w:rPr>
          <w:rFonts w:ascii="Calibri" w:hAnsi="Calibri"/>
          <w:b w:val="0"/>
          <w:i w:val="0"/>
          <w:color w:val="222222"/>
          <w:sz w:val="21"/>
        </w:rPr>
        <w:t xml:space="preserve">, dropping each compound's highest concentration lifts the twin to 0.65 mean Spearman and 17 of 22 pairs above the hit line, ahead of the firing-rate rule (0.45). Dropping any one bin would do that only if the curves were noise, so we checked: dropping the lowest concentration instead gives 0.22 and a middle one 0.32, both at or below the registered score. The failure is specific to the highest concentration, which is exactly where this screen cannot tell a mechanism apart from a general loss of activity. None of this changes the registered verdict: </w:t>
      </w:r>
      <w:r>
        <w:rPr>
          <w:rFonts w:ascii="Calibri" w:hAnsi="Calibri"/>
          <w:b/>
          <w:i w:val="0"/>
          <w:color w:val="222222"/>
          <w:sz w:val="21"/>
        </w:rPr>
        <w:t>P1 and P2 fail as registered.</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The twin's sodium and AMPA knobs are not dose-responsive at the grid used here: both abolish activity at their weakest level, so for them the match is a step, not a curve, and the one sodium-channel compound contributes no scored pair. A compound's wells are pooled across exposure dates while the null draws within one date, which makes the moving-bin rule slightly permissive for the few compounds run on more than one date. And the class labels are the compounds' established primary targets, not measurements made here; a compound that acts on something else as well will not match its knob however good the twin is.</w:t>
      </w:r>
    </w:p>
    <w:p>
      <w:pPr>
        <w:keepNext/>
        <w:spacing w:before="240" w:after="60"/>
      </w:pPr>
      <w:r>
        <w:rPr>
          <w:rFonts w:ascii="Calibri" w:hAnsi="Calibri"/>
          <w:b/>
          <w:i w:val="0"/>
          <w:color w:val="1F4E79"/>
          <w:sz w:val="23"/>
        </w:rPr>
        <w:t>36. Is a human iPSC chip noisier than a rat one? Split-half noise from one lab</w:t>
      </w:r>
    </w:p>
    <w:p>
      <w:pPr>
        <w:spacing w:after="120"/>
      </w:pPr>
      <w:r>
        <w:rPr>
          <w:rFonts w:ascii="Calibri" w:hAnsi="Calibri"/>
          <w:b w:val="0"/>
          <w:i w:val="0"/>
          <w:color w:val="222222"/>
          <w:sz w:val="21"/>
        </w:rPr>
        <w:t>§32 tells a lab how many wells a rat cortical chip needs. The obvious next question is about human iPSC-derived chips, and the public data we have cannot answer it the way §32 does: the Kapucu et al. 2022 deposit (Creative Commons Attribution licence) records human and rat cultures in one lab with one protocol, but has too few untreated wells recorded twice. What it does have is long untreated recordings in both species. So we cut each one in half and asked how much an untreated well's readouts move between the two halves of a single recording, per species.</w:t>
      </w:r>
    </w:p>
    <w:p>
      <w:pPr>
        <w:keepNext/>
        <w:spacing w:after="120"/>
      </w:pPr>
      <w:r>
        <w:rPr>
          <w:rFonts w:ascii="Calibri" w:hAnsi="Calibri"/>
          <w:b w:val="0"/>
          <w:i w:val="0"/>
          <w:color w:val="222222"/>
          <w:sz w:val="21"/>
        </w:rPr>
        <w:t xml:space="preserve">Registered first (decision D32, </w:t>
      </w:r>
      <w:r>
        <w:rPr>
          <w:rFonts w:ascii="Consolas" w:hAnsi="Consolas"/>
          <w:b w:val="0"/>
          <w:i w:val="0"/>
          <w:color w:val="222222"/>
          <w:sz w:val="19"/>
        </w:rPr>
        <w:t>preregistration/hpsc_split_half.json</w:t>
      </w:r>
      <w:r>
        <w:rPr>
          <w:rFonts w:ascii="Calibri" w:hAnsi="Calibri"/>
          <w:b w:val="0"/>
          <w:i w:val="0"/>
          <w:color w:val="222222"/>
          <w:sz w:val="21"/>
        </w:rPr>
        <w:t xml:space="preserve">, committed before any half-recording feature was computed; the code and its tests were committed before the first real-data run). Each well's recording is cut at half its duration and both halves go through the same </w:t>
      </w:r>
      <w:r>
        <w:rPr>
          <w:rFonts w:ascii="Consolas" w:hAnsi="Consolas"/>
          <w:b w:val="0"/>
          <w:i w:val="0"/>
          <w:color w:val="222222"/>
          <w:sz w:val="19"/>
        </w:rPr>
        <w:t>features/mea.py</w:t>
      </w:r>
      <w:r>
        <w:rPr>
          <w:rFonts w:ascii="Calibri" w:hAnsi="Calibri"/>
          <w:b w:val="0"/>
          <w:i w:val="0"/>
          <w:color w:val="222222"/>
          <w:sz w:val="21"/>
        </w:rPr>
        <w:t xml:space="preserve"> extractor as everything else. A well is usable if it is not excluded upstream and has at least 10 active electrodes in each half. The change in each feature is d = log2(second half / first half), with the ratio floored so that an abolished readout counts as a fixed large fall. The noise is the SD of d across wells, and R = SD human / SD rat, with a 95% interval from resampling wells within each species. The primary pool is the lab's two matched 48-well untreated baselines: human DIV29, 30 minutes, 24 usable wells of 48, the other half excluded upstream; rat DIV22, 30 minutes, 38 usable wells of 48. The replication pool is the lab's 12-well developmental plates, every 10-minute recording at DIV28 or later for human and DIV21 or later for rat: 144 usable recordings from 12 human wells, and 58 from 12 rat wells.</w:t>
      </w:r>
    </w:p>
    <w:p>
      <w:pPr>
        <w:keepNext/>
        <w:spacing w:before="120" w:after="40"/>
        <w:jc w:val="center"/>
      </w:pPr>
      <w:r>
        <w:drawing>
          <wp:inline xmlns:a="http://schemas.openxmlformats.org/drawingml/2006/main" xmlns:pic="http://schemas.openxmlformats.org/drawingml/2006/picture">
            <wp:extent cx="5394960" cy="1945561"/>
            <wp:docPr id="27" name="Picture 27"/>
            <wp:cNvGraphicFramePr>
              <a:graphicFrameLocks noChangeAspect="1"/>
            </wp:cNvGraphicFramePr>
            <a:graphic>
              <a:graphicData uri="http://schemas.openxmlformats.org/drawingml/2006/picture">
                <pic:pic>
                  <pic:nvPicPr>
                    <pic:cNvPr id="0" name="hpsc_split_half_real.png"/>
                    <pic:cNvPicPr/>
                  </pic:nvPicPr>
                  <pic:blipFill>
                    <a:blip r:embed="rId39"/>
                    <a:stretch>
                      <a:fillRect/>
                    </a:stretch>
                  </pic:blipFill>
                  <pic:spPr>
                    <a:xfrm>
                      <a:off x="0" y="0"/>
                      <a:ext cx="5394960" cy="1945561"/>
                    </a:xfrm>
                    <a:prstGeom prst="rect"/>
                  </pic:spPr>
                </pic:pic>
              </a:graphicData>
            </a:graphic>
          </wp:inline>
        </w:drawing>
      </w:r>
    </w:p>
    <w:p>
      <w:pPr>
        <w:spacing w:after="200"/>
        <w:jc w:val="center"/>
      </w:pPr>
      <w:r>
        <w:rPr>
          <w:rFonts w:ascii="Calibri" w:hAnsi="Calibri"/>
          <w:b/>
          <w:i/>
          <w:color w:val="222222"/>
          <w:sz w:val="17"/>
        </w:rPr>
        <w:t xml:space="preserve">Figure 27. </w:t>
      </w:r>
      <w:r>
        <w:rPr>
          <w:rFonts w:ascii="Calibri" w:hAnsi="Calibri"/>
          <w:b w:val="0"/>
          <w:i/>
          <w:color w:val="222222"/>
          <w:sz w:val="17"/>
        </w:rPr>
        <w:t>REAL data, Kapucu 2022, one lab. Left: R = SD human / SD rat of the split-half change for each readout, with its 95% interval, on the 48-well baselines (circles) and the 12-well developmental plates (squares); right of the dashed line, the human wells move more. Middle: each usable 48-well baseline well's firing-rate change between the halves. Right: the size of that change against the well's firing rate, with the band where the two species' firing rates overlap.</w:t>
      </w:r>
    </w:p>
    <w:p>
      <w:pPr>
        <w:spacing w:after="120"/>
      </w:pPr>
      <w:r>
        <w:rPr>
          <w:rFonts w:ascii="Calibri" w:hAnsi="Calibri"/>
          <w:b/>
          <w:i w:val="0"/>
          <w:color w:val="156082"/>
          <w:sz w:val="21"/>
        </w:rPr>
        <w:t>Two of the three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P1 (human firing rate noisier) passes.</w:t>
      </w:r>
      <w:r>
        <w:rPr>
          <w:rFonts w:ascii="Calibri" w:hAnsi="Calibri"/>
          <w:b w:val="0"/>
          <w:i w:val="0"/>
          <w:color w:val="222222"/>
          <w:sz w:val="21"/>
        </w:rPr>
        <w:t xml:space="preserve"> On the matched baselines the human wells' firing rate moves about twice as much between halves: SD 0.21 against 0.10 (log2), R = 2.06, 95% interval 1.39 to 3.56, entirely above 1 as the registration required.</w:t>
      </w:r>
    </w:p>
    <w:p>
      <w:pPr>
        <w:spacing w:after="120"/>
        <w:ind w:left="432" w:hanging="259"/>
      </w:pPr>
      <w:r>
        <w:rPr>
          <w:rFonts w:ascii="Calibri" w:hAnsi="Calibri"/>
          <w:b w:val="0"/>
          <w:i w:val="0"/>
          <w:color w:val="222222"/>
          <w:sz w:val="21"/>
        </w:rPr>
        <w:t>•</w:t>
        <w:tab/>
      </w:r>
      <w:r>
        <w:rPr>
          <w:rFonts w:ascii="Calibri" w:hAnsi="Calibri"/>
          <w:b/>
          <w:i w:val="0"/>
          <w:color w:val="156082"/>
          <w:sz w:val="21"/>
        </w:rPr>
        <w:t>P2 (noisier across readouts) fails.</w:t>
      </w:r>
      <w:r>
        <w:rPr>
          <w:rFonts w:ascii="Calibri" w:hAnsi="Calibri"/>
          <w:b w:val="0"/>
          <w:i w:val="0"/>
          <w:color w:val="222222"/>
          <w:sz w:val="21"/>
        </w:rPr>
        <w:t xml:space="preserve"> The human wells are noisier on only 4 of the 8 scored readouts, against the 5 registered: firing rate, burst duration, spikes per burst and ISI CV. On the share of spikes in bursts the rat wells are clearly the noisier (R = 0.36, 0.21 to 0.65), and on synchrony narrowly so. On these baselines the difference is specific to some readouts, firing rate among them, not a general property of the human wells.</w:t>
      </w:r>
    </w:p>
    <w:p>
      <w:pPr>
        <w:spacing w:after="120"/>
        <w:ind w:left="432" w:hanging="259"/>
      </w:pPr>
      <w:r>
        <w:rPr>
          <w:rFonts w:ascii="Calibri" w:hAnsi="Calibri"/>
          <w:b w:val="0"/>
          <w:i w:val="0"/>
          <w:color w:val="222222"/>
          <w:sz w:val="21"/>
        </w:rPr>
        <w:t>•</w:t>
        <w:tab/>
      </w:r>
      <w:r>
        <w:rPr>
          <w:rFonts w:ascii="Calibri" w:hAnsi="Calibri"/>
          <w:b/>
          <w:i w:val="0"/>
          <w:color w:val="156082"/>
          <w:sz w:val="21"/>
        </w:rPr>
        <w:t>P3 (replicates on the developmental plates) passes, as registered, on its point estimate only.</w:t>
      </w:r>
      <w:r>
        <w:rPr>
          <w:rFonts w:ascii="Calibri" w:hAnsi="Calibri"/>
          <w:b w:val="0"/>
          <w:i w:val="0"/>
          <w:color w:val="222222"/>
          <w:sz w:val="21"/>
        </w:rPr>
        <w:t xml:space="preserve"> R for firing rate is 1.54, above 1, but its 95% interval, 0.75 to 2.95, includes 1: twelve wells per species replicate the direction, not the certainty. On these plates the human wells are the noisier on every readout but ISI CV, so the readout pattern that made P2 fail does not repeat either; we read neither pool's pattern beyond firing rate as settled.</w:t>
      </w:r>
    </w:p>
    <w:p>
      <w:pPr>
        <w:keepNext/>
        <w:spacing w:after="120"/>
      </w:pPr>
      <w:r>
        <w:rPr>
          <w:rFonts w:ascii="Calibri" w:hAnsi="Calibri"/>
          <w:b w:val="0"/>
          <w:i w:val="0"/>
          <w:color w:val="222222"/>
          <w:sz w:val="21"/>
        </w:rPr>
        <w:t>Every readout, both pools (SD of the split-half change in log2; R with its percentile interval from the well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05"/>
        <w:gridCol w:w="1868"/>
        <w:gridCol w:w="1396"/>
        <w:gridCol w:w="2330"/>
        <w:gridCol w:w="1396"/>
      </w:tblGrid>
      <w:tr>
        <w:trPr>
          <w:cantSplit/>
          <w:tblHeader/>
        </w:trPr>
        <w:tc>
          <w:tcPr>
            <w:tcW w:type="dxa" w:w="1505"/>
            <w:shd w:val="clear" w:color="auto" w:fill="1F4E79"/>
            <w:vAlign w:val="center"/>
          </w:tcPr>
          <w:p>
            <w:pPr>
              <w:keepNext/>
              <w:spacing w:after="0"/>
            </w:pPr>
            <w:r>
              <w:rPr>
                <w:rFonts w:ascii="Calibri" w:hAnsi="Calibri"/>
                <w:b/>
                <w:i w:val="0"/>
                <w:color w:val="FFFFFF"/>
                <w:sz w:val="20"/>
              </w:rPr>
              <w:t>readout</w:t>
            </w:r>
          </w:p>
        </w:tc>
        <w:tc>
          <w:tcPr>
            <w:tcW w:type="dxa" w:w="1868"/>
            <w:shd w:val="clear" w:color="auto" w:fill="1F4E79"/>
            <w:vAlign w:val="center"/>
          </w:tcPr>
          <w:p>
            <w:pPr>
              <w:keepNext/>
              <w:spacing w:after="0"/>
              <w:jc w:val="center"/>
            </w:pPr>
            <w:r>
              <w:rPr>
                <w:rFonts w:ascii="Calibri" w:hAnsi="Calibri"/>
                <w:b/>
                <w:i w:val="0"/>
                <w:color w:val="FFFFFF"/>
                <w:sz w:val="20"/>
              </w:rPr>
              <w:t>48-well baselines: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c>
          <w:tcPr>
            <w:tcW w:type="dxa" w:w="2330"/>
            <w:shd w:val="clear" w:color="auto" w:fill="1F4E79"/>
            <w:vAlign w:val="center"/>
          </w:tcPr>
          <w:p>
            <w:pPr>
              <w:keepNext/>
              <w:spacing w:after="0"/>
              <w:jc w:val="center"/>
            </w:pPr>
            <w:r>
              <w:rPr>
                <w:rFonts w:ascii="Calibri" w:hAnsi="Calibri"/>
                <w:b/>
                <w:i w:val="0"/>
                <w:color w:val="FFFFFF"/>
                <w:sz w:val="20"/>
              </w:rPr>
              <w:t>12-well developmental: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r>
      <w:tr>
        <w:trPr>
          <w:cantSplit/>
        </w:trPr>
        <w:tc>
          <w:tcPr>
            <w:tcW w:type="dxa" w:w="1505"/>
            <w:shd w:val="clear" w:color="auto" w:fill="FFFFFF"/>
            <w:vAlign w:val="center"/>
          </w:tcPr>
          <w:p>
            <w:pPr>
              <w:keepNext/>
              <w:spacing w:after="0"/>
            </w:pPr>
            <w:r>
              <w:rPr>
                <w:rFonts w:ascii="Calibri" w:hAnsi="Calibri"/>
                <w:b/>
                <w:i w:val="0"/>
                <w:color w:val="222222"/>
                <w:sz w:val="20"/>
              </w:rPr>
              <w:t>mfr hz</w:t>
            </w:r>
          </w:p>
        </w:tc>
        <w:tc>
          <w:tcPr>
            <w:tcW w:type="dxa" w:w="1868"/>
            <w:shd w:val="clear" w:color="auto" w:fill="FFFFFF"/>
            <w:vAlign w:val="center"/>
          </w:tcPr>
          <w:p>
            <w:pPr>
              <w:keepNext/>
              <w:spacing w:after="0"/>
              <w:jc w:val="center"/>
            </w:pPr>
            <w:r>
              <w:rPr>
                <w:rFonts w:ascii="Calibri" w:hAnsi="Calibri"/>
                <w:b w:val="0"/>
                <w:i w:val="0"/>
                <w:color w:val="222222"/>
                <w:sz w:val="20"/>
              </w:rPr>
              <w:t>0.21 / 0.10</w:t>
            </w:r>
          </w:p>
        </w:tc>
        <w:tc>
          <w:tcPr>
            <w:tcW w:type="dxa" w:w="1396"/>
            <w:shd w:val="clear" w:color="auto" w:fill="FFFFFF"/>
            <w:vAlign w:val="center"/>
          </w:tcPr>
          <w:p>
            <w:pPr>
              <w:keepNext/>
              <w:spacing w:after="0"/>
            </w:pPr>
            <w:r>
              <w:rPr>
                <w:rFonts w:ascii="Calibri" w:hAnsi="Calibri"/>
                <w:b w:val="0"/>
                <w:i w:val="0"/>
                <w:color w:val="222222"/>
                <w:sz w:val="20"/>
              </w:rPr>
              <w:t>2.06 (1.39 to 3.56)</w:t>
            </w:r>
          </w:p>
        </w:tc>
        <w:tc>
          <w:tcPr>
            <w:tcW w:type="dxa" w:w="2330"/>
            <w:shd w:val="clear" w:color="auto" w:fill="FFFFFF"/>
            <w:vAlign w:val="center"/>
          </w:tcPr>
          <w:p>
            <w:pPr>
              <w:keepNext/>
              <w:spacing w:after="0"/>
              <w:jc w:val="center"/>
            </w:pPr>
            <w:r>
              <w:rPr>
                <w:rFonts w:ascii="Calibri" w:hAnsi="Calibri"/>
                <w:b w:val="0"/>
                <w:i w:val="0"/>
                <w:color w:val="222222"/>
                <w:sz w:val="20"/>
              </w:rPr>
              <w:t>0.42 / 0.28</w:t>
            </w:r>
          </w:p>
        </w:tc>
        <w:tc>
          <w:tcPr>
            <w:tcW w:type="dxa" w:w="1396"/>
            <w:shd w:val="clear" w:color="auto" w:fill="FFFFFF"/>
            <w:vAlign w:val="center"/>
          </w:tcPr>
          <w:p>
            <w:pPr>
              <w:keepNext/>
              <w:spacing w:after="0"/>
            </w:pPr>
            <w:r>
              <w:rPr>
                <w:rFonts w:ascii="Calibri" w:hAnsi="Calibri"/>
                <w:b w:val="0"/>
                <w:i w:val="0"/>
                <w:color w:val="222222"/>
                <w:sz w:val="20"/>
              </w:rPr>
              <w:t>1.54 (0.75 to 2.94)</w:t>
            </w:r>
          </w:p>
        </w:tc>
      </w:tr>
      <w:tr>
        <w:trPr>
          <w:cantSplit/>
        </w:trPr>
        <w:tc>
          <w:tcPr>
            <w:tcW w:type="dxa" w:w="1505"/>
            <w:shd w:val="clear" w:color="auto" w:fill="F7F9FB"/>
            <w:vAlign w:val="center"/>
          </w:tcPr>
          <w:p>
            <w:pPr>
              <w:keepNext/>
              <w:spacing w:after="0"/>
            </w:pPr>
            <w:r>
              <w:rPr>
                <w:rFonts w:ascii="Calibri" w:hAnsi="Calibri"/>
                <w:b/>
                <w:i w:val="0"/>
                <w:color w:val="222222"/>
                <w:sz w:val="20"/>
              </w:rPr>
              <w:t>burst rate per min</w:t>
            </w:r>
          </w:p>
        </w:tc>
        <w:tc>
          <w:tcPr>
            <w:tcW w:type="dxa" w:w="1868"/>
            <w:shd w:val="clear" w:color="auto" w:fill="F7F9FB"/>
            <w:vAlign w:val="center"/>
          </w:tcPr>
          <w:p>
            <w:pPr>
              <w:keepNext/>
              <w:spacing w:after="0"/>
              <w:jc w:val="center"/>
            </w:pPr>
            <w:r>
              <w:rPr>
                <w:rFonts w:ascii="Calibri" w:hAnsi="Calibri"/>
                <w:b w:val="0"/>
                <w:i w:val="0"/>
                <w:color w:val="222222"/>
                <w:sz w:val="20"/>
              </w:rPr>
              <w:t>0.18 / 0.25</w:t>
            </w:r>
          </w:p>
        </w:tc>
        <w:tc>
          <w:tcPr>
            <w:tcW w:type="dxa" w:w="1396"/>
            <w:shd w:val="clear" w:color="auto" w:fill="F7F9FB"/>
            <w:vAlign w:val="center"/>
          </w:tcPr>
          <w:p>
            <w:pPr>
              <w:keepNext/>
              <w:spacing w:after="0"/>
            </w:pPr>
            <w:r>
              <w:rPr>
                <w:rFonts w:ascii="Calibri" w:hAnsi="Calibri"/>
                <w:b w:val="0"/>
                <w:i w:val="0"/>
                <w:color w:val="222222"/>
                <w:sz w:val="20"/>
              </w:rPr>
              <w:t>0.73 (0.49 to 1.15)</w:t>
            </w:r>
          </w:p>
        </w:tc>
        <w:tc>
          <w:tcPr>
            <w:tcW w:type="dxa" w:w="2330"/>
            <w:shd w:val="clear" w:color="auto" w:fill="F7F9FB"/>
            <w:vAlign w:val="center"/>
          </w:tcPr>
          <w:p>
            <w:pPr>
              <w:keepNext/>
              <w:spacing w:after="0"/>
              <w:jc w:val="center"/>
            </w:pPr>
            <w:r>
              <w:rPr>
                <w:rFonts w:ascii="Calibri" w:hAnsi="Calibri"/>
                <w:b w:val="0"/>
                <w:i w:val="0"/>
                <w:color w:val="222222"/>
                <w:sz w:val="20"/>
              </w:rPr>
              <w:t>0.50 / 0.23</w:t>
            </w:r>
          </w:p>
        </w:tc>
        <w:tc>
          <w:tcPr>
            <w:tcW w:type="dxa" w:w="1396"/>
            <w:shd w:val="clear" w:color="auto" w:fill="F7F9FB"/>
            <w:vAlign w:val="center"/>
          </w:tcPr>
          <w:p>
            <w:pPr>
              <w:keepNext/>
              <w:spacing w:after="0"/>
            </w:pPr>
            <w:r>
              <w:rPr>
                <w:rFonts w:ascii="Calibri" w:hAnsi="Calibri"/>
                <w:b w:val="0"/>
                <w:i w:val="0"/>
                <w:color w:val="222222"/>
                <w:sz w:val="20"/>
              </w:rPr>
              <w:t>2.23 (1.57 to 3.45)</w:t>
            </w:r>
          </w:p>
        </w:tc>
      </w:tr>
      <w:tr>
        <w:trPr>
          <w:cantSplit/>
        </w:trPr>
        <w:tc>
          <w:tcPr>
            <w:tcW w:type="dxa" w:w="1505"/>
            <w:shd w:val="clear" w:color="auto" w:fill="FFFFFF"/>
            <w:vAlign w:val="center"/>
          </w:tcPr>
          <w:p>
            <w:pPr>
              <w:keepNext/>
              <w:spacing w:after="0"/>
            </w:pPr>
            <w:r>
              <w:rPr>
                <w:rFonts w:ascii="Calibri" w:hAnsi="Calibri"/>
                <w:b/>
                <w:i w:val="0"/>
                <w:color w:val="222222"/>
                <w:sz w:val="20"/>
              </w:rPr>
              <w:t>burst duration s</w:t>
            </w:r>
          </w:p>
        </w:tc>
        <w:tc>
          <w:tcPr>
            <w:tcW w:type="dxa" w:w="1868"/>
            <w:shd w:val="clear" w:color="auto" w:fill="FFFFFF"/>
            <w:vAlign w:val="center"/>
          </w:tcPr>
          <w:p>
            <w:pPr>
              <w:keepNext/>
              <w:spacing w:after="0"/>
              <w:jc w:val="center"/>
            </w:pPr>
            <w:r>
              <w:rPr>
                <w:rFonts w:ascii="Calibri" w:hAnsi="Calibri"/>
                <w:b w:val="0"/>
                <w:i w:val="0"/>
                <w:color w:val="222222"/>
                <w:sz w:val="20"/>
              </w:rPr>
              <w:t>0.11 / 0.08</w:t>
            </w:r>
          </w:p>
        </w:tc>
        <w:tc>
          <w:tcPr>
            <w:tcW w:type="dxa" w:w="1396"/>
            <w:shd w:val="clear" w:color="auto" w:fill="FFFFFF"/>
            <w:vAlign w:val="center"/>
          </w:tcPr>
          <w:p>
            <w:pPr>
              <w:keepNext/>
              <w:spacing w:after="0"/>
            </w:pPr>
            <w:r>
              <w:rPr>
                <w:rFonts w:ascii="Calibri" w:hAnsi="Calibri"/>
                <w:b w:val="0"/>
                <w:i w:val="0"/>
                <w:color w:val="222222"/>
                <w:sz w:val="20"/>
              </w:rPr>
              <w:t>1.35 (0.82 to 2.43)</w:t>
            </w:r>
          </w:p>
        </w:tc>
        <w:tc>
          <w:tcPr>
            <w:tcW w:type="dxa" w:w="2330"/>
            <w:shd w:val="clear" w:color="auto" w:fill="FFFFFF"/>
            <w:vAlign w:val="center"/>
          </w:tcPr>
          <w:p>
            <w:pPr>
              <w:keepNext/>
              <w:spacing w:after="0"/>
              <w:jc w:val="center"/>
            </w:pPr>
            <w:r>
              <w:rPr>
                <w:rFonts w:ascii="Calibri" w:hAnsi="Calibri"/>
                <w:b w:val="0"/>
                <w:i w:val="0"/>
                <w:color w:val="222222"/>
                <w:sz w:val="20"/>
              </w:rPr>
              <w:t>0.37 / 0.21</w:t>
            </w:r>
          </w:p>
        </w:tc>
        <w:tc>
          <w:tcPr>
            <w:tcW w:type="dxa" w:w="1396"/>
            <w:shd w:val="clear" w:color="auto" w:fill="FFFFFF"/>
            <w:vAlign w:val="center"/>
          </w:tcPr>
          <w:p>
            <w:pPr>
              <w:keepNext/>
              <w:spacing w:after="0"/>
            </w:pPr>
            <w:r>
              <w:rPr>
                <w:rFonts w:ascii="Calibri" w:hAnsi="Calibri"/>
                <w:b w:val="0"/>
                <w:i w:val="0"/>
                <w:color w:val="222222"/>
                <w:sz w:val="20"/>
              </w:rPr>
              <w:t>1.73 (0.55 to 3.65)</w:t>
            </w:r>
          </w:p>
        </w:tc>
      </w:tr>
      <w:tr>
        <w:trPr>
          <w:cantSplit/>
        </w:trPr>
        <w:tc>
          <w:tcPr>
            <w:tcW w:type="dxa" w:w="1505"/>
            <w:shd w:val="clear" w:color="auto" w:fill="F7F9FB"/>
            <w:vAlign w:val="center"/>
          </w:tcPr>
          <w:p>
            <w:pPr>
              <w:keepNext/>
              <w:spacing w:after="0"/>
            </w:pPr>
            <w:r>
              <w:rPr>
                <w:rFonts w:ascii="Calibri" w:hAnsi="Calibri"/>
                <w:b/>
                <w:i w:val="0"/>
                <w:color w:val="222222"/>
                <w:sz w:val="20"/>
              </w:rPr>
              <w:t>spikes per burst</w:t>
            </w:r>
          </w:p>
        </w:tc>
        <w:tc>
          <w:tcPr>
            <w:tcW w:type="dxa" w:w="1868"/>
            <w:shd w:val="clear" w:color="auto" w:fill="F7F9FB"/>
            <w:vAlign w:val="center"/>
          </w:tcPr>
          <w:p>
            <w:pPr>
              <w:keepNext/>
              <w:spacing w:after="0"/>
              <w:jc w:val="center"/>
            </w:pPr>
            <w:r>
              <w:rPr>
                <w:rFonts w:ascii="Calibri" w:hAnsi="Calibri"/>
                <w:b w:val="0"/>
                <w:i w:val="0"/>
                <w:color w:val="222222"/>
                <w:sz w:val="20"/>
              </w:rPr>
              <w:t>0.16 / 0.08</w:t>
            </w:r>
          </w:p>
        </w:tc>
        <w:tc>
          <w:tcPr>
            <w:tcW w:type="dxa" w:w="1396"/>
            <w:shd w:val="clear" w:color="auto" w:fill="F7F9FB"/>
            <w:vAlign w:val="center"/>
          </w:tcPr>
          <w:p>
            <w:pPr>
              <w:keepNext/>
              <w:spacing w:after="0"/>
            </w:pPr>
            <w:r>
              <w:rPr>
                <w:rFonts w:ascii="Calibri" w:hAnsi="Calibri"/>
                <w:b w:val="0"/>
                <w:i w:val="0"/>
                <w:color w:val="222222"/>
                <w:sz w:val="20"/>
              </w:rPr>
              <w:t>2.07 (1.23 to 3.75)</w:t>
            </w:r>
          </w:p>
        </w:tc>
        <w:tc>
          <w:tcPr>
            <w:tcW w:type="dxa" w:w="2330"/>
            <w:shd w:val="clear" w:color="auto" w:fill="F7F9FB"/>
            <w:vAlign w:val="center"/>
          </w:tcPr>
          <w:p>
            <w:pPr>
              <w:keepNext/>
              <w:spacing w:after="0"/>
              <w:jc w:val="center"/>
            </w:pPr>
            <w:r>
              <w:rPr>
                <w:rFonts w:ascii="Calibri" w:hAnsi="Calibri"/>
                <w:b w:val="0"/>
                <w:i w:val="0"/>
                <w:color w:val="222222"/>
                <w:sz w:val="20"/>
              </w:rPr>
              <w:t>0.41 / 0.25</w:t>
            </w:r>
          </w:p>
        </w:tc>
        <w:tc>
          <w:tcPr>
            <w:tcW w:type="dxa" w:w="1396"/>
            <w:shd w:val="clear" w:color="auto" w:fill="F7F9FB"/>
            <w:vAlign w:val="center"/>
          </w:tcPr>
          <w:p>
            <w:pPr>
              <w:keepNext/>
              <w:spacing w:after="0"/>
            </w:pPr>
            <w:r>
              <w:rPr>
                <w:rFonts w:ascii="Calibri" w:hAnsi="Calibri"/>
                <w:b w:val="0"/>
                <w:i w:val="0"/>
                <w:color w:val="222222"/>
                <w:sz w:val="20"/>
              </w:rPr>
              <w:t>1.61 (0.60 to 3.16)</w:t>
            </w:r>
          </w:p>
        </w:tc>
      </w:tr>
      <w:tr>
        <w:trPr>
          <w:cantSplit/>
        </w:trPr>
        <w:tc>
          <w:tcPr>
            <w:tcW w:type="dxa" w:w="1505"/>
            <w:shd w:val="clear" w:color="auto" w:fill="FFFFFF"/>
            <w:vAlign w:val="center"/>
          </w:tcPr>
          <w:p>
            <w:pPr>
              <w:keepNext/>
              <w:spacing w:after="0"/>
            </w:pPr>
            <w:r>
              <w:rPr>
                <w:rFonts w:ascii="Calibri" w:hAnsi="Calibri"/>
                <w:b/>
                <w:i w:val="0"/>
                <w:color w:val="222222"/>
                <w:sz w:val="20"/>
              </w:rPr>
              <w:t>pct spikes in bursts</w:t>
            </w:r>
          </w:p>
        </w:tc>
        <w:tc>
          <w:tcPr>
            <w:tcW w:type="dxa" w:w="1868"/>
            <w:shd w:val="clear" w:color="auto" w:fill="FFFFFF"/>
            <w:vAlign w:val="center"/>
          </w:tcPr>
          <w:p>
            <w:pPr>
              <w:keepNext/>
              <w:spacing w:after="0"/>
              <w:jc w:val="center"/>
            </w:pPr>
            <w:r>
              <w:rPr>
                <w:rFonts w:ascii="Calibri" w:hAnsi="Calibri"/>
                <w:b w:val="0"/>
                <w:i w:val="0"/>
                <w:color w:val="222222"/>
                <w:sz w:val="20"/>
              </w:rPr>
              <w:t>0.07 / 0.20</w:t>
            </w:r>
          </w:p>
        </w:tc>
        <w:tc>
          <w:tcPr>
            <w:tcW w:type="dxa" w:w="1396"/>
            <w:shd w:val="clear" w:color="auto" w:fill="FFFFFF"/>
            <w:vAlign w:val="center"/>
          </w:tcPr>
          <w:p>
            <w:pPr>
              <w:keepNext/>
              <w:spacing w:after="0"/>
            </w:pPr>
            <w:r>
              <w:rPr>
                <w:rFonts w:ascii="Calibri" w:hAnsi="Calibri"/>
                <w:b w:val="0"/>
                <w:i w:val="0"/>
                <w:color w:val="222222"/>
                <w:sz w:val="20"/>
              </w:rPr>
              <w:t>0.35 (0.21 to 0.65)</w:t>
            </w:r>
          </w:p>
        </w:tc>
        <w:tc>
          <w:tcPr>
            <w:tcW w:type="dxa" w:w="2330"/>
            <w:shd w:val="clear" w:color="auto" w:fill="FFFFFF"/>
            <w:vAlign w:val="center"/>
          </w:tcPr>
          <w:p>
            <w:pPr>
              <w:keepNext/>
              <w:spacing w:after="0"/>
              <w:jc w:val="center"/>
            </w:pPr>
            <w:r>
              <w:rPr>
                <w:rFonts w:ascii="Calibri" w:hAnsi="Calibri"/>
                <w:b w:val="0"/>
                <w:i w:val="0"/>
                <w:color w:val="222222"/>
                <w:sz w:val="20"/>
              </w:rPr>
              <w:t>0.47 / 0.11</w:t>
            </w:r>
          </w:p>
        </w:tc>
        <w:tc>
          <w:tcPr>
            <w:tcW w:type="dxa" w:w="1396"/>
            <w:shd w:val="clear" w:color="auto" w:fill="FFFFFF"/>
            <w:vAlign w:val="center"/>
          </w:tcPr>
          <w:p>
            <w:pPr>
              <w:keepNext/>
              <w:spacing w:after="0"/>
            </w:pPr>
            <w:r>
              <w:rPr>
                <w:rFonts w:ascii="Calibri" w:hAnsi="Calibri"/>
                <w:b w:val="0"/>
                <w:i w:val="0"/>
                <w:color w:val="222222"/>
                <w:sz w:val="20"/>
              </w:rPr>
              <w:t>4.14 (2.36 to 9.56)</w:t>
            </w:r>
          </w:p>
        </w:tc>
      </w:tr>
      <w:tr>
        <w:trPr>
          <w:cantSplit/>
        </w:trPr>
        <w:tc>
          <w:tcPr>
            <w:tcW w:type="dxa" w:w="1505"/>
            <w:shd w:val="clear" w:color="auto" w:fill="F7F9FB"/>
            <w:vAlign w:val="center"/>
          </w:tcPr>
          <w:p>
            <w:pPr>
              <w:keepNext/>
              <w:spacing w:after="0"/>
            </w:pPr>
            <w:r>
              <w:rPr>
                <w:rFonts w:ascii="Calibri" w:hAnsi="Calibri"/>
                <w:b/>
                <w:i w:val="0"/>
                <w:color w:val="222222"/>
                <w:sz w:val="20"/>
              </w:rPr>
              <w:t>network burst rate per min</w:t>
            </w:r>
          </w:p>
        </w:tc>
        <w:tc>
          <w:tcPr>
            <w:tcW w:type="dxa" w:w="1868"/>
            <w:shd w:val="clear" w:color="auto" w:fill="F7F9FB"/>
            <w:vAlign w:val="center"/>
          </w:tcPr>
          <w:p>
            <w:pPr>
              <w:keepNext/>
              <w:spacing w:after="0"/>
              <w:jc w:val="center"/>
            </w:pPr>
            <w:r>
              <w:rPr>
                <w:rFonts w:ascii="Calibri" w:hAnsi="Calibri"/>
                <w:b w:val="0"/>
                <w:i w:val="0"/>
                <w:color w:val="222222"/>
                <w:sz w:val="20"/>
              </w:rPr>
              <w:t>1.01 / 1.49</w:t>
            </w:r>
          </w:p>
        </w:tc>
        <w:tc>
          <w:tcPr>
            <w:tcW w:type="dxa" w:w="1396"/>
            <w:shd w:val="clear" w:color="auto" w:fill="F7F9FB"/>
            <w:vAlign w:val="center"/>
          </w:tcPr>
          <w:p>
            <w:pPr>
              <w:keepNext/>
              <w:spacing w:after="0"/>
            </w:pPr>
            <w:r>
              <w:rPr>
                <w:rFonts w:ascii="Calibri" w:hAnsi="Calibri"/>
                <w:b w:val="0"/>
                <w:i w:val="0"/>
                <w:color w:val="222222"/>
                <w:sz w:val="20"/>
              </w:rPr>
              <w:t>0.68 (0.37 to 1.22)</w:t>
            </w:r>
          </w:p>
        </w:tc>
        <w:tc>
          <w:tcPr>
            <w:tcW w:type="dxa" w:w="2330"/>
            <w:shd w:val="clear" w:color="auto" w:fill="F7F9FB"/>
            <w:vAlign w:val="center"/>
          </w:tcPr>
          <w:p>
            <w:pPr>
              <w:keepNext/>
              <w:spacing w:after="0"/>
              <w:jc w:val="center"/>
            </w:pPr>
            <w:r>
              <w:rPr>
                <w:rFonts w:ascii="Calibri" w:hAnsi="Calibri"/>
                <w:b w:val="0"/>
                <w:i w:val="0"/>
                <w:color w:val="222222"/>
                <w:sz w:val="20"/>
              </w:rPr>
              <w:t>1.62 / 0.65</w:t>
            </w:r>
          </w:p>
        </w:tc>
        <w:tc>
          <w:tcPr>
            <w:tcW w:type="dxa" w:w="1396"/>
            <w:shd w:val="clear" w:color="auto" w:fill="F7F9FB"/>
            <w:vAlign w:val="center"/>
          </w:tcPr>
          <w:p>
            <w:pPr>
              <w:keepNext/>
              <w:spacing w:after="0"/>
            </w:pPr>
            <w:r>
              <w:rPr>
                <w:rFonts w:ascii="Calibri" w:hAnsi="Calibri"/>
                <w:b w:val="0"/>
                <w:i w:val="0"/>
                <w:color w:val="222222"/>
                <w:sz w:val="20"/>
              </w:rPr>
              <w:t>2.47 (1.46 to 6.41)</w:t>
            </w:r>
          </w:p>
        </w:tc>
      </w:tr>
      <w:tr>
        <w:trPr>
          <w:cantSplit/>
        </w:trPr>
        <w:tc>
          <w:tcPr>
            <w:tcW w:type="dxa" w:w="1505"/>
            <w:shd w:val="clear" w:color="auto" w:fill="FFFFFF"/>
            <w:vAlign w:val="center"/>
          </w:tcPr>
          <w:p>
            <w:pPr>
              <w:keepNext/>
              <w:spacing w:after="0"/>
            </w:pPr>
            <w:r>
              <w:rPr>
                <w:rFonts w:ascii="Calibri" w:hAnsi="Calibri"/>
                <w:b/>
                <w:i w:val="0"/>
                <w:color w:val="222222"/>
                <w:sz w:val="20"/>
              </w:rPr>
              <w:t>synchrony index</w:t>
            </w:r>
          </w:p>
        </w:tc>
        <w:tc>
          <w:tcPr>
            <w:tcW w:type="dxa" w:w="1868"/>
            <w:shd w:val="clear" w:color="auto" w:fill="FFFFFF"/>
            <w:vAlign w:val="center"/>
          </w:tcPr>
          <w:p>
            <w:pPr>
              <w:keepNext/>
              <w:spacing w:after="0"/>
              <w:jc w:val="center"/>
            </w:pPr>
            <w:r>
              <w:rPr>
                <w:rFonts w:ascii="Calibri" w:hAnsi="Calibri"/>
                <w:b w:val="0"/>
                <w:i w:val="0"/>
                <w:color w:val="222222"/>
                <w:sz w:val="20"/>
              </w:rPr>
              <w:t>0.19 / 0.46</w:t>
            </w:r>
          </w:p>
        </w:tc>
        <w:tc>
          <w:tcPr>
            <w:tcW w:type="dxa" w:w="1396"/>
            <w:shd w:val="clear" w:color="auto" w:fill="FFFFFF"/>
            <w:vAlign w:val="center"/>
          </w:tcPr>
          <w:p>
            <w:pPr>
              <w:keepNext/>
              <w:spacing w:after="0"/>
            </w:pPr>
            <w:r>
              <w:rPr>
                <w:rFonts w:ascii="Calibri" w:hAnsi="Calibri"/>
                <w:b w:val="0"/>
                <w:i w:val="0"/>
                <w:color w:val="222222"/>
                <w:sz w:val="20"/>
              </w:rPr>
              <w:t>0.42 (0.23 to 0.99)</w:t>
            </w:r>
          </w:p>
        </w:tc>
        <w:tc>
          <w:tcPr>
            <w:tcW w:type="dxa" w:w="2330"/>
            <w:shd w:val="clear" w:color="auto" w:fill="FFFFFF"/>
            <w:vAlign w:val="center"/>
          </w:tcPr>
          <w:p>
            <w:pPr>
              <w:keepNext/>
              <w:spacing w:after="0"/>
              <w:jc w:val="center"/>
            </w:pPr>
            <w:r>
              <w:rPr>
                <w:rFonts w:ascii="Calibri" w:hAnsi="Calibri"/>
                <w:b w:val="0"/>
                <w:i w:val="0"/>
                <w:color w:val="222222"/>
                <w:sz w:val="20"/>
              </w:rPr>
              <w:t>0.37 / 0.22</w:t>
            </w:r>
          </w:p>
        </w:tc>
        <w:tc>
          <w:tcPr>
            <w:tcW w:type="dxa" w:w="1396"/>
            <w:shd w:val="clear" w:color="auto" w:fill="FFFFFF"/>
            <w:vAlign w:val="center"/>
          </w:tcPr>
          <w:p>
            <w:pPr>
              <w:keepNext/>
              <w:spacing w:after="0"/>
            </w:pPr>
            <w:r>
              <w:rPr>
                <w:rFonts w:ascii="Calibri" w:hAnsi="Calibri"/>
                <w:b w:val="0"/>
                <w:i w:val="0"/>
                <w:color w:val="222222"/>
                <w:sz w:val="20"/>
              </w:rPr>
              <w:t>1.64 (1.16 to 2.80)</w:t>
            </w:r>
          </w:p>
        </w:tc>
      </w:tr>
      <w:tr>
        <w:trPr>
          <w:cantSplit/>
        </w:trPr>
        <w:tc>
          <w:tcPr>
            <w:tcW w:type="dxa" w:w="1505"/>
            <w:shd w:val="clear" w:color="auto" w:fill="F7F9FB"/>
            <w:vAlign w:val="center"/>
          </w:tcPr>
          <w:p>
            <w:pPr>
              <w:keepNext w:val="0"/>
              <w:spacing w:after="0"/>
            </w:pPr>
            <w:r>
              <w:rPr>
                <w:rFonts w:ascii="Calibri" w:hAnsi="Calibri"/>
                <w:b/>
                <w:i w:val="0"/>
                <w:color w:val="222222"/>
                <w:sz w:val="20"/>
              </w:rPr>
              <w:t>isi cv</w:t>
            </w:r>
          </w:p>
        </w:tc>
        <w:tc>
          <w:tcPr>
            <w:tcW w:type="dxa" w:w="1868"/>
            <w:shd w:val="clear" w:color="auto" w:fill="F7F9FB"/>
            <w:vAlign w:val="center"/>
          </w:tcPr>
          <w:p>
            <w:pPr>
              <w:keepNext w:val="0"/>
              <w:spacing w:after="0"/>
              <w:jc w:val="center"/>
            </w:pPr>
            <w:r>
              <w:rPr>
                <w:rFonts w:ascii="Calibri" w:hAnsi="Calibri"/>
                <w:b w:val="0"/>
                <w:i w:val="0"/>
                <w:color w:val="222222"/>
                <w:sz w:val="20"/>
              </w:rPr>
              <w:t>0.11 / 0.03</w:t>
            </w:r>
          </w:p>
        </w:tc>
        <w:tc>
          <w:tcPr>
            <w:tcW w:type="dxa" w:w="1396"/>
            <w:shd w:val="clear" w:color="auto" w:fill="F7F9FB"/>
            <w:vAlign w:val="center"/>
          </w:tcPr>
          <w:p>
            <w:pPr>
              <w:keepNext w:val="0"/>
              <w:spacing w:after="0"/>
            </w:pPr>
            <w:r>
              <w:rPr>
                <w:rFonts w:ascii="Calibri" w:hAnsi="Calibri"/>
                <w:b w:val="0"/>
                <w:i w:val="0"/>
                <w:color w:val="222222"/>
                <w:sz w:val="20"/>
              </w:rPr>
              <w:t>3.11 (2.01 to 4.36)</w:t>
            </w:r>
          </w:p>
        </w:tc>
        <w:tc>
          <w:tcPr>
            <w:tcW w:type="dxa" w:w="2330"/>
            <w:shd w:val="clear" w:color="auto" w:fill="F7F9FB"/>
            <w:vAlign w:val="center"/>
          </w:tcPr>
          <w:p>
            <w:pPr>
              <w:keepNext w:val="0"/>
              <w:spacing w:after="0"/>
              <w:jc w:val="center"/>
            </w:pPr>
            <w:r>
              <w:rPr>
                <w:rFonts w:ascii="Calibri" w:hAnsi="Calibri"/>
                <w:b w:val="0"/>
                <w:i w:val="0"/>
                <w:color w:val="222222"/>
                <w:sz w:val="20"/>
              </w:rPr>
              <w:t>0.15 / 0.22</w:t>
            </w:r>
          </w:p>
        </w:tc>
        <w:tc>
          <w:tcPr>
            <w:tcW w:type="dxa" w:w="1396"/>
            <w:shd w:val="clear" w:color="auto" w:fill="F7F9FB"/>
            <w:vAlign w:val="center"/>
          </w:tcPr>
          <w:p>
            <w:pPr>
              <w:keepNext w:val="0"/>
              <w:spacing w:after="0"/>
            </w:pPr>
            <w:r>
              <w:rPr>
                <w:rFonts w:ascii="Calibri" w:hAnsi="Calibri"/>
                <w:b w:val="0"/>
                <w:i w:val="0"/>
                <w:color w:val="222222"/>
                <w:sz w:val="20"/>
              </w:rPr>
              <w:t>0.70 (0.50 to 1.10)</w:t>
            </w:r>
          </w:p>
        </w:tc>
      </w:tr>
    </w:tbl>
    <w:p>
      <w:pPr>
        <w:spacing w:after="80"/>
      </w:pPr>
    </w:p>
    <w:p>
      <w:pPr>
        <w:spacing w:after="120"/>
      </w:pPr>
      <w:r>
        <w:rPr>
          <w:rFonts w:ascii="Calibri" w:hAnsi="Calibri"/>
          <w:b w:val="0"/>
          <w:i w:val="0"/>
          <w:color w:val="222222"/>
          <w:sz w:val="21"/>
        </w:rPr>
        <w:t>Network burst rate is unscored for a well whose first half has no network burst: that removes 16 rat wells from the baselines and 50 human recordings from the developmental pool, so that readout rests on fewer, and more active, wells than the others.</w:t>
      </w:r>
    </w:p>
    <w:p>
      <w:pPr>
        <w:spacing w:after="120"/>
      </w:pPr>
      <w:r>
        <w:rPr>
          <w:rFonts w:ascii="Calibri" w:hAnsi="Calibri"/>
          <w:b/>
          <w:i w:val="0"/>
          <w:color w:val="156082"/>
          <w:sz w:val="21"/>
        </w:rPr>
        <w:t>Wells needed: a lower bound, reported and not tested.</w:t>
      </w:r>
      <w:r>
        <w:rPr>
          <w:rFonts w:ascii="Calibri" w:hAnsi="Calibri"/>
          <w:b w:val="0"/>
          <w:i w:val="0"/>
          <w:color w:val="222222"/>
          <w:sz w:val="21"/>
        </w:rPr>
        <w:t xml:space="preserve"> From the baselines' firing-rate SD, a same-session comparison at 5% false alarms and 80% power needs at least 7 human wells per arm to detect a 20% fall in firing rate, against at least 2 rat wells; a 50% fall needs at least 1 human and 1 rat well. These are </w:t>
      </w:r>
      <w:r>
        <w:rPr>
          <w:rFonts w:ascii="Calibri" w:hAnsi="Calibri"/>
          <w:b/>
          <w:i w:val="0"/>
          <w:color w:val="222222"/>
          <w:sz w:val="21"/>
        </w:rPr>
        <w:t>lower bounds</w:t>
      </w:r>
      <w:r>
        <w:rPr>
          <w:rFonts w:ascii="Calibri" w:hAnsi="Calibri"/>
          <w:b w:val="0"/>
          <w:i w:val="0"/>
          <w:color w:val="222222"/>
          <w:sz w:val="21"/>
        </w:rPr>
        <w:t>: noise within one untreated recording leaves out handling, compound addition and the day-to-day variation that §32's vehicle wells include, so the numbers a real assay needs should be larger, and they are not to be set beside §32's table, which measures a different noise. What carries over is the ratio: on these data a human iPSC firing-rate readout needed more wells than a rat one for the same change. The follow-up below finds that ratio is mostly a difference in settling, which bears on whether a lab should add wells or wait longer before dosing.</w:t>
      </w:r>
    </w:p>
    <w:p>
      <w:pPr>
        <w:spacing w:after="120"/>
      </w:pPr>
      <w:r>
        <w:rPr>
          <w:rFonts w:ascii="Calibri" w:hAnsi="Calibri"/>
          <w:b/>
          <w:i w:val="0"/>
          <w:color w:val="156082"/>
          <w:sz w:val="21"/>
        </w:rPr>
        <w:t>The assumption this rests on, and the check (registered).</w:t>
      </w:r>
      <w:r>
        <w:rPr>
          <w:rFonts w:ascii="Calibri" w:hAnsi="Calibri"/>
          <w:b w:val="0"/>
          <w:i w:val="0"/>
          <w:color w:val="222222"/>
          <w:sz w:val="21"/>
        </w:rPr>
        <w:t xml:space="preserve"> Fewer spikes give noisier rates, and the two species fire at different rates, so a species difference could be a firing-rate difference. Restricting the baselines to wells whose full-recording firing rate lies inside both species' 10th-90th percentile ranges (3.53 to 4.89 Hz) keeps 7 human and 14 rat wells and gives R = 4.62 (2.19 to 7.89), on the same side of 1 as the full estimate (other side of one: False). At matched firing rates the human wells are, if anything, noisier, though seven wells is few. Two further readings, descriptive and added after the first run: the usable human wells do not have fewer active electrodes than the rat ones (median 16 against 15), so averaging over fewer electrodes does not explain the difference; and both species' firing rate falls from the first half to the second, the human more (mean d −0.32 against −0.17). A fall shared by every well does not enter the SD, but wells that settle at different speeds after the plate goes into the reader would. The registered follow-up below (D35) measured this: on the human baseline nearly all of the split-half spread is each well's own trend over the recording, and the wells differ in how far their firing rate falls early on, so what this section measures for firing rate is mostly uneven settling, not steady-state noise.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in the results under </w:t>
      </w:r>
      <w:r>
        <w:rPr>
          <w:rFonts w:ascii="Consolas" w:hAnsi="Consolas"/>
          <w:b w:val="0"/>
          <w:i w:val="0"/>
          <w:color w:val="222222"/>
          <w:sz w:val="19"/>
        </w:rPr>
        <w:t>implementation_notes</w:t>
      </w:r>
      <w:r>
        <w:rPr>
          <w:rFonts w:ascii="Calibri" w:hAnsi="Calibri"/>
          <w:b w:val="0"/>
          <w:i w:val="0"/>
          <w:color w:val="222222"/>
          <w:sz w:val="21"/>
        </w:rPr>
        <w:t>: a spike exactly at the cut starts the second half; P1 needs the interval's lower end strictly above 1 and P3 a point estimate strictly above 1; P2 is judged on the primary pool with the SD; well counts are distinct wells (plate and well), and on the developmental plates the SD pools all of a species' usable recordings while the bootstrap draws whole wells; the developmental plates' noisy-electrode lists are read from the column for each recording's DIV; synchrony (STTC) can be negative, and a non-positive second half is floored like any other fall; each interval draws from its own generator with the registered seed; and the overlap check uses the usable baseline wells, with percentile ends included.</w:t>
      </w:r>
    </w:p>
    <w:p>
      <w:pPr>
        <w:keepNext/>
        <w:spacing w:before="240" w:after="60"/>
      </w:pPr>
      <w:r>
        <w:rPr>
          <w:rFonts w:ascii="Calibri" w:hAnsi="Calibri"/>
          <w:b/>
          <w:i w:val="0"/>
          <w:color w:val="1F4E79"/>
          <w:sz w:val="23"/>
        </w:rPr>
        <w:t>Registered follow-up: settling or steady noise?</w:t>
      </w:r>
    </w:p>
    <w:p>
      <w:pPr>
        <w:keepNext/>
        <w:spacing w:after="120"/>
      </w:pPr>
      <w:r>
        <w:rPr>
          <w:rFonts w:ascii="Calibri" w:hAnsi="Calibri"/>
          <w:b w:val="0"/>
          <w:i w:val="0"/>
          <w:color w:val="222222"/>
          <w:sz w:val="21"/>
        </w:rPr>
        <w:t xml:space="preserve">The split-half change cannot tell a well that wobbles steadily from a well that is still settling after the plate went into the reader. The two call for different fixes in an assay, so we registered a test that separates them (decision D35, </w:t>
      </w:r>
      <w:r>
        <w:rPr>
          <w:rFonts w:ascii="Consolas" w:hAnsi="Consolas"/>
          <w:b w:val="0"/>
          <w:i w:val="0"/>
          <w:color w:val="222222"/>
          <w:sz w:val="19"/>
        </w:rPr>
        <w:t>preregistration/hpsc_settling.json</w:t>
      </w:r>
      <w:r>
        <w:rPr>
          <w:rFonts w:ascii="Calibri" w:hAnsi="Calibri"/>
          <w:b w:val="0"/>
          <w:i w:val="0"/>
          <w:color w:val="222222"/>
          <w:sz w:val="21"/>
        </w:rPr>
        <w:t>, committed before any window shorter than half a recording was computed; the code and its tests were committed before the first real-data run). Same baselines, same usable wells as above (24 human, 38 rat). Each 30-minute recording is cut into six 5-minute windows; per well, the firing rate is counted on one fixed set of electrodes (those active over the whole recording under the extractor's own rule), so a changing electrode set cannot move it. A straight line fitted to each well's six log2 rates gives its slope b (its settling, in log2 per window) and its residual SD s (the scatter around its own line). The split-half change then splits exactly into a trend part, 3b, and a residual part.</w:t>
      </w:r>
    </w:p>
    <w:p>
      <w:pPr>
        <w:keepNext/>
        <w:spacing w:before="120" w:after="40"/>
        <w:jc w:val="center"/>
      </w:pPr>
      <w:r>
        <w:drawing>
          <wp:inline xmlns:a="http://schemas.openxmlformats.org/drawingml/2006/main" xmlns:pic="http://schemas.openxmlformats.org/drawingml/2006/picture">
            <wp:extent cx="5394960" cy="1501189"/>
            <wp:docPr id="28" name="Picture 28"/>
            <wp:cNvGraphicFramePr>
              <a:graphicFrameLocks noChangeAspect="1"/>
            </wp:cNvGraphicFramePr>
            <a:graphic>
              <a:graphicData uri="http://schemas.openxmlformats.org/drawingml/2006/picture">
                <pic:pic>
                  <pic:nvPicPr>
                    <pic:cNvPr id="0" name="hpsc_settling_real.png"/>
                    <pic:cNvPicPr/>
                  </pic:nvPicPr>
                  <pic:blipFill>
                    <a:blip r:embed="rId40"/>
                    <a:stretch>
                      <a:fillRect/>
                    </a:stretch>
                  </pic:blipFill>
                  <pic:spPr>
                    <a:xfrm>
                      <a:off x="0" y="0"/>
                      <a:ext cx="5394960" cy="1501189"/>
                    </a:xfrm>
                    <a:prstGeom prst="rect"/>
                  </pic:spPr>
                </pic:pic>
              </a:graphicData>
            </a:graphic>
          </wp:inline>
        </w:drawing>
      </w:r>
    </w:p>
    <w:p>
      <w:pPr>
        <w:spacing w:after="200"/>
        <w:jc w:val="center"/>
      </w:pPr>
      <w:r>
        <w:rPr>
          <w:rFonts w:ascii="Calibri" w:hAnsi="Calibri"/>
          <w:b/>
          <w:i/>
          <w:color w:val="222222"/>
          <w:sz w:val="17"/>
        </w:rPr>
        <w:t xml:space="preserve">Figure 28. </w:t>
      </w:r>
      <w:r>
        <w:rPr>
          <w:rFonts w:ascii="Calibri" w:hAnsi="Calibri"/>
          <w:b w:val="0"/>
          <w:i/>
          <w:color w:val="222222"/>
          <w:sz w:val="17"/>
        </w:rPr>
        <w:t>REAL data, Kapucu 2022, one lab. Left two panels: each usable well's log2 firing rate over six 5-minute windows on a fixed electrode set (faint), with the median rate per window (black), human iPSC and rat. Third: each well's within-recording slope. Right: each well's split-half change against its trend part (3b); points on the dashed line are all trend.</w:t>
      </w:r>
    </w:p>
    <w:p>
      <w:pPr>
        <w:spacing w:after="120"/>
      </w:pPr>
      <w:r>
        <w:rPr>
          <w:rFonts w:ascii="Calibri" w:hAnsi="Calibri"/>
          <w:b/>
          <w:i w:val="0"/>
          <w:color w:val="156082"/>
          <w:sz w:val="21"/>
        </w:rPr>
        <w:t>All three registered predictions pass; the registered linearity check fails for the human wells, and that changes how two of them read.</w:t>
      </w:r>
    </w:p>
    <w:p>
      <w:pPr>
        <w:spacing w:after="120"/>
        <w:ind w:left="432" w:hanging="259"/>
      </w:pPr>
      <w:r>
        <w:rPr>
          <w:rFonts w:ascii="Calibri" w:hAnsi="Calibri"/>
          <w:b w:val="0"/>
          <w:i w:val="0"/>
          <w:color w:val="222222"/>
          <w:sz w:val="21"/>
        </w:rPr>
        <w:t>•</w:t>
        <w:tab/>
      </w:r>
      <w:r>
        <w:rPr>
          <w:rFonts w:ascii="Calibri" w:hAnsi="Calibri"/>
          <w:b/>
          <w:i w:val="0"/>
          <w:color w:val="156082"/>
          <w:sz w:val="21"/>
        </w:rPr>
        <w:t>T1 (human wells settle more unevenly) passes.</w:t>
      </w:r>
      <w:r>
        <w:rPr>
          <w:rFonts w:ascii="Calibri" w:hAnsi="Calibri"/>
          <w:b w:val="0"/>
          <w:i w:val="0"/>
          <w:color w:val="222222"/>
          <w:sz w:val="21"/>
        </w:rPr>
        <w:t xml:space="preserve"> The slope varies more across human wells: SD 0.076 against 0.021 log2 per window, a ratio of 3.65 (95% interval 2.72 to 5.04), above 1 as registered. Both species fall on average (mean slope −0.092 human, −0.041 rat).</w:t>
      </w:r>
    </w:p>
    <w:p>
      <w:pPr>
        <w:spacing w:after="120"/>
        <w:ind w:left="432" w:hanging="259"/>
      </w:pPr>
      <w:r>
        <w:rPr>
          <w:rFonts w:ascii="Calibri" w:hAnsi="Calibri"/>
          <w:b w:val="0"/>
          <w:i w:val="0"/>
          <w:color w:val="222222"/>
          <w:sz w:val="21"/>
        </w:rPr>
        <w:t>•</w:t>
        <w:tab/>
      </w:r>
      <w:r>
        <w:rPr>
          <w:rFonts w:ascii="Calibri" w:hAnsi="Calibri"/>
          <w:b/>
          <w:i w:val="0"/>
          <w:color w:val="156082"/>
          <w:sz w:val="21"/>
        </w:rPr>
        <w:t>T2 (human wells noisier around their own trend) passes.</w:t>
      </w:r>
      <w:r>
        <w:rPr>
          <w:rFonts w:ascii="Calibri" w:hAnsi="Calibri"/>
          <w:b w:val="0"/>
          <w:i w:val="0"/>
          <w:color w:val="222222"/>
          <w:sz w:val="21"/>
        </w:rPr>
        <w:t xml:space="preserve"> Median residual SD 0.217 against 0.021, a ratio of 10.2 (7.91 to 11.43). As the linearity check shows, most of this is curvature a straight line misses, not scatter.</w:t>
      </w:r>
    </w:p>
    <w:p>
      <w:pPr>
        <w:spacing w:after="120"/>
        <w:ind w:left="432" w:hanging="259"/>
      </w:pPr>
      <w:r>
        <w:rPr>
          <w:rFonts w:ascii="Calibri" w:hAnsi="Calibri"/>
          <w:b w:val="0"/>
          <w:i w:val="0"/>
          <w:color w:val="222222"/>
          <w:sz w:val="21"/>
        </w:rPr>
        <w:t>•</w:t>
        <w:tab/>
      </w:r>
      <w:r>
        <w:rPr>
          <w:rFonts w:ascii="Calibri" w:hAnsi="Calibri"/>
          <w:b/>
          <w:i w:val="0"/>
          <w:color w:val="156082"/>
          <w:sz w:val="21"/>
        </w:rPr>
        <w:t>T3 (the trend carries most of the human split-half spread) passes.</w:t>
      </w:r>
      <w:r>
        <w:rPr>
          <w:rFonts w:ascii="Calibri" w:hAnsi="Calibri"/>
          <w:b w:val="0"/>
          <w:i w:val="0"/>
          <w:color w:val="222222"/>
          <w:sz w:val="21"/>
        </w:rPr>
        <w:t xml:space="preserve"> The trend part's share of the variance of the split-half change is 0.996 in human wells (registered threshold 0.5), and 0.946 in rat wells. A caution we found only when implementing it: a straight line on six windows absorbs part of pure steady noise too, so with no settling at all this share would be about 0.77, above the registered threshold. The pass alone therefore does not separate settling from noise. What does is how far above that reference the human share sits (descriptive interval 0.93 to 1.08), and how small the residual part is: SD 0.021 against 0.227 for the whole change (log2).</w:t>
      </w:r>
    </w:p>
    <w:p>
      <w:pPr>
        <w:spacing w:after="120"/>
      </w:pPr>
      <w:r>
        <w:rPr>
          <w:rFonts w:ascii="Calibri" w:hAnsi="Calibri"/>
          <w:b/>
          <w:i w:val="0"/>
          <w:color w:val="156082"/>
          <w:sz w:val="21"/>
        </w:rPr>
        <w:t>The registered assumption check: the trend is not a straight line in human wells.</w:t>
      </w:r>
      <w:r>
        <w:rPr>
          <w:rFonts w:ascii="Calibri" w:hAnsi="Calibri"/>
          <w:b w:val="0"/>
          <w:i w:val="0"/>
          <w:color w:val="222222"/>
          <w:sz w:val="21"/>
        </w:rPr>
        <w:t xml:space="preserve"> Adding a quadratic term lowers the residual SD by more than a third in a share of 1.0 of human wells and 0.26 of rat wells; the registered rule (more than half in either species) therefore says the trend is not linear (linear: False), and T1 and T3 are read with that caveat. The settling curve (reported, not tested) shows the shape: the human median rate falls from 6.73 Hz in the first window to 4.80 Hz in the second, bottoms at 4.26 Hz in the fourth and ends at 4.55 Hz; the rat median declines gently and steadily, from 3.59 to 3.00 Hz. So the slope of a human well summarises a fall and partial recovery, and its residual SD s is mostly the part of that curve the line misses. Around a quadratic (descriptive, beside the check) the human wells still scatter more, median 0.066 against 0.017 (log2), but T2's tenfold ratio should not be read as tenfold steady noise. Read with the caveat, T1 still holds: the human wells differ much more in how far they fall, and T3's near-total share says that difference, not window-to-window scatter, is what D32's split-half SD mostly measured.</w:t>
      </w:r>
    </w:p>
    <w:p>
      <w:pPr>
        <w:spacing w:after="120"/>
      </w:pPr>
      <w:r>
        <w:rPr>
          <w:rFonts w:ascii="Calibri" w:hAnsi="Calibri"/>
          <w:b/>
          <w:i w:val="0"/>
          <w:color w:val="156082"/>
          <w:sz w:val="21"/>
        </w:rPr>
        <w:t>Two post hoc readings, added after the first run and not registered.</w:t>
      </w:r>
      <w:r>
        <w:rPr>
          <w:rFonts w:ascii="Calibri" w:hAnsi="Calibri"/>
          <w:b w:val="0"/>
          <w:i w:val="0"/>
          <w:color w:val="222222"/>
          <w:sz w:val="21"/>
        </w:rPr>
        <w:t xml:space="preserve"> First, the scatter around each line (curvature included) would by itself produce a share of 0.43 of the human slope variance; beyond it, the human slopes still spread 2.88 times as widely as the rat ones, so T1 is not an artefact of noisier fits. Second, dropping the first window, as if the plate had settled five minutes longer, takes out the steepest human fall (median step from the first to the second window −0.47 log2 against −0.08) but not the species difference: the SD across wells of the remaining change is 0.17 human against 0.054 rat, still 3.16 times larger.</w:t>
      </w:r>
    </w:p>
    <w:p>
      <w:pPr>
        <w:spacing w:after="120"/>
      </w:pPr>
      <w:r>
        <w:rPr>
          <w:rFonts w:ascii="Calibri" w:hAnsi="Calibri"/>
          <w:b/>
          <w:i w:val="0"/>
          <w:color w:val="156082"/>
          <w:sz w:val="21"/>
        </w:rPr>
        <w:t>Wells needed from the residual part alone: illustrative, reported and not tested.</w:t>
      </w:r>
      <w:r>
        <w:rPr>
          <w:rFonts w:ascii="Calibri" w:hAnsi="Calibri"/>
          <w:b w:val="0"/>
          <w:i w:val="0"/>
          <w:color w:val="222222"/>
          <w:sz w:val="21"/>
        </w:rPr>
        <w:t xml:space="preserve"> With D32's formula on the residual part's SD, a 20% fall would need at least 1 human and 1 rat well per arm, against 8 human wells from the whole change of this windowed rate. This figure is not an assay design: it assumes each well's trend could be removed exactly, and removing a fitted line also removes part of the steady noise, so it flatters both species. We do not use it to set well counts.</w:t>
      </w:r>
    </w:p>
    <w:p>
      <w:pPr>
        <w:spacing w:after="120"/>
      </w:pPr>
      <w:r>
        <w:rPr>
          <w:rFonts w:ascii="Calibri" w:hAnsi="Calibri"/>
          <w:b/>
          <w:i w:val="0"/>
          <w:color w:val="156082"/>
          <w:sz w:val="21"/>
        </w:rPr>
        <w:t>What it changes for this section, and what a lab would do.</w:t>
      </w:r>
      <w:r>
        <w:rPr>
          <w:rFonts w:ascii="Calibri" w:hAnsi="Calibri"/>
          <w:b w:val="0"/>
          <w:i w:val="0"/>
          <w:color w:val="222222"/>
          <w:sz w:val="21"/>
        </w:rPr>
        <w:t xml:space="preserve"> The caveat above is now a measured statement: D32's twofold human firing-rate noise is mostly uneven settling within the recording, not steady noise. For an assay this points first to a longer settling period before the baseline and dosing, rather than to more wells, because the spread sits in the trend. But these 30-minute recordings do not show how long that period must be: five more minutes would not close the gap (the post hoc reading above), and the human median is still moving at the end of the recording. A lab would first record untreated human wells for longer to find where the fall ends, then decide between waiting that long and adding wells; until then, the wells-needed figures above stay the guide.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under </w:t>
      </w:r>
      <w:r>
        <w:rPr>
          <w:rFonts w:ascii="Consolas" w:hAnsi="Consolas"/>
          <w:b w:val="0"/>
          <w:i w:val="0"/>
          <w:color w:val="222222"/>
          <w:sz w:val="19"/>
        </w:rPr>
        <w:t>hpsc_settling.implementation_notes</w:t>
      </w:r>
      <w:r>
        <w:rPr>
          <w:rFonts w:ascii="Calibri" w:hAnsi="Calibri"/>
          <w:b w:val="0"/>
          <w:i w:val="0"/>
          <w:color w:val="222222"/>
          <w:sz w:val="21"/>
        </w:rPr>
        <w:t>: usable wells are read from D32's results file; windows follow D32's cut (the plate file's last spike ends the recording; a spike on a window edge starts the next window); the electrode set is the extractor's default active rule applied to the whole recording, and noisy electrodes are kept, as in D32; with the floor, a rate is defined in every window of a well with a non-empty set; SDs and variances use ddof 1; one bootstrap serves T1 and T2, drawing human then rat wells per resample as D32 does; "above 1" is strict; the quadratic fit's residual SD uses its own degrees of freedom and "more than a third" is strict (with both fits at ddof 2, the rat share is 0.45, still below one half). The caveat flag is set on T1 and T3, as registered; the note on T2 above is ours.</w:t>
      </w:r>
    </w:p>
    <w:p>
      <w:pPr>
        <w:keepNext/>
        <w:spacing w:before="240" w:after="60"/>
      </w:pPr>
      <w:r>
        <w:rPr>
          <w:rFonts w:ascii="Calibri" w:hAnsi="Calibri"/>
          <w:b/>
          <w:i w:val="0"/>
          <w:color w:val="1F4E79"/>
          <w:sz w:val="23"/>
        </w:rPr>
        <w:t>Registered replication: does early network bursting predict how a human well settles?</w:t>
      </w:r>
    </w:p>
    <w:p>
      <w:pPr>
        <w:spacing w:after="120"/>
      </w:pPr>
      <w:r>
        <w:rPr>
          <w:rFonts w:ascii="Calibri" w:hAnsi="Calibri"/>
          <w:b/>
          <w:i w:val="0"/>
          <w:color w:val="156082"/>
          <w:sz w:val="21"/>
        </w:rPr>
        <w:t>The post hoc observation.</w:t>
      </w:r>
      <w:r>
        <w:rPr>
          <w:rFonts w:ascii="Calibri" w:hAnsi="Calibri"/>
          <w:b w:val="0"/>
          <w:i w:val="0"/>
          <w:color w:val="222222"/>
          <w:sz w:val="21"/>
        </w:rPr>
        <w:t xml:space="preserve"> Looking again at the follow-up's human wells, after its results were in, we saw two settling behaviours: some wells keep falling after the first five minutes, others recover. Across the 24 human wells, the network-burst rate in the first 5-minute window (nb0, from the same extractor) tracked the later trend (late_b, the slope of the log2 firing rate over the last five of the six windows): Spearman rho −0.73 (well-bootstrap interval −0.90 to −0.42); first-window synchrony less so (−0.49), and first-window firing rate not at all (−0.02). In the 38 rat wells none of the three did (0.17, 0.12, −0.04). These numbers are recomputed by the module and labelled post hoc there; they come from one plate per species at one age, found by looking, so they are a hypothesis, not a result.</w:t>
      </w:r>
    </w:p>
    <w:p>
      <w:pPr>
        <w:keepNext/>
        <w:spacing w:after="120"/>
      </w:pPr>
      <w:r>
        <w:rPr>
          <w:rFonts w:ascii="Calibri" w:hAnsi="Calibri"/>
          <w:b/>
          <w:i w:val="0"/>
          <w:color w:val="156082"/>
          <w:sz w:val="21"/>
        </w:rPr>
        <w:t>The registered test.</w:t>
      </w:r>
      <w:r>
        <w:rPr>
          <w:rFonts w:ascii="Calibri" w:hAnsi="Calibri"/>
          <w:b w:val="0"/>
          <w:i w:val="0"/>
          <w:color w:val="222222"/>
          <w:sz w:val="21"/>
        </w:rPr>
        <w:t xml:space="preserve"> Before any windowed feature was computed on the lab's 12-well developmental plates, we registered a replication on them (decision D36, </w:t>
      </w:r>
      <w:r>
        <w:rPr>
          <w:rFonts w:ascii="Consolas" w:hAnsi="Consolas"/>
          <w:b w:val="0"/>
          <w:i w:val="0"/>
          <w:color w:val="222222"/>
          <w:sz w:val="19"/>
        </w:rPr>
        <w:t>preregistration/hpsc_network_state.json</w:t>
      </w:r>
      <w:r>
        <w:rPr>
          <w:rFonts w:ascii="Calibri" w:hAnsi="Calibri"/>
          <w:b w:val="0"/>
          <w:i w:val="0"/>
          <w:color w:val="222222"/>
          <w:sz w:val="21"/>
        </w:rPr>
        <w:t>; code and tests committed before the real-data run). The pool is D32's replication pool exactly: its usable untreated recordings, 144 human recordings from 12 wells (DIV28 to 66) and 58 rat recordings from 12 wells (DIV21 to 35). Each 10-minute recording is cut into six equal windows; nb0, sync0 and mfr0 are the extractor's features on the first window alone, and late_b is the slope over the last five windows of the follow-up's fixed-electrode log2 rate. The statistic is Spearman rho pooled across ages within a species, with a 95% interval from resampling whole wells. Every recording was scored; nb0 was zero (no network burst in the first 100 seconds) in 44% of human recordings, below the registered limit.</w:t>
      </w:r>
    </w:p>
    <w:p>
      <w:pPr>
        <w:keepNext/>
        <w:spacing w:before="120" w:after="40"/>
        <w:jc w:val="center"/>
      </w:pPr>
      <w:r>
        <w:drawing>
          <wp:inline xmlns:a="http://schemas.openxmlformats.org/drawingml/2006/main" xmlns:pic="http://schemas.openxmlformats.org/drawingml/2006/picture">
            <wp:extent cx="5394960" cy="1505444"/>
            <wp:docPr id="29" name="Picture 29"/>
            <wp:cNvGraphicFramePr>
              <a:graphicFrameLocks noChangeAspect="1"/>
            </wp:cNvGraphicFramePr>
            <a:graphic>
              <a:graphicData uri="http://schemas.openxmlformats.org/drawingml/2006/picture">
                <pic:pic>
                  <pic:nvPicPr>
                    <pic:cNvPr id="0" name="hpsc_network_state_real.png"/>
                    <pic:cNvPicPr/>
                  </pic:nvPicPr>
                  <pic:blipFill>
                    <a:blip r:embed="rId41"/>
                    <a:stretch>
                      <a:fillRect/>
                    </a:stretch>
                  </pic:blipFill>
                  <pic:spPr>
                    <a:xfrm>
                      <a:off x="0" y="0"/>
                      <a:ext cx="5394960" cy="1505444"/>
                    </a:xfrm>
                    <a:prstGeom prst="rect"/>
                  </pic:spPr>
                </pic:pic>
              </a:graphicData>
            </a:graphic>
          </wp:inline>
        </w:drawing>
      </w:r>
    </w:p>
    <w:p>
      <w:pPr>
        <w:spacing w:after="200"/>
        <w:jc w:val="center"/>
      </w:pPr>
      <w:r>
        <w:rPr>
          <w:rFonts w:ascii="Calibri" w:hAnsi="Calibri"/>
          <w:b/>
          <w:i/>
          <w:color w:val="222222"/>
          <w:sz w:val="17"/>
        </w:rPr>
        <w:t xml:space="preserve">Figure 29. </w:t>
      </w:r>
      <w:r>
        <w:rPr>
          <w:rFonts w:ascii="Calibri" w:hAnsi="Calibri"/>
          <w:b w:val="0"/>
          <w:i/>
          <w:color w:val="222222"/>
          <w:sz w:val="17"/>
        </w:rPr>
        <w:t>REAL data, Kapucu 2022, one lab, untreated wells. Each point is one recording: its network-burst rate in the first window (nb0) against the slope of its log2 firing rate over the later five windows (late_b). Left two panels: the registered replication on the 12-well developmental plates (100-second windows), coloured by plate. Right two panels: the post hoc observation on the 48-well baselines (5-minute windows), one recording per well.</w:t>
      </w:r>
    </w:p>
    <w:p>
      <w:pPr>
        <w:spacing w:after="120"/>
      </w:pPr>
      <w:r>
        <w:rPr>
          <w:rFonts w:ascii="Calibri" w:hAnsi="Calibri"/>
          <w:b/>
          <w:i w:val="0"/>
          <w:color w:val="156082"/>
          <w:sz w:val="21"/>
        </w:rPr>
        <w:t>One of the three registered predictions passes; the one that carried the idea fails.</w:t>
      </w:r>
    </w:p>
    <w:p>
      <w:pPr>
        <w:spacing w:after="120"/>
        <w:ind w:left="432" w:hanging="259"/>
      </w:pPr>
      <w:r>
        <w:rPr>
          <w:rFonts w:ascii="Calibri" w:hAnsi="Calibri"/>
          <w:b w:val="0"/>
          <w:i w:val="0"/>
          <w:color w:val="222222"/>
          <w:sz w:val="21"/>
        </w:rPr>
        <w:t>•</w:t>
        <w:tab/>
      </w:r>
      <w:r>
        <w:rPr>
          <w:rFonts w:ascii="Calibri" w:hAnsi="Calibri"/>
          <w:b/>
          <w:i w:val="0"/>
          <w:color w:val="156082"/>
          <w:sz w:val="21"/>
        </w:rPr>
        <w:t>N1 (more early network bursting goes with a more negative later trend, human) fails.</w:t>
      </w:r>
      <w:r>
        <w:rPr>
          <w:rFonts w:ascii="Calibri" w:hAnsi="Calibri"/>
          <w:b w:val="0"/>
          <w:i w:val="0"/>
          <w:color w:val="222222"/>
          <w:sz w:val="21"/>
        </w:rPr>
        <w:t xml:space="preserve"> rho −0.06, 95% interval −0.23 to 0.09, which does not lie below 0.</w:t>
      </w:r>
    </w:p>
    <w:p>
      <w:pPr>
        <w:spacing w:after="120"/>
        <w:ind w:left="432" w:hanging="259"/>
      </w:pPr>
      <w:r>
        <w:rPr>
          <w:rFonts w:ascii="Calibri" w:hAnsi="Calibri"/>
          <w:b w:val="0"/>
          <w:i w:val="0"/>
          <w:color w:val="222222"/>
          <w:sz w:val="21"/>
        </w:rPr>
        <w:t>•</w:t>
        <w:tab/>
      </w:r>
      <w:r>
        <w:rPr>
          <w:rFonts w:ascii="Calibri" w:hAnsi="Calibri"/>
          <w:b/>
          <w:i w:val="0"/>
          <w:color w:val="156082"/>
          <w:sz w:val="21"/>
        </w:rPr>
        <w:t>N2 (no such relation in rat) passes.</w:t>
      </w:r>
      <w:r>
        <w:rPr>
          <w:rFonts w:ascii="Calibri" w:hAnsi="Calibri"/>
          <w:b w:val="0"/>
          <w:i w:val="0"/>
          <w:color w:val="222222"/>
          <w:sz w:val="21"/>
        </w:rPr>
        <w:t xml:space="preserve"> rho −0.06 (−0.28 to 0.20). With N1 failing, this pass says only that neither species shows the relation on these plates.</w:t>
      </w:r>
    </w:p>
    <w:p>
      <w:pPr>
        <w:spacing w:after="120"/>
        <w:ind w:left="432" w:hanging="259"/>
      </w:pPr>
      <w:r>
        <w:rPr>
          <w:rFonts w:ascii="Calibri" w:hAnsi="Calibri"/>
          <w:b w:val="0"/>
          <w:i w:val="0"/>
          <w:color w:val="222222"/>
          <w:sz w:val="21"/>
        </w:rPr>
        <w:t>•</w:t>
        <w:tab/>
      </w:r>
      <w:r>
        <w:rPr>
          <w:rFonts w:ascii="Calibri" w:hAnsi="Calibri"/>
          <w:b/>
          <w:i w:val="0"/>
          <w:color w:val="156082"/>
          <w:sz w:val="21"/>
        </w:rPr>
        <w:t>N3 (network state predicts the trend better than firing rate, human) fails.</w:t>
      </w:r>
      <w:r>
        <w:rPr>
          <w:rFonts w:ascii="Calibri" w:hAnsi="Calibri"/>
          <w:b w:val="0"/>
          <w:i w:val="0"/>
          <w:color w:val="222222"/>
          <w:sz w:val="21"/>
        </w:rPr>
        <w:t xml:space="preserve"> rho(mfr0) − rho(nb0) is 0.02 (−0.09 to 0.11): in these recordings neither early readout tracks the later trend.</w:t>
      </w:r>
    </w:p>
    <w:p>
      <w:pPr>
        <w:spacing w:after="120"/>
      </w:pPr>
      <w:r>
        <w:rPr>
          <w:rFonts w:ascii="Calibri" w:hAnsi="Calibri"/>
          <w:b w:val="0"/>
          <w:i w:val="0"/>
          <w:color w:val="222222"/>
          <w:sz w:val="21"/>
        </w:rPr>
        <w:t>Reported and not tested: first-window synchrony goes weakly with a more negative trend in human recordings (rho −0.17, −0.34 to −0.01) and more clearly in rat (−0.37, −0.57 to −0.13), where the early firing rate does too (−0.41). We did not predict these, and read them as leads at most. Most human developmental recordings fall over the later windows (a share of 0.85 with a negative late_b, against 0.58 on the 48-well baseline), so the "two behaviours" of the baseline plate are not as clear here.</w:t>
      </w:r>
    </w:p>
    <w:p>
      <w:pPr>
        <w:spacing w:after="120"/>
      </w:pPr>
      <w:r>
        <w:rPr>
          <w:rFonts w:ascii="Calibri" w:hAnsi="Calibri"/>
          <w:b/>
          <w:i w:val="0"/>
          <w:color w:val="156082"/>
          <w:sz w:val="21"/>
        </w:rPr>
        <w:t>The registered age check, and what it does and does not say.</w:t>
      </w:r>
      <w:r>
        <w:rPr>
          <w:rFonts w:ascii="Calibri" w:hAnsi="Calibri"/>
          <w:b w:val="0"/>
          <w:i w:val="0"/>
          <w:color w:val="222222"/>
          <w:sz w:val="21"/>
        </w:rPr>
        <w:t xml:space="preserve"> Network bursting and settling could both change with culture age, so the registration asked for rho after regressing the ranks of both on DIV, and for the median of the per-DIV rhos. In human recordings the partial rho is −0.39, not above the registered −0.1, so the age flag is not raised; the per-DIV median is −0.06, with 6 of 11 scored ages negative. The two disagree. Descriptively (added after the run), human first-window bursting falls steeply with age (rank correlation with DIV −0.83), so a linear adjustment for age can reveal a within-age relation that the pooled rho hides, or create one if the age pattern is not linear; the per-DIV rhos, which need no such model, do not show a consistent relation. In rat the partial rho is 0.06. A second post hoc reading asks whether the many zero nb0 values hide the relation: over the 81 human recordings with at least one early network burst, rho is −0.17 (−0.34 to 0.00), far weaker than the baseline plate's −0.73 and with an interval reaching 0.</w:t>
      </w:r>
    </w:p>
    <w:p>
      <w:pPr>
        <w:spacing w:after="120"/>
      </w:pPr>
      <w:r>
        <w:rPr>
          <w:rFonts w:ascii="Calibri" w:hAnsi="Calibri"/>
          <w:b/>
          <w:i w:val="0"/>
          <w:color w:val="156082"/>
          <w:sz w:val="21"/>
        </w:rPr>
        <w:t>What it means for a lab.</w:t>
      </w:r>
      <w:r>
        <w:rPr>
          <w:rFonts w:ascii="Calibri" w:hAnsi="Calibri"/>
          <w:b w:val="0"/>
          <w:i w:val="0"/>
          <w:color w:val="222222"/>
          <w:sz w:val="21"/>
        </w:rPr>
        <w:t xml:space="preserve"> The registered replication does not support stratifying human iPSC wells by their baseline network bursting to predict how they will settle: on independent recordings from the same lab the relation seen on one 48-well plate did not hold. The baseline observation stays a hypothesis tied to one plate, one age and 5-minute windows; the developmental recordings are shorter (windows a third as long, in which nearly half the human recordings had no network burst at all) and span many ages, and either difference could matter. Testing it again would need 30-minute untreated recordings of more human plates at matched ages. The practical reading of the follow-up is unchanged: human wells differ in how they settle, and we cannot yet say from a baseline readout which wells will settle which way.</w:t>
      </w:r>
    </w:p>
    <w:p>
      <w:pPr>
        <w:spacing w:after="120"/>
      </w:pPr>
      <w:r>
        <w:rPr>
          <w:rFonts w:ascii="Calibri" w:hAnsi="Calibri"/>
          <w:b/>
          <w:i w:val="0"/>
          <w:color w:val="156082"/>
          <w:sz w:val="21"/>
        </w:rPr>
        <w:t>Implementation notes.</w:t>
      </w:r>
      <w:r>
        <w:rPr>
          <w:rFonts w:ascii="Calibri" w:hAnsi="Calibri"/>
          <w:b w:val="0"/>
          <w:i w:val="0"/>
          <w:color w:val="222222"/>
          <w:sz w:val="21"/>
        </w:rPr>
        <w:t xml:space="preserve"> Recorded under </w:t>
      </w:r>
      <w:r>
        <w:rPr>
          <w:rFonts w:ascii="Consolas" w:hAnsi="Consolas"/>
          <w:b w:val="0"/>
          <w:i w:val="0"/>
          <w:color w:val="222222"/>
          <w:sz w:val="19"/>
        </w:rPr>
        <w:t>hpsc_network_state.implementation_notes</w:t>
      </w:r>
      <w:r>
        <w:rPr>
          <w:rFonts w:ascii="Calibri" w:hAnsi="Calibri"/>
          <w:b w:val="0"/>
          <w:i w:val="0"/>
          <w:color w:val="222222"/>
          <w:sz w:val="21"/>
        </w:rPr>
        <w:t>: the recordings are D32's usable replication rows, read from its results file; window 0 is t &lt; duration/6 (an edge spike starts the next window) and goes to the extractor alone, with that window's own active rule; late_b uses the follow-up's electrode set, rate and floor, fitted on the last five windows against the window index; each species' interval draws whole wells from a fresh generator with the registered seed, and the three rhos and the N3 difference come from the same draws; "below 0" and "above 0" are strict; "fewer than 30 scored recordings from at least 8 wells" is read as either count falling short; the partial rho regresses average ranks on an intercept and DIV; per-DIV rhos pool both human plates at a shared age. Before the code was committed, a timing check computed first-window features on one rat developmental file and printed one well's values; no trend or correlation was computed before the commit. A quick run scores only the post hoc pool (the developmental plates are in the full tier), and N1 to N3 are then uninterpretable.</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Split-half noise is not exposure noise: it is the movement of one undisturbed recording, not of a well handled, dosed and read again, so it says how the two culture types compare under the gentlest possible conditions, not what an assay will see; and for firing rate on the human baseline it is mostly settling over the first part of the recording, as the follow-up shows. Everything here comes from one lab, one human iPSC line and one rat preparation, at one age each (DIV29 and DIV22 on the baselines); another line, protocol or culture age could order the species differently. Half the human baseline plate was excluded upstream, and we do not know why. None of this says anything about human biology, about a compound, or about how either culture type predicts an effect in people; it is a property of two public recording sets that bears on how many wells a human iPSC chip assay might need.</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30" name="Picture 30"/>
            <wp:cNvGraphicFramePr>
              <a:graphicFrameLocks noChangeAspect="1"/>
            </wp:cNvGraphicFramePr>
            <a:graphic>
              <a:graphicData uri="http://schemas.openxmlformats.org/drawingml/2006/picture">
                <pic:pic>
                  <pic:nvPicPr>
                    <pic:cNvPr id="0" name="hd14_posterior_ranks_simulated.png"/>
                    <pic:cNvPicPr/>
                  </pic:nvPicPr>
                  <pic:blipFill>
                    <a:blip r:embed="rId42"/>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30. </w:t>
      </w:r>
      <w:r>
        <w:rPr>
          <w:rFonts w:ascii="Calibri" w:hAnsi="Calibri"/>
          <w:b w:val="0"/>
          <w:i/>
          <w:color w:val="222222"/>
          <w:sz w:val="17"/>
        </w:rPr>
        <w:t>SIMULATED posterior calibration: the rank of the true parameter among posterior samples. Flat would be calibrated; these are not.</w:t>
      </w:r>
    </w:p>
    <w:p>
      <w:pPr>
        <w:keepNext/>
        <w:spacing w:after="120"/>
      </w:pPr>
      <w:r>
        <w:rPr>
          <w:rFonts w:ascii="Calibri" w:hAnsi="Calibri"/>
          <w:b w:val="0"/>
          <w:i w:val="0"/>
          <w:color w:val="222222"/>
          <w:sz w:val="21"/>
        </w:rPr>
        <w:t>After round 1 (§16, decision D31) the first-round flow and the five-flow ensemble were judged on the same 1,000 fresh held-out simulations. The ensemble's histograms are flatter and its coverage sits closer to the diagonal, but the U shape of over-confidence remains for four parameters.</w:t>
      </w:r>
    </w:p>
    <w:p>
      <w:pPr>
        <w:keepNext/>
        <w:spacing w:before="120" w:after="40"/>
        <w:jc w:val="center"/>
      </w:pPr>
      <w:r>
        <w:drawing>
          <wp:inline xmlns:a="http://schemas.openxmlformats.org/drawingml/2006/main" xmlns:pic="http://schemas.openxmlformats.org/drawingml/2006/picture">
            <wp:extent cx="5394960" cy="3823821"/>
            <wp:docPr id="31" name="Picture 31"/>
            <wp:cNvGraphicFramePr>
              <a:graphicFrameLocks noChangeAspect="1"/>
            </wp:cNvGraphicFramePr>
            <a:graphic>
              <a:graphicData uri="http://schemas.openxmlformats.org/drawingml/2006/picture">
                <pic:pic>
                  <pic:nvPicPr>
                    <pic:cNvPr id="0" name="hd14b_recalibration_simulated.png"/>
                    <pic:cNvPicPr/>
                  </pic:nvPicPr>
                  <pic:blipFill>
                    <a:blip r:embed="rId43"/>
                    <a:stretch>
                      <a:fillRect/>
                    </a:stretch>
                  </pic:blipFill>
                  <pic:spPr>
                    <a:xfrm>
                      <a:off x="0" y="0"/>
                      <a:ext cx="5394960" cy="3823821"/>
                    </a:xfrm>
                    <a:prstGeom prst="rect"/>
                  </pic:spPr>
                </pic:pic>
              </a:graphicData>
            </a:graphic>
          </wp:inline>
        </w:drawing>
      </w:r>
    </w:p>
    <w:p>
      <w:pPr>
        <w:spacing w:after="200"/>
        <w:jc w:val="center"/>
      </w:pPr>
      <w:r>
        <w:rPr>
          <w:rFonts w:ascii="Calibri" w:hAnsi="Calibri"/>
          <w:b/>
          <w:i/>
          <w:color w:val="222222"/>
          <w:sz w:val="17"/>
        </w:rPr>
        <w:t xml:space="preserve">Figure 31. </w:t>
      </w:r>
      <w:r>
        <w:rPr>
          <w:rFonts w:ascii="Calibri" w:hAnsi="Calibri"/>
          <w:b w:val="0"/>
          <w:i/>
          <w:color w:val="222222"/>
          <w:sz w:val="17"/>
        </w:rPr>
        <w:t>SIMULATED: the first-round flow (top) and the five-flow ensemble on 15,750 simulations (middle) on 1,000 fresh held-out simulations; grey is the band a calibrated model fills 99% of the time. Bottom: empirical against nominal coverage of central credible intervals for all four estimators.</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32" name="Picture 32"/>
            <wp:cNvGraphicFramePr>
              <a:graphicFrameLocks noChangeAspect="1"/>
            </wp:cNvGraphicFramePr>
            <a:graphic>
              <a:graphicData uri="http://schemas.openxmlformats.org/drawingml/2006/picture">
                <pic:pic>
                  <pic:nvPicPr>
                    <pic:cNvPr id="0" name="microchannel_asymmetry_real.png"/>
                    <pic:cNvPicPr/>
                  </pic:nvPicPr>
                  <pic:blipFill>
                    <a:blip r:embed="rId44"/>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32.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519.0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this run was on an idle machine, with every study added through §36 included, and runs that shared the machine with other jobs took up to about twice as long, crossing ten minutes. The longest stage is the twin, at 322.5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