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p>
      <w:pPr>
        <w:keepNext/>
        <w:spacing w:before="240" w:after="60"/>
      </w:pPr>
      <w:r>
        <w:rPr>
          <w:rFonts w:ascii="Calibri" w:hAnsi="Calibri"/>
          <w:b/>
          <w:i w:val="0"/>
          <w:color w:val="1F4E79"/>
          <w:sz w:val="23"/>
        </w:rPr>
        <w:t>D31. Recalibrating the twin's inverse model: more simulations, then an ensemble</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inverse model (one masked autoregressive flow, 2,700 training simulations, </w:t>
      </w:r>
      <w:r>
        <w:rPr>
          <w:rFonts w:ascii="Consolas" w:hAnsi="Consolas"/>
          <w:b w:val="0"/>
          <w:i w:val="0"/>
          <w:color w:val="222222"/>
          <w:sz w:val="19"/>
        </w:rPr>
        <w:t>twin_hd14_inference</w:t>
      </w:r>
      <w:r>
        <w:rPr>
          <w:rFonts w:ascii="Calibri" w:hAnsi="Calibri"/>
          <w:b w:val="0"/>
          <w:i w:val="0"/>
          <w:color w:val="222222"/>
          <w:sz w:val="21"/>
        </w:rPr>
        <w:t xml:space="preserve">) fails the rank-uniformity check for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so the slide withholds both.</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withholding them; correct the check for five parameters (Bonferroni would pass both, which lowers the bar rather than fixes the model); retrain the same flow on more simulations; average several flows; change the flow family.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two remedies that do not touch the bar: about 15,000 fresh simulations (5x; truncated at 05:00 EDT on 2026-10-28 by a prefix rule fixed in advance) for the same flow, and an equal-weight ensemble of five flows on the same pool, both judged on 1,000 fresh held-out simulations by the original per-parameter test at 0.05, plus coverage, contraction against the old model on the same simulations, and a check near the real recordings. The flow family is not changed, so budget and averaging are the only differences. </w:t>
      </w:r>
      <w:r>
        <w:rPr>
          <w:rFonts w:ascii="Calibri" w:hAnsi="Calibri"/>
          <w:b/>
          <w:i w:val="0"/>
          <w:color w:val="222222"/>
          <w:sz w:val="21"/>
        </w:rPr>
        <w:t>Why:</w:t>
      </w:r>
      <w:r>
        <w:rPr>
          <w:rFonts w:ascii="Calibri" w:hAnsi="Calibri"/>
          <w:b w:val="0"/>
          <w:i w:val="0"/>
          <w:color w:val="222222"/>
          <w:sz w:val="21"/>
        </w:rPr>
        <w:t xml:space="preserve"> a slide that withholds two of five parameters should say whether that is a limit of the budget, of the estimator, or of what the summaries carry.</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preregistration/twin_inference_recalibration.json</w:t>
      </w:r>
      <w:r>
        <w:rPr>
          <w:rFonts w:ascii="Calibri" w:hAnsi="Calibri"/>
          <w:b w:val="0"/>
          <w:i w:val="0"/>
          <w:color w:val="222222"/>
          <w:sz w:val="21"/>
        </w:rPr>
        <w:t xml:space="preserve"> (seven predictions and the assumption check), committed before any new simulation.</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7 (registration commit 0bc29aa, amended before any simulation in 176b36e). 51 of 60 training chunks finished before the cut. On fresh simulations the round-1 model fails all five parameters, not two; the ensemble keeps its sharpness and passes four of five on the 300-run test, but fails </w:t>
      </w:r>
      <w:r>
        <w:rPr>
          <w:rFonts w:ascii="Consolas" w:hAnsi="Consolas"/>
          <w:b w:val="0"/>
          <w:i w:val="0"/>
          <w:color w:val="222222"/>
          <w:sz w:val="19"/>
        </w:rPr>
        <w:t>inter_in_degree</w:t>
      </w:r>
      <w:r>
        <w:rPr>
          <w:rFonts w:ascii="Calibri" w:hAnsi="Calibri"/>
          <w:b w:val="0"/>
          <w:i w:val="0"/>
          <w:color w:val="222222"/>
          <w:sz w:val="21"/>
        </w:rPr>
        <w:t xml:space="preserve">, stays over-confident by coverage for four parameters, and takes about 2 s per posterior. Budget alone fixes neither failing parameter. Under the registered rule the slide quotes </w:t>
      </w:r>
      <w:r>
        <w:rPr>
          <w:rFonts w:ascii="Consolas" w:hAnsi="Consolas"/>
          <w:b w:val="0"/>
          <w:i w:val="0"/>
          <w:color w:val="222222"/>
          <w:sz w:val="19"/>
        </w:rPr>
        <w:t>threshold_scale</w:t>
      </w:r>
      <w:r>
        <w:rPr>
          <w:rFonts w:ascii="Calibri" w:hAnsi="Calibri"/>
          <w:b w:val="0"/>
          <w:i w:val="0"/>
          <w:color w:val="222222"/>
          <w:sz w:val="21"/>
        </w:rPr>
        <w:t xml:space="preserve"> only. Report §16, change-log entry 45.</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neuromps.twin.recalibration</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Next branches, each to be registered with fresh seeds: a different flow family (neural spline flow) on the same pool, which would separate estimator from summaries; or summaries that carry connectivity more directly (the failure that neither remedy moves).</w:t>
      </w:r>
    </w:p>
    <w:p>
      <w:pPr>
        <w:keepNext/>
        <w:spacing w:before="240" w:after="60"/>
      </w:pPr>
      <w:r>
        <w:rPr>
          <w:rFonts w:ascii="Calibri" w:hAnsi="Calibri"/>
          <w:b/>
          <w:i w:val="0"/>
          <w:color w:val="1F4E79"/>
          <w:sz w:val="23"/>
        </w:rPr>
        <w:t xml:space="preserve">D32. How noisy an untreated human iPSC chip is, against a rat chip from the same lab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practical-value result (§32) gives the wells an assay needs for rat cortical chips only. The natural human analogue, untreated wells recorded before and after a treatment step, exists in Kapucu 2022, but only 4 human and 6 rat such wells pass QC.</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drop the human question; search for another licensed human iPSC set with re-recorded untreated wells; measure the noise inside one untreated recording, by comparing its two halves, on the lab's matched 48-well baselines (human DIV29, rat DIV22).</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split-half comparison, registered in </w:t>
      </w:r>
      <w:r>
        <w:rPr>
          <w:rFonts w:ascii="Consolas" w:hAnsi="Consolas"/>
          <w:b w:val="0"/>
          <w:i w:val="0"/>
          <w:color w:val="222222"/>
          <w:sz w:val="19"/>
        </w:rPr>
        <w:t>preregistration/hpsc_split_half.json</w:t>
      </w:r>
      <w:r>
        <w:rPr>
          <w:rFonts w:ascii="Calibri" w:hAnsi="Calibri"/>
          <w:b w:val="0"/>
          <w:i w:val="0"/>
          <w:color w:val="222222"/>
          <w:sz w:val="21"/>
        </w:rPr>
        <w:t xml:space="preserve"> before any half-recording feature was computed: three predictions (human firing rate noisier; noisier across features; replicates on the lab's 12-well developmental plates), and the wells per arm a 20% or 50% fall would need, reported as a lower bound. </w:t>
      </w:r>
      <w:r>
        <w:rPr>
          <w:rFonts w:ascii="Calibri" w:hAnsi="Calibri"/>
          <w:b/>
          <w:i w:val="0"/>
          <w:color w:val="222222"/>
          <w:sz w:val="21"/>
        </w:rPr>
        <w:t>Why:</w:t>
      </w:r>
      <w:r>
        <w:rPr>
          <w:rFonts w:ascii="Calibri" w:hAnsi="Calibri"/>
          <w:b w:val="0"/>
          <w:i w:val="0"/>
          <w:color w:val="222222"/>
          <w:sz w:val="21"/>
        </w:rPr>
        <w:t xml:space="preserve"> it is the only comparison with enough wells in both species, and the same lab, protocol and extractor make the species the main difference.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species difference could be a firing-rate difference, because fewer spikes give noisier rates; checked on wells whose firing rates overlap between species.</w:t>
      </w:r>
    </w:p>
    <w:p>
      <w:pPr>
        <w:spacing w:after="120"/>
        <w:ind w:left="432" w:hanging="259"/>
      </w:pPr>
      <w:r>
        <w:rPr>
          <w:rFonts w:ascii="Calibri" w:hAnsi="Calibri"/>
          <w:b w:val="0"/>
          <w:i w:val="0"/>
          <w:color w:val="222222"/>
          <w:sz w:val="21"/>
        </w:rPr>
        <w:t>•</w:t>
        <w:tab/>
      </w:r>
      <w:r>
        <w:rPr>
          <w:rFonts w:ascii="Calibri" w:hAnsi="Calibri"/>
          <w:b/>
          <w:i w:val="0"/>
          <w:color w:val="156082"/>
          <w:sz w:val="21"/>
        </w:rPr>
        <w:t>Limit stated in advance:</w:t>
      </w:r>
      <w:r>
        <w:rPr>
          <w:rFonts w:ascii="Calibri" w:hAnsi="Calibri"/>
          <w:b w:val="0"/>
          <w:i w:val="0"/>
          <w:color w:val="222222"/>
          <w:sz w:val="21"/>
        </w:rPr>
        <w:t xml:space="preserve"> split-half noise leaves out handling, compound addition and day-to-day variation, so the wells it implies are a lower bound, and are not compared numerically with the ToxCast vehicle-well numbers.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