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44 studies made 226 registered predictions, of which 101 passed, 86 failed and 38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43 registrations, 39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1" name="Picture 21"/>
            <wp:cNvGraphicFramePr>
              <a:graphicFrameLocks noChangeAspect="1"/>
            </wp:cNvGraphicFramePr>
            <a:graphic>
              <a:graphicData uri="http://schemas.openxmlformats.org/drawingml/2006/picture">
                <pic:pic>
                  <pic:nvPicPr>
                    <pic:cNvPr id="0" name="toxcast_noise_floors_real.png"/>
                    <pic:cNvPicPr/>
                  </pic:nvPicPr>
                  <pic:blipFill>
                    <a:blip r:embed="rId33"/>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2" name="Picture 22"/>
            <wp:cNvGraphicFramePr>
              <a:graphicFrameLocks noChangeAspect="1"/>
            </wp:cNvGraphicFramePr>
            <a:graphic>
              <a:graphicData uri="http://schemas.openxmlformats.org/drawingml/2006/picture">
                <pic:pic>
                  <pic:nvPicPr>
                    <pic:cNvPr id="0" name="twin_toxcast_positive_controls.png"/>
                    <pic:cNvPicPr/>
                  </pic:nvPicPr>
                  <pic:blipFill>
                    <a:blip r:embed="rId34"/>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3" name="Picture 23"/>
            <wp:cNvGraphicFramePr>
              <a:graphicFrameLocks noChangeAspect="1"/>
            </wp:cNvGraphicFramePr>
            <a:graphic>
              <a:graphicData uri="http://schemas.openxmlformats.org/drawingml/2006/picture">
                <pic:pic>
                  <pic:nvPicPr>
                    <pic:cNvPr id="0" name="twin_toxcast_dose_response.png"/>
                    <pic:cNvPicPr/>
                  </pic:nvPicPr>
                  <pic:blipFill>
                    <a:blip r:embed="rId35"/>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4" name="Picture 24"/>
            <wp:cNvGraphicFramePr>
              <a:graphicFrameLocks noChangeAspect="1"/>
            </wp:cNvGraphicFramePr>
            <a:graphic>
              <a:graphicData uri="http://schemas.openxmlformats.org/drawingml/2006/picture">
                <pic:pic>
                  <pic:nvPicPr>
                    <pic:cNvPr id="0" name="hpsc_split_half_real.png"/>
                    <pic:cNvPicPr/>
                  </pic:nvPicPr>
                  <pic:blipFill>
                    <a:blip r:embed="rId36"/>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so part of what is measured here may be settling rather than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5" name="Picture 25"/>
            <wp:cNvGraphicFramePr>
              <a:graphicFrameLocks noChangeAspect="1"/>
            </wp:cNvGraphicFramePr>
            <a:graphic>
              <a:graphicData uri="http://schemas.openxmlformats.org/drawingml/2006/picture">
                <pic:pic>
                  <pic:nvPicPr>
                    <pic:cNvPr id="0" name="hd14_posterior_ranks_simulated.png"/>
                    <pic:cNvPicPr/>
                  </pic:nvPicPr>
                  <pic:blipFill>
                    <a:blip r:embed="rId37"/>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6" name="Picture 26"/>
            <wp:cNvGraphicFramePr>
              <a:graphicFrameLocks noChangeAspect="1"/>
            </wp:cNvGraphicFramePr>
            <a:graphic>
              <a:graphicData uri="http://schemas.openxmlformats.org/drawingml/2006/picture">
                <pic:pic>
                  <pic:nvPicPr>
                    <pic:cNvPr id="0" name="hd14b_recalibration_simulated.png"/>
                    <pic:cNvPicPr/>
                  </pic:nvPicPr>
                  <pic:blipFill>
                    <a:blip r:embed="rId38"/>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7" name="Picture 27"/>
            <wp:cNvGraphicFramePr>
              <a:graphicFrameLocks noChangeAspect="1"/>
            </wp:cNvGraphicFramePr>
            <a:graphic>
              <a:graphicData uri="http://schemas.openxmlformats.org/drawingml/2006/picture">
                <pic:pic>
                  <pic:nvPicPr>
                    <pic:cNvPr id="0" name="microchannel_asymmetry_real.png"/>
                    <pic:cNvPicPr/>
                  </pic:nvPicPr>
                  <pic:blipFill>
                    <a:blip r:embed="rId39"/>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