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D34. Testing whether the depositors' adaptive burst detector explains the rest of the extractor gap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post hoc settings ladder (D33, report §3) reproduced the depositors' firing rate, active-electrode count and STTC exactly and closed most of the burst-rate gap, but burst duration and spikes per burst did not move, and 10-15% of the hPSC burst-rate gap remained. The report attributed the rest to the burst detector (their logISI against our fixed 100 ms rule) without a test.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attribution as an inference; implement logISI and test it.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implement logISI (Pasquale et al. 2010) as an option of the single extractor, off by default, and register four predictions before running it on the Kapucu recordings (</w:t>
      </w:r>
      <w:r>
        <w:rPr>
          <w:rFonts w:ascii="Consolas" w:hAnsi="Consolas"/>
          <w:b w:val="0"/>
          <w:i w:val="0"/>
          <w:color w:val="222222"/>
          <w:sz w:val="19"/>
        </w:rPr>
        <w:t>preregistration/extractor_logisi.json</w:t>
      </w:r>
      <w:r>
        <w:rPr>
          <w:rFonts w:ascii="Calibri" w:hAnsi="Calibri"/>
          <w:b w:val="0"/>
          <w:i w:val="0"/>
          <w:color w:val="222222"/>
          <w:sz w:val="21"/>
        </w:rPr>
        <w:t xml:space="preserve">): burst duration and spikes per burst close, the hPSC burst rate closes, and the rat plate does not get worse. </w:t>
      </w:r>
      <w:r>
        <w:rPr>
          <w:rFonts w:ascii="Calibri" w:hAnsi="Calibri"/>
          <w:b/>
          <w:i w:val="0"/>
          <w:color w:val="222222"/>
          <w:sz w:val="21"/>
        </w:rPr>
        <w:t>Why:</w:t>
      </w:r>
      <w:r>
        <w:rPr>
          <w:rFonts w:ascii="Calibri" w:hAnsi="Calibri"/>
          <w:b w:val="0"/>
          <w:i w:val="0"/>
          <w:color w:val="222222"/>
          <w:sz w:val="21"/>
        </w:rPr>
        <w:t xml:space="preserve"> a measured attribution answers "why trust your extractor" better than an inferred one, and the registration fixes in advance what would count as the detector explaining the gap.</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our implementation is close enough to meaRtools' that a failure speaks about the detector, not the implementation; the per-electrode thresholds and the fallback share are reported so a reader can judge.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4 (registration commit e11bc05, implementation section completed before the run in 9570a9f). L1 and L2 fail on rank agreement with their ratios in band (burst duration 0.9611, rho 0.8347; spikes per burst 0.9986, rho 0.9467); L3 is uninterpretable (fallback on a share of 0.515 of the hPSC electrodes; both ratios overshoot); L4 passes. The detector does not explain the rest of the gap as registered, or our implementation differs; the attribution stays open. Report §3, change-log entry 48.</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p>
      <w:pPr>
        <w:keepNext/>
        <w:spacing w:before="240" w:after="60"/>
      </w:pPr>
      <w:r>
        <w:rPr>
          <w:rFonts w:ascii="Calibri" w:hAnsi="Calibri"/>
          <w:b/>
          <w:i w:val="0"/>
          <w:color w:val="1F4E79"/>
          <w:sz w:val="23"/>
        </w:rPr>
        <w:t>D37. Storing each feature under named definition sets (engineering)</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D33 kept one fixed set of feature definitions and left a future option open: store each record's features under named definition sets. The post hoc settings ladder (report §3, </w:t>
      </w:r>
      <w:r>
        <w:rPr>
          <w:rFonts w:ascii="Consolas" w:hAnsi="Consolas"/>
          <w:b w:val="0"/>
          <w:i w:val="0"/>
          <w:color w:val="222222"/>
          <w:sz w:val="19"/>
        </w:rPr>
        <w:t>extractor_agreement.settings_ladder</w:t>
      </w:r>
      <w:r>
        <w:rPr>
          <w:rFonts w:ascii="Calibri" w:hAnsi="Calibri"/>
          <w:b w:val="0"/>
          <w:i w:val="0"/>
          <w:color w:val="222222"/>
          <w:sz w:val="21"/>
        </w:rPr>
        <w:t xml:space="preserve">) showed that with the Kapucu 2022 depositors' stated settings our extractor reproduces their firing rate, active-electrode count and STTC; the registered logISI test (D34, </w:t>
      </w:r>
      <w:r>
        <w:rPr>
          <w:rFonts w:ascii="Consolas" w:hAnsi="Consolas"/>
          <w:b w:val="0"/>
          <w:i w:val="0"/>
          <w:color w:val="222222"/>
          <w:sz w:val="19"/>
        </w:rPr>
        <w:t>extractor_agreement.logisi</w:t>
      </w:r>
      <w:r>
        <w:rPr>
          <w:rFonts w:ascii="Calibri" w:hAnsi="Calibri"/>
          <w:b w:val="0"/>
          <w:i w:val="0"/>
          <w:color w:val="222222"/>
          <w:sz w:val="21"/>
        </w:rPr>
        <w:t>) passed 1 of 4 predictions with the attribution open. A lab reading our numbers beside theirs had no way to see which of our features translate into theirs, and which do not.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one fixed definition only, and leave conversion to the reader (rejected: the evidence that tells a reader where conversion works would stay in a metrics file); recompute everything per lab on demand (rejected: every consumer would rerun the ETL, and nothing would pin what a named lab definition means); named definition sets plus a sidecar table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registry, </w:t>
      </w:r>
      <w:r>
        <w:rPr>
          <w:rFonts w:ascii="Consolas" w:hAnsi="Consolas"/>
          <w:b w:val="0"/>
          <w:i w:val="0"/>
          <w:color w:val="222222"/>
          <w:sz w:val="19"/>
        </w:rPr>
        <w:t>src/neuromps/features/definitions.py</w:t>
      </w:r>
      <w:r>
        <w:rPr>
          <w:rFonts w:ascii="Calibri" w:hAnsi="Calibri"/>
          <w:b w:val="0"/>
          <w:i w:val="0"/>
          <w:color w:val="222222"/>
          <w:sz w:val="21"/>
        </w:rPr>
        <w:t xml:space="preserve">, of three frozen sets, each a named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The ladder and the logISI study now take their S3 and S4 from the registry; their definitions are equal to the old ones, so their outputs do not change. A sidecar, </w:t>
      </w:r>
      <w:r>
        <w:rPr>
          <w:rFonts w:ascii="Consolas" w:hAnsi="Consolas"/>
          <w:b w:val="0"/>
          <w:i w:val="0"/>
          <w:color w:val="222222"/>
          <w:sz w:val="19"/>
        </w:rPr>
        <w:t>data/processed/features_by_definition.parquet</w:t>
      </w:r>
      <w:r>
        <w:rPr>
          <w:rFonts w:ascii="Calibri" w:hAnsi="Calibri"/>
          <w:b w:val="0"/>
          <w:i w:val="0"/>
          <w:color w:val="222222"/>
          <w:sz w:val="21"/>
        </w:rPr>
        <w:t xml:space="preserve">, holds every spike-time record under every set, re-read with the ETL modules' own loaders; its </w:t>
      </w:r>
      <w:r>
        <w:rPr>
          <w:rFonts w:ascii="Consolas" w:hAnsi="Consolas"/>
          <w:b w:val="0"/>
          <w:i w:val="0"/>
          <w:color w:val="222222"/>
          <w:sz w:val="19"/>
        </w:rPr>
        <w:t>neuromps</w:t>
      </w:r>
      <w:r>
        <w:rPr>
          <w:rFonts w:ascii="Calibri" w:hAnsi="Calibri"/>
          <w:b w:val="0"/>
          <w:i w:val="0"/>
          <w:color w:val="222222"/>
          <w:sz w:val="21"/>
        </w:rPr>
        <w:t xml:space="preserve"> rows must equal the asset exactly. A translation table (</w:t>
      </w:r>
      <w:r>
        <w:rPr>
          <w:rFonts w:ascii="Consolas" w:hAnsi="Consolas"/>
          <w:b w:val="0"/>
          <w:i w:val="0"/>
          <w:color w:val="222222"/>
          <w:sz w:val="19"/>
        </w:rPr>
        <w:t>outputs/tables/feature_definitions.md</w:t>
      </w:r>
      <w:r>
        <w:rPr>
          <w:rFonts w:ascii="Calibri" w:hAnsi="Calibri"/>
          <w:b w:val="0"/>
          <w:i w:val="0"/>
          <w:color w:val="222222"/>
          <w:sz w:val="21"/>
        </w:rPr>
        <w:t xml:space="preserve">) gives, per feature, the ratio and rank agreement between our numbers and each Kapucu set on the recordings where the depositors' own output exists, and a verdict: same number, scale factor or no conversion. </w:t>
      </w:r>
      <w:r>
        <w:rPr>
          <w:rFonts w:ascii="Calibri" w:hAnsi="Calibri"/>
          <w:b/>
          <w:i w:val="0"/>
          <w:color w:val="222222"/>
          <w:sz w:val="21"/>
        </w:rPr>
        <w:t>Why:</w:t>
      </w:r>
      <w:r>
        <w:rPr>
          <w:rFonts w:ascii="Calibri" w:hAnsi="Calibri"/>
          <w:b w:val="0"/>
          <w:i w:val="0"/>
          <w:color w:val="222222"/>
          <w:sz w:val="21"/>
        </w:rPr>
        <w:t xml:space="preserve"> additive, so no record, method block, twin target or earlier metric moves; one extractor still computes everything; and a consumer can see, per feature, whether a translation is supported by evidence before converting.</w:t>
      </w:r>
    </w:p>
    <w:p>
      <w:pPr>
        <w:spacing w:after="120"/>
        <w:ind w:left="432" w:hanging="259"/>
      </w:pPr>
      <w:r>
        <w:rPr>
          <w:rFonts w:ascii="Calibri" w:hAnsi="Calibri"/>
          <w:b w:val="0"/>
          <w:i w:val="0"/>
          <w:color w:val="222222"/>
          <w:sz w:val="21"/>
        </w:rPr>
        <w:t>•</w:t>
        <w:tab/>
      </w:r>
      <w:r>
        <w:rPr>
          <w:rFonts w:ascii="Calibri" w:hAnsi="Calibri"/>
          <w:b/>
          <w:i w:val="0"/>
          <w:color w:val="156082"/>
          <w:sz w:val="21"/>
        </w:rPr>
        <w:t>Not a registered study:</w:t>
      </w:r>
      <w:r>
        <w:rPr>
          <w:rFonts w:ascii="Calibri" w:hAnsi="Calibri"/>
          <w:b w:val="0"/>
          <w:i w:val="0"/>
          <w:color w:val="222222"/>
          <w:sz w:val="21"/>
        </w:rPr>
        <w:t xml:space="preserve"> it computes no new comparison with the depositors. The translation re-expresses the ladder's (post hoc) and the logISI test's (registered) evidence per pair of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pooled ratio between two definitions is a property of the recordings it was measured on, not of the definitions. The translation table reports the ratio per plate beside the pooled one, so a factor that differs between the human and rat plates is visible, and it is checked only on the Kapucu 2022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Next: a set for another laboratory only when that laboratory's own output exists on spike files we hold (the condition for a </w:t>
      </w:r>
      <w:r>
        <w:rPr>
          <w:rFonts w:ascii="Consolas" w:hAnsi="Consolas"/>
          <w:b w:val="0"/>
          <w:i w:val="0"/>
          <w:color w:val="222222"/>
          <w:sz w:val="19"/>
        </w:rPr>
        <w:t>validated</w:t>
      </w:r>
      <w:r>
        <w:rPr>
          <w:rFonts w:ascii="Calibri" w:hAnsi="Calibri"/>
          <w:b w:val="0"/>
          <w:i w:val="0"/>
          <w:color w:val="222222"/>
          <w:sz w:val="21"/>
        </w:rPr>
        <w:t xml:space="preserve"> status); promoting </w:t>
      </w:r>
      <w:r>
        <w:rPr>
          <w:rFonts w:ascii="Consolas" w:hAnsi="Consolas"/>
          <w:b w:val="0"/>
          <w:i w:val="0"/>
          <w:color w:val="222222"/>
          <w:sz w:val="19"/>
        </w:rPr>
        <w:t>kapucu2022_logisi</w:t>
      </w:r>
      <w:r>
        <w:rPr>
          <w:rFonts w:ascii="Calibri" w:hAnsi="Calibri"/>
          <w:b w:val="0"/>
          <w:i w:val="0"/>
          <w:color w:val="222222"/>
          <w:sz w:val="21"/>
        </w:rPr>
        <w:t xml:space="preserve"> only after its attribution is resolved (D34's next step, reading the depositors' scripts).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