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7"/>
        <w:gridCol w:w="1535"/>
        <w:gridCol w:w="2838"/>
        <w:gridCol w:w="2532"/>
        <w:gridCol w:w="1184"/>
      </w:tblGrid>
      <w:tr>
        <w:trPr>
          <w:cantSplit/>
          <w:tblHeader/>
        </w:trPr>
        <w:tc>
          <w:tcPr>
            <w:tcW w:type="dxa" w:w="407"/>
            <w:shd w:val="clear" w:color="auto" w:fill="1F4E79"/>
            <w:vAlign w:val="center"/>
          </w:tcPr>
          <w:p>
            <w:pPr>
              <w:keepNext/>
              <w:spacing w:after="0"/>
              <w:jc w:val="center"/>
            </w:pPr>
            <w:r>
              <w:rPr>
                <w:rFonts w:ascii="Calibri" w:hAnsi="Calibri"/>
                <w:b/>
                <w:i w:val="0"/>
                <w:color w:val="FFFFFF"/>
                <w:sz w:val="20"/>
              </w:rPr>
              <w:t>#</w:t>
            </w:r>
          </w:p>
        </w:tc>
        <w:tc>
          <w:tcPr>
            <w:tcW w:type="dxa" w:w="1535"/>
            <w:shd w:val="clear" w:color="auto" w:fill="1F4E79"/>
            <w:vAlign w:val="center"/>
          </w:tcPr>
          <w:p>
            <w:pPr>
              <w:keepNext/>
              <w:spacing w:after="0"/>
              <w:jc w:val="center"/>
            </w:pPr>
            <w:r>
              <w:rPr>
                <w:rFonts w:ascii="Calibri" w:hAnsi="Calibri"/>
                <w:b/>
                <w:i w:val="0"/>
                <w:color w:val="FFFFFF"/>
                <w:sz w:val="20"/>
              </w:rPr>
              <w:t>Date</w:t>
            </w:r>
          </w:p>
        </w:tc>
        <w:tc>
          <w:tcPr>
            <w:tcW w:type="dxa" w:w="2838"/>
            <w:shd w:val="clear" w:color="auto" w:fill="1F4E79"/>
            <w:vAlign w:val="center"/>
          </w:tcPr>
          <w:p>
            <w:pPr>
              <w:keepNext/>
              <w:spacing w:after="0"/>
            </w:pPr>
            <w:r>
              <w:rPr>
                <w:rFonts w:ascii="Calibri" w:hAnsi="Calibri"/>
                <w:b/>
                <w:i w:val="0"/>
                <w:color w:val="FFFFFF"/>
                <w:sz w:val="20"/>
              </w:rPr>
              <w:t>Change</w:t>
            </w:r>
          </w:p>
        </w:tc>
        <w:tc>
          <w:tcPr>
            <w:tcW w:type="dxa" w:w="2532"/>
            <w:shd w:val="clear" w:color="auto" w:fill="1F4E79"/>
            <w:vAlign w:val="center"/>
          </w:tcPr>
          <w:p>
            <w:pPr>
              <w:keepNext/>
              <w:spacing w:after="0"/>
            </w:pPr>
            <w:r>
              <w:rPr>
                <w:rFonts w:ascii="Calibri" w:hAnsi="Calibri"/>
                <w:b/>
                <w:i w:val="0"/>
                <w:color w:val="FFFFFF"/>
                <w:sz w:val="20"/>
              </w:rPr>
              <w:t>Effect on results</w:t>
            </w:r>
          </w:p>
        </w:tc>
        <w:tc>
          <w:tcPr>
            <w:tcW w:type="dxa" w:w="1184"/>
            <w:shd w:val="clear" w:color="auto" w:fill="1F4E79"/>
            <w:vAlign w:val="center"/>
          </w:tcPr>
          <w:p>
            <w:pPr>
              <w:keepNext/>
              <w:spacing w:after="0"/>
            </w:pPr>
            <w:r>
              <w:rPr>
                <w:rFonts w:ascii="Calibri" w:hAnsi="Calibri"/>
                <w:b/>
                <w:i w:val="0"/>
                <w:color w:val="FFFFFF"/>
                <w:sz w:val="20"/>
              </w:rPr>
              <w:t>Commits</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w:t>
            </w:r>
          </w:p>
        </w:tc>
        <w:tc>
          <w:tcPr>
            <w:tcW w:type="dxa" w:w="1535"/>
            <w:shd w:val="clear" w:color="auto" w:fill="FFFFFF"/>
            <w:vAlign w:val="center"/>
          </w:tcPr>
          <w:p>
            <w:pPr>
              <w:keepNext/>
              <w:spacing w:after="0"/>
              <w:jc w:val="center"/>
            </w:pPr>
            <w:r>
              <w:rPr>
                <w:rFonts w:ascii="Calibri" w:hAnsi="Calibri"/>
                <w:b w:val="0"/>
                <w:i w:val="0"/>
                <w:color w:val="222222"/>
                <w:sz w:val="20"/>
              </w:rPr>
              <w:t>2026-10-10</w:t>
            </w:r>
          </w:p>
        </w:tc>
        <w:tc>
          <w:tcPr>
            <w:tcW w:type="dxa" w:w="2838"/>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32"/>
            <w:shd w:val="clear" w:color="auto" w:fill="FFFFFF"/>
            <w:vAlign w:val="center"/>
          </w:tcPr>
          <w:p>
            <w:pPr>
              <w:keepNext/>
              <w:spacing w:after="0"/>
            </w:pPr>
            <w:r>
              <w:rPr>
                <w:rFonts w:ascii="Calibri" w:hAnsi="Calibri"/>
                <w:b w:val="0"/>
                <w:i w:val="0"/>
                <w:color w:val="222222"/>
                <w:sz w:val="20"/>
              </w:rPr>
              <w:t>none (no number or claim changed)</w:t>
            </w:r>
          </w:p>
        </w:tc>
        <w:tc>
          <w:tcPr>
            <w:tcW w:type="dxa" w:w="1184"/>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w:t>
            </w:r>
          </w:p>
        </w:tc>
        <w:tc>
          <w:tcPr>
            <w:tcW w:type="dxa" w:w="1535"/>
            <w:shd w:val="clear" w:color="auto" w:fill="F7F9FB"/>
            <w:vAlign w:val="center"/>
          </w:tcPr>
          <w:p>
            <w:pPr>
              <w:keepNext/>
              <w:spacing w:after="0"/>
              <w:jc w:val="center"/>
            </w:pPr>
            <w:r>
              <w:rPr>
                <w:rFonts w:ascii="Calibri" w:hAnsi="Calibri"/>
                <w:b w:val="0"/>
                <w:i w:val="0"/>
                <w:color w:val="222222"/>
                <w:sz w:val="20"/>
              </w:rPr>
              <w:t>2026-10-11</w:t>
            </w:r>
          </w:p>
        </w:tc>
        <w:tc>
          <w:tcPr>
            <w:tcW w:type="dxa" w:w="2838"/>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32"/>
            <w:shd w:val="clear" w:color="auto" w:fill="F7F9FB"/>
            <w:vAlign w:val="center"/>
          </w:tcPr>
          <w:p>
            <w:pPr>
              <w:keepNext/>
              <w:spacing w:after="0"/>
            </w:pPr>
            <w:r>
              <w:rPr>
                <w:rFonts w:ascii="Calibri" w:hAnsi="Calibri"/>
                <w:b w:val="0"/>
                <w:i w:val="0"/>
                <w:color w:val="222222"/>
                <w:sz w:val="20"/>
              </w:rPr>
              <w:t>the dose conclusion reverses</w:t>
            </w:r>
          </w:p>
        </w:tc>
        <w:tc>
          <w:tcPr>
            <w:tcW w:type="dxa" w:w="1184"/>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w:t>
            </w:r>
          </w:p>
        </w:tc>
        <w:tc>
          <w:tcPr>
            <w:tcW w:type="dxa" w:w="1535"/>
            <w:shd w:val="clear" w:color="auto" w:fill="FFFFFF"/>
            <w:vAlign w:val="center"/>
          </w:tcPr>
          <w:p>
            <w:pPr>
              <w:keepNext/>
              <w:spacing w:after="0"/>
              <w:jc w:val="center"/>
            </w:pPr>
            <w:r>
              <w:rPr>
                <w:rFonts w:ascii="Calibri" w:hAnsi="Calibri"/>
                <w:b w:val="0"/>
                <w:i w:val="0"/>
                <w:color w:val="222222"/>
                <w:sz w:val="20"/>
              </w:rPr>
              <w:t>2026-10-22</w:t>
            </w:r>
          </w:p>
        </w:tc>
        <w:tc>
          <w:tcPr>
            <w:tcW w:type="dxa" w:w="2838"/>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32"/>
            <w:shd w:val="clear" w:color="auto" w:fill="FFFFFF"/>
            <w:vAlign w:val="center"/>
          </w:tcPr>
          <w:p>
            <w:pPr>
              <w:keepNext/>
              <w:spacing w:after="0"/>
            </w:pPr>
            <w:r>
              <w:rPr>
                <w:rFonts w:ascii="Calibri" w:hAnsi="Calibri"/>
                <w:b w:val="0"/>
                <w:i w:val="0"/>
                <w:color w:val="222222"/>
                <w:sz w:val="20"/>
              </w:rPr>
              <w:t>none; access only</w:t>
            </w:r>
          </w:p>
        </w:tc>
        <w:tc>
          <w:tcPr>
            <w:tcW w:type="dxa" w:w="1184"/>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w:t>
            </w:r>
          </w:p>
        </w:tc>
        <w:tc>
          <w:tcPr>
            <w:tcW w:type="dxa" w:w="1535"/>
            <w:shd w:val="clear" w:color="auto" w:fill="F7F9FB"/>
            <w:vAlign w:val="center"/>
          </w:tcPr>
          <w:p>
            <w:pPr>
              <w:keepNext/>
              <w:spacing w:after="0"/>
              <w:jc w:val="center"/>
            </w:pPr>
            <w:r>
              <w:rPr>
                <w:rFonts w:ascii="Calibri" w:hAnsi="Calibri"/>
                <w:b w:val="0"/>
                <w:i w:val="0"/>
                <w:color w:val="222222"/>
                <w:sz w:val="20"/>
              </w:rPr>
              <w:t>2026-10-22/23</w:t>
            </w:r>
          </w:p>
        </w:tc>
        <w:tc>
          <w:tcPr>
            <w:tcW w:type="dxa" w:w="2838"/>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32"/>
            <w:shd w:val="clear" w:color="auto" w:fill="F7F9FB"/>
            <w:vAlign w:val="center"/>
          </w:tcPr>
          <w:p>
            <w:pPr>
              <w:keepNext/>
              <w:spacing w:after="0"/>
            </w:pPr>
            <w:r>
              <w:rPr>
                <w:rFonts w:ascii="Calibri" w:hAnsi="Calibri"/>
                <w:b w:val="0"/>
                <w:i w:val="0"/>
                <w:color w:val="222222"/>
                <w:sz w:val="20"/>
              </w:rPr>
              <w:t>new results, pre-registered</w:t>
            </w:r>
          </w:p>
        </w:tc>
        <w:tc>
          <w:tcPr>
            <w:tcW w:type="dxa" w:w="1184"/>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32"/>
            <w:shd w:val="clear" w:color="auto" w:fill="FFFFFF"/>
            <w:vAlign w:val="center"/>
          </w:tcPr>
          <w:p>
            <w:pPr>
              <w:keepNext/>
              <w:spacing w:after="0"/>
            </w:pPr>
            <w:r>
              <w:rPr>
                <w:rFonts w:ascii="Calibri" w:hAnsi="Calibri"/>
                <w:b w:val="0"/>
                <w:i w:val="0"/>
                <w:color w:val="222222"/>
                <w:sz w:val="20"/>
              </w:rPr>
              <w:t>none; structure only</w:t>
            </w:r>
          </w:p>
        </w:tc>
        <w:tc>
          <w:tcPr>
            <w:tcW w:type="dxa" w:w="1184"/>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6</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32"/>
            <w:shd w:val="clear" w:color="auto" w:fill="F7F9FB"/>
            <w:vAlign w:val="center"/>
          </w:tcPr>
          <w:p>
            <w:pPr>
              <w:keepNext/>
              <w:spacing w:after="0"/>
            </w:pPr>
            <w:r>
              <w:rPr>
                <w:rFonts w:ascii="Calibri" w:hAnsi="Calibri"/>
                <w:b w:val="0"/>
                <w:i w:val="0"/>
                <w:color w:val="222222"/>
                <w:sz w:val="20"/>
              </w:rPr>
              <w:t>new comparison (descriptive)</w:t>
            </w:r>
          </w:p>
        </w:tc>
        <w:tc>
          <w:tcPr>
            <w:tcW w:type="dxa" w:w="1184"/>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7</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32"/>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84"/>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8</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32"/>
            <w:shd w:val="clear" w:color="auto" w:fill="F7F9FB"/>
            <w:vAlign w:val="center"/>
          </w:tcPr>
          <w:p>
            <w:pPr>
              <w:keepNext/>
              <w:spacing w:after="0"/>
            </w:pPr>
            <w:r>
              <w:rPr>
                <w:rFonts w:ascii="Calibri" w:hAnsi="Calibri"/>
                <w:b w:val="0"/>
                <w:i w:val="0"/>
                <w:color w:val="222222"/>
                <w:sz w:val="20"/>
              </w:rPr>
              <w:t>1 of 3 registered predictions pass</w:t>
            </w:r>
          </w:p>
        </w:tc>
        <w:tc>
          <w:tcPr>
            <w:tcW w:type="dxa" w:w="1184"/>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9</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32"/>
            <w:shd w:val="clear" w:color="auto" w:fill="FFFFFF"/>
            <w:vAlign w:val="center"/>
          </w:tcPr>
          <w:p>
            <w:pPr>
              <w:keepNext/>
              <w:spacing w:after="0"/>
            </w:pPr>
            <w:r>
              <w:rPr>
                <w:rFonts w:ascii="Calibri" w:hAnsi="Calibri"/>
                <w:b w:val="0"/>
                <w:i w:val="0"/>
                <w:color w:val="222222"/>
                <w:sz w:val="20"/>
              </w:rPr>
              <w:t>4 of 4 registered predictions pass</w:t>
            </w:r>
          </w:p>
        </w:tc>
        <w:tc>
          <w:tcPr>
            <w:tcW w:type="dxa" w:w="1184"/>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10</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32"/>
            <w:shd w:val="clear" w:color="auto" w:fill="F7F9FB"/>
            <w:vAlign w:val="center"/>
          </w:tcPr>
          <w:p>
            <w:pPr>
              <w:keepNext/>
              <w:spacing w:after="0"/>
            </w:pPr>
            <w:r>
              <w:rPr>
                <w:rFonts w:ascii="Calibri" w:hAnsi="Calibri"/>
                <w:b w:val="0"/>
                <w:i w:val="0"/>
                <w:color w:val="222222"/>
                <w:sz w:val="20"/>
              </w:rPr>
              <w:t>6 of 7 registered predictions pass</w:t>
            </w:r>
          </w:p>
        </w:tc>
        <w:tc>
          <w:tcPr>
            <w:tcW w:type="dxa" w:w="1184"/>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11</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32"/>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84"/>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12</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32"/>
            <w:shd w:val="clear" w:color="auto" w:fill="F7F9FB"/>
            <w:vAlign w:val="center"/>
          </w:tcPr>
          <w:p>
            <w:pPr>
              <w:keepNext/>
              <w:spacing w:after="0"/>
            </w:pPr>
            <w:r>
              <w:rPr>
                <w:rFonts w:ascii="Calibri" w:hAnsi="Calibri"/>
                <w:b w:val="0"/>
                <w:i w:val="0"/>
                <w:color w:val="222222"/>
                <w:sz w:val="20"/>
              </w:rPr>
              <w:t>plan, no new results</w:t>
            </w:r>
          </w:p>
        </w:tc>
        <w:tc>
          <w:tcPr>
            <w:tcW w:type="dxa" w:w="1184"/>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13</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32"/>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84"/>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14</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32"/>
            <w:shd w:val="clear" w:color="auto" w:fill="F7F9FB"/>
            <w:vAlign w:val="center"/>
          </w:tcPr>
          <w:p>
            <w:pPr>
              <w:keepNext/>
              <w:spacing w:after="0"/>
            </w:pPr>
            <w:r>
              <w:rPr>
                <w:rFonts w:ascii="Calibri" w:hAnsi="Calibri"/>
                <w:b w:val="0"/>
                <w:i w:val="0"/>
                <w:color w:val="222222"/>
                <w:sz w:val="20"/>
              </w:rPr>
              <w:t>3 of 5 registered predictions pass</w:t>
            </w:r>
          </w:p>
        </w:tc>
        <w:tc>
          <w:tcPr>
            <w:tcW w:type="dxa" w:w="1184"/>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15</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32"/>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84"/>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16</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32"/>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84"/>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17</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32"/>
            <w:shd w:val="clear" w:color="auto" w:fill="FFFFFF"/>
            <w:vAlign w:val="center"/>
          </w:tcPr>
          <w:p>
            <w:pPr>
              <w:keepNext/>
              <w:spacing w:after="0"/>
            </w:pPr>
            <w:r>
              <w:rPr>
                <w:rFonts w:ascii="Calibri" w:hAnsi="Calibri"/>
                <w:b w:val="0"/>
                <w:i w:val="0"/>
                <w:color w:val="222222"/>
                <w:sz w:val="20"/>
              </w:rPr>
              <w:t>1 of 5 pass; no walking rhythm</w:t>
            </w:r>
          </w:p>
        </w:tc>
        <w:tc>
          <w:tcPr>
            <w:tcW w:type="dxa" w:w="1184"/>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18</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32"/>
            <w:shd w:val="clear" w:color="auto" w:fill="F7F9FB"/>
            <w:vAlign w:val="center"/>
          </w:tcPr>
          <w:p>
            <w:pPr>
              <w:keepNext/>
              <w:spacing w:after="0"/>
            </w:pPr>
            <w:r>
              <w:rPr>
                <w:rFonts w:ascii="Calibri" w:hAnsi="Calibri"/>
                <w:b w:val="0"/>
                <w:i w:val="0"/>
                <w:color w:val="222222"/>
                <w:sz w:val="20"/>
              </w:rPr>
              <w:t>6 of 6 registered predictions pass</w:t>
            </w:r>
          </w:p>
        </w:tc>
        <w:tc>
          <w:tcPr>
            <w:tcW w:type="dxa" w:w="1184"/>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19</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32"/>
            <w:shd w:val="clear" w:color="auto" w:fill="FFFFFF"/>
            <w:vAlign w:val="center"/>
          </w:tcPr>
          <w:p>
            <w:pPr>
              <w:keepNext/>
              <w:spacing w:after="0"/>
            </w:pPr>
            <w:r>
              <w:rPr>
                <w:rFonts w:ascii="Calibri" w:hAnsi="Calibri"/>
                <w:b w:val="0"/>
                <w:i w:val="0"/>
                <w:color w:val="222222"/>
                <w:sz w:val="20"/>
              </w:rPr>
              <w:t>stopped by its rule; no cell walks</w:t>
            </w:r>
          </w:p>
        </w:tc>
        <w:tc>
          <w:tcPr>
            <w:tcW w:type="dxa" w:w="1184"/>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20</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32"/>
            <w:shd w:val="clear" w:color="auto" w:fill="F7F9FB"/>
            <w:vAlign w:val="center"/>
          </w:tcPr>
          <w:p>
            <w:pPr>
              <w:keepNext/>
              <w:spacing w:after="0"/>
            </w:pPr>
            <w:r>
              <w:rPr>
                <w:rFonts w:ascii="Calibri" w:hAnsi="Calibri"/>
                <w:b w:val="0"/>
                <w:i w:val="0"/>
                <w:color w:val="222222"/>
                <w:sz w:val="20"/>
              </w:rPr>
              <w:t>1 of 7 at the selected cell</w:t>
            </w:r>
          </w:p>
        </w:tc>
        <w:tc>
          <w:tcPr>
            <w:tcW w:type="dxa" w:w="1184"/>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21</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32"/>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84"/>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22</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The registered rhythm-measure audit</w:t>
            </w:r>
          </w:p>
        </w:tc>
        <w:tc>
          <w:tcPr>
            <w:tcW w:type="dxa" w:w="2532"/>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84"/>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23</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32"/>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84"/>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24</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32"/>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84"/>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25</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32"/>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84"/>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26</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32"/>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84"/>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27</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32"/>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84"/>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28</w:t>
            </w:r>
          </w:p>
        </w:tc>
        <w:tc>
          <w:tcPr>
            <w:tcW w:type="dxa" w:w="1535"/>
            <w:shd w:val="clear" w:color="auto" w:fill="F7F9FB"/>
            <w:vAlign w:val="center"/>
          </w:tcPr>
          <w:p>
            <w:pPr>
              <w:keepNext/>
              <w:spacing w:after="0"/>
              <w:jc w:val="center"/>
            </w:pPr>
            <w:r>
              <w:rPr>
                <w:rFonts w:ascii="Calibri" w:hAnsi="Calibri"/>
                <w:b w:val="0"/>
                <w:i w:val="0"/>
                <w:color w:val="222222"/>
                <w:sz w:val="20"/>
              </w:rPr>
              <w:t>2026-10-24</w:t>
            </w:r>
          </w:p>
        </w:tc>
        <w:tc>
          <w:tcPr>
            <w:tcW w:type="dxa" w:w="2838"/>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32"/>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84"/>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29</w:t>
            </w:r>
          </w:p>
        </w:tc>
        <w:tc>
          <w:tcPr>
            <w:tcW w:type="dxa" w:w="1535"/>
            <w:shd w:val="clear" w:color="auto" w:fill="FFFFFF"/>
            <w:vAlign w:val="center"/>
          </w:tcPr>
          <w:p>
            <w:pPr>
              <w:keepNext/>
              <w:spacing w:after="0"/>
              <w:jc w:val="center"/>
            </w:pPr>
            <w:r>
              <w:rPr>
                <w:rFonts w:ascii="Calibri" w:hAnsi="Calibri"/>
                <w:b w:val="0"/>
                <w:i w:val="0"/>
                <w:color w:val="222222"/>
                <w:sz w:val="20"/>
              </w:rPr>
              <w:t>2026-10-24</w:t>
            </w:r>
          </w:p>
        </w:tc>
        <w:tc>
          <w:tcPr>
            <w:tcW w:type="dxa" w:w="2838"/>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32"/>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84"/>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30</w:t>
            </w:r>
          </w:p>
        </w:tc>
        <w:tc>
          <w:tcPr>
            <w:tcW w:type="dxa" w:w="1535"/>
            <w:shd w:val="clear" w:color="auto" w:fill="F7F9FB"/>
            <w:vAlign w:val="center"/>
          </w:tcPr>
          <w:p>
            <w:pPr>
              <w:keepNext/>
              <w:spacing w:after="0"/>
              <w:jc w:val="center"/>
            </w:pPr>
            <w:r>
              <w:rPr>
                <w:rFonts w:ascii="Calibri" w:hAnsi="Calibri"/>
                <w:b w:val="0"/>
                <w:i w:val="0"/>
                <w:color w:val="222222"/>
                <w:sz w:val="20"/>
              </w:rPr>
              <w:t>2026-10-24/25</w:t>
            </w:r>
          </w:p>
        </w:tc>
        <w:tc>
          <w:tcPr>
            <w:tcW w:type="dxa" w:w="2838"/>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32"/>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84"/>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31</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32"/>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84"/>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32</w:t>
            </w:r>
          </w:p>
        </w:tc>
        <w:tc>
          <w:tcPr>
            <w:tcW w:type="dxa" w:w="1535"/>
            <w:shd w:val="clear" w:color="auto" w:fill="F7F9FB"/>
            <w:vAlign w:val="center"/>
          </w:tcPr>
          <w:p>
            <w:pPr>
              <w:keepNext/>
              <w:spacing w:after="0"/>
              <w:jc w:val="center"/>
            </w:pPr>
            <w:r>
              <w:rPr>
                <w:rFonts w:ascii="Calibri" w:hAnsi="Calibri"/>
                <w:b w:val="0"/>
                <w:i w:val="0"/>
                <w:color w:val="222222"/>
                <w:sz w:val="20"/>
              </w:rPr>
              <w:t>2026-10-25</w:t>
            </w:r>
          </w:p>
        </w:tc>
        <w:tc>
          <w:tcPr>
            <w:tcW w:type="dxa" w:w="2838"/>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32"/>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84"/>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33</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32"/>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84"/>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34</w:t>
            </w:r>
          </w:p>
        </w:tc>
        <w:tc>
          <w:tcPr>
            <w:tcW w:type="dxa" w:w="1535"/>
            <w:shd w:val="clear" w:color="auto" w:fill="F7F9FB"/>
            <w:vAlign w:val="center"/>
          </w:tcPr>
          <w:p>
            <w:pPr>
              <w:keepNext/>
              <w:spacing w:after="0"/>
              <w:jc w:val="center"/>
            </w:pPr>
            <w:r>
              <w:rPr>
                <w:rFonts w:ascii="Calibri" w:hAnsi="Calibri"/>
                <w:b w:val="0"/>
                <w:i w:val="0"/>
                <w:color w:val="222222"/>
                <w:sz w:val="20"/>
              </w:rPr>
              <w:t>2026-10-25</w:t>
            </w:r>
          </w:p>
        </w:tc>
        <w:tc>
          <w:tcPr>
            <w:tcW w:type="dxa" w:w="2838"/>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32"/>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84"/>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35</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32"/>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84"/>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36</w:t>
            </w:r>
          </w:p>
        </w:tc>
        <w:tc>
          <w:tcPr>
            <w:tcW w:type="dxa" w:w="1535"/>
            <w:shd w:val="clear" w:color="auto" w:fill="F7F9FB"/>
            <w:vAlign w:val="center"/>
          </w:tcPr>
          <w:p>
            <w:pPr>
              <w:keepNext/>
              <w:spacing w:after="0"/>
              <w:jc w:val="center"/>
            </w:pPr>
            <w:r>
              <w:rPr>
                <w:rFonts w:ascii="Calibri" w:hAnsi="Calibri"/>
                <w:b w:val="0"/>
                <w:i w:val="0"/>
                <w:color w:val="222222"/>
                <w:sz w:val="20"/>
              </w:rPr>
              <w:t>2026-10-25</w:t>
            </w:r>
          </w:p>
        </w:tc>
        <w:tc>
          <w:tcPr>
            <w:tcW w:type="dxa" w:w="2838"/>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32"/>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84"/>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37</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32"/>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84"/>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38</w:t>
            </w:r>
          </w:p>
        </w:tc>
        <w:tc>
          <w:tcPr>
            <w:tcW w:type="dxa" w:w="1535"/>
            <w:shd w:val="clear" w:color="auto" w:fill="F7F9FB"/>
            <w:vAlign w:val="center"/>
          </w:tcPr>
          <w:p>
            <w:pPr>
              <w:keepNext/>
              <w:spacing w:after="0"/>
              <w:jc w:val="center"/>
            </w:pPr>
            <w:r>
              <w:rPr>
                <w:rFonts w:ascii="Calibri" w:hAnsi="Calibri"/>
                <w:b w:val="0"/>
                <w:i w:val="0"/>
                <w:color w:val="222222"/>
                <w:sz w:val="20"/>
              </w:rPr>
              <w:t>2026-10-25</w:t>
            </w:r>
          </w:p>
        </w:tc>
        <w:tc>
          <w:tcPr>
            <w:tcW w:type="dxa" w:w="2838"/>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32"/>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84"/>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39</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32"/>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84"/>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40</w:t>
            </w:r>
          </w:p>
        </w:tc>
        <w:tc>
          <w:tcPr>
            <w:tcW w:type="dxa" w:w="1535"/>
            <w:shd w:val="clear" w:color="auto" w:fill="F7F9FB"/>
            <w:vAlign w:val="center"/>
          </w:tcPr>
          <w:p>
            <w:pPr>
              <w:keepNext/>
              <w:spacing w:after="0"/>
              <w:jc w:val="center"/>
            </w:pPr>
            <w:r>
              <w:rPr>
                <w:rFonts w:ascii="Calibri" w:hAnsi="Calibri"/>
                <w:b w:val="0"/>
                <w:i w:val="0"/>
                <w:color w:val="222222"/>
                <w:sz w:val="20"/>
              </w:rPr>
              <w:t>2026-10-25</w:t>
            </w:r>
          </w:p>
        </w:tc>
        <w:tc>
          <w:tcPr>
            <w:tcW w:type="dxa" w:w="2838"/>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32"/>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84"/>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41</w:t>
            </w:r>
          </w:p>
        </w:tc>
        <w:tc>
          <w:tcPr>
            <w:tcW w:type="dxa" w:w="1535"/>
            <w:shd w:val="clear" w:color="auto" w:fill="FFFFFF"/>
            <w:vAlign w:val="center"/>
          </w:tcPr>
          <w:p>
            <w:pPr>
              <w:keepNext/>
              <w:spacing w:after="0"/>
              <w:jc w:val="center"/>
            </w:pPr>
            <w:r>
              <w:rPr>
                <w:rFonts w:ascii="Calibri" w:hAnsi="Calibri"/>
                <w:b w:val="0"/>
                <w:i w:val="0"/>
                <w:color w:val="222222"/>
                <w:sz w:val="20"/>
              </w:rPr>
              <w:t>2026-10-25</w:t>
            </w:r>
          </w:p>
        </w:tc>
        <w:tc>
          <w:tcPr>
            <w:tcW w:type="dxa" w:w="2838"/>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32"/>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84"/>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42</w:t>
            </w:r>
          </w:p>
        </w:tc>
        <w:tc>
          <w:tcPr>
            <w:tcW w:type="dxa" w:w="1535"/>
            <w:shd w:val="clear" w:color="auto" w:fill="F7F9FB"/>
            <w:vAlign w:val="center"/>
          </w:tcPr>
          <w:p>
            <w:pPr>
              <w:keepNext/>
              <w:spacing w:after="0"/>
              <w:jc w:val="center"/>
            </w:pPr>
            <w:r>
              <w:rPr>
                <w:rFonts w:ascii="Calibri" w:hAnsi="Calibri"/>
                <w:b w:val="0"/>
                <w:i w:val="0"/>
                <w:color w:val="222222"/>
                <w:sz w:val="20"/>
              </w:rPr>
              <w:t>2026-10-26</w:t>
            </w:r>
          </w:p>
        </w:tc>
        <w:tc>
          <w:tcPr>
            <w:tcW w:type="dxa" w:w="2838"/>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32"/>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84"/>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43</w:t>
            </w:r>
          </w:p>
        </w:tc>
        <w:tc>
          <w:tcPr>
            <w:tcW w:type="dxa" w:w="1535"/>
            <w:shd w:val="clear" w:color="auto" w:fill="FFFFFF"/>
            <w:vAlign w:val="center"/>
          </w:tcPr>
          <w:p>
            <w:pPr>
              <w:keepNext/>
              <w:spacing w:after="0"/>
              <w:jc w:val="center"/>
            </w:pPr>
            <w:r>
              <w:rPr>
                <w:rFonts w:ascii="Calibri" w:hAnsi="Calibri"/>
                <w:b w:val="0"/>
                <w:i w:val="0"/>
                <w:color w:val="222222"/>
                <w:sz w:val="20"/>
              </w:rPr>
              <w:t>2026-10-27</w:t>
            </w:r>
          </w:p>
        </w:tc>
        <w:tc>
          <w:tcPr>
            <w:tcW w:type="dxa" w:w="2838"/>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32"/>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84"/>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44</w:t>
            </w:r>
          </w:p>
        </w:tc>
        <w:tc>
          <w:tcPr>
            <w:tcW w:type="dxa" w:w="1535"/>
            <w:shd w:val="clear" w:color="auto" w:fill="F7F9FB"/>
            <w:vAlign w:val="center"/>
          </w:tcPr>
          <w:p>
            <w:pPr>
              <w:keepNext/>
              <w:spacing w:after="0"/>
              <w:jc w:val="center"/>
            </w:pPr>
            <w:r>
              <w:rPr>
                <w:rFonts w:ascii="Calibri" w:hAnsi="Calibri"/>
                <w:b w:val="0"/>
                <w:i w:val="0"/>
                <w:color w:val="222222"/>
                <w:sz w:val="20"/>
              </w:rPr>
              <w:t>2026-10-28</w:t>
            </w:r>
          </w:p>
        </w:tc>
        <w:tc>
          <w:tcPr>
            <w:tcW w:type="dxa" w:w="2838"/>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32"/>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84"/>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45</w:t>
            </w:r>
          </w:p>
        </w:tc>
        <w:tc>
          <w:tcPr>
            <w:tcW w:type="dxa" w:w="1535"/>
            <w:shd w:val="clear" w:color="auto" w:fill="FFFFFF"/>
            <w:vAlign w:val="center"/>
          </w:tcPr>
          <w:p>
            <w:pPr>
              <w:keepNext/>
              <w:spacing w:after="0"/>
              <w:jc w:val="center"/>
            </w:pPr>
            <w:r>
              <w:rPr>
                <w:rFonts w:ascii="Calibri" w:hAnsi="Calibri"/>
                <w:b w:val="0"/>
                <w:i w:val="0"/>
                <w:color w:val="222222"/>
                <w:sz w:val="20"/>
              </w:rPr>
              <w:t>2026-10-27/28</w:t>
            </w:r>
          </w:p>
        </w:tc>
        <w:tc>
          <w:tcPr>
            <w:tcW w:type="dxa" w:w="2838"/>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32"/>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84"/>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46</w:t>
            </w:r>
          </w:p>
        </w:tc>
        <w:tc>
          <w:tcPr>
            <w:tcW w:type="dxa" w:w="1535"/>
            <w:shd w:val="clear" w:color="auto" w:fill="F7F9FB"/>
            <w:vAlign w:val="center"/>
          </w:tcPr>
          <w:p>
            <w:pPr>
              <w:keepNext/>
              <w:spacing w:after="0"/>
              <w:jc w:val="center"/>
            </w:pPr>
            <w:r>
              <w:rPr>
                <w:rFonts w:ascii="Calibri" w:hAnsi="Calibri"/>
                <w:b w:val="0"/>
                <w:i w:val="0"/>
                <w:color w:val="222222"/>
                <w:sz w:val="20"/>
              </w:rPr>
              <w:t>2026-10-28</w:t>
            </w:r>
          </w:p>
        </w:tc>
        <w:tc>
          <w:tcPr>
            <w:tcW w:type="dxa" w:w="2838"/>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32"/>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84"/>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47</w:t>
            </w:r>
          </w:p>
        </w:tc>
        <w:tc>
          <w:tcPr>
            <w:tcW w:type="dxa" w:w="1535"/>
            <w:shd w:val="clear" w:color="auto" w:fill="FFFFFF"/>
            <w:vAlign w:val="center"/>
          </w:tcPr>
          <w:p>
            <w:pPr>
              <w:keepNext/>
              <w:spacing w:after="0"/>
              <w:jc w:val="center"/>
            </w:pPr>
            <w:r>
              <w:rPr>
                <w:rFonts w:ascii="Calibri" w:hAnsi="Calibri"/>
                <w:b w:val="0"/>
                <w:i w:val="0"/>
                <w:color w:val="222222"/>
                <w:sz w:val="20"/>
              </w:rPr>
              <w:t>2026-10-28</w:t>
            </w:r>
          </w:p>
        </w:tc>
        <w:tc>
          <w:tcPr>
            <w:tcW w:type="dxa" w:w="2838"/>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32"/>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84"/>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48</w:t>
            </w:r>
          </w:p>
        </w:tc>
        <w:tc>
          <w:tcPr>
            <w:tcW w:type="dxa" w:w="1535"/>
            <w:shd w:val="clear" w:color="auto" w:fill="F7F9FB"/>
            <w:vAlign w:val="center"/>
          </w:tcPr>
          <w:p>
            <w:pPr>
              <w:keepNext/>
              <w:spacing w:after="0"/>
              <w:jc w:val="center"/>
            </w:pPr>
            <w:r>
              <w:rPr>
                <w:rFonts w:ascii="Calibri" w:hAnsi="Calibri"/>
                <w:b w:val="0"/>
                <w:i w:val="0"/>
                <w:color w:val="222222"/>
                <w:sz w:val="20"/>
              </w:rPr>
              <w:t>2026-10-28</w:t>
            </w:r>
          </w:p>
        </w:tc>
        <w:tc>
          <w:tcPr>
            <w:tcW w:type="dxa" w:w="2838"/>
            <w:shd w:val="clear" w:color="auto" w:fill="F7F9FB"/>
            <w:vAlign w:val="center"/>
          </w:tcPr>
          <w:p>
            <w:pPr>
              <w:keepNext/>
              <w:spacing w:after="0"/>
            </w:pPr>
            <w:r>
              <w:rPr>
                <w:rFonts w:ascii="Calibri" w:hAnsi="Calibri"/>
                <w:b w:val="0"/>
                <w:i w:val="0"/>
                <w:color w:val="222222"/>
                <w:sz w:val="20"/>
              </w:rPr>
              <w:t>The depositors' logISI burst detector, implemented and tested against their meaRtools output (D34, registered)</w:t>
            </w:r>
          </w:p>
        </w:tc>
        <w:tc>
          <w:tcPr>
            <w:tcW w:type="dxa" w:w="2532"/>
            <w:shd w:val="clear" w:color="auto" w:fill="F7F9FB"/>
            <w:vAlign w:val="center"/>
          </w:tcPr>
          <w:p>
            <w:pPr>
              <w:keepNext/>
              <w:spacing w:after="0"/>
            </w:pPr>
            <w:r>
              <w:rPr>
                <w:rFonts w:ascii="Calibri" w:hAnsi="Calibri"/>
                <w:b w:val="0"/>
                <w:i w:val="0"/>
                <w:color w:val="222222"/>
                <w:sz w:val="20"/>
              </w:rPr>
              <w:t>1 of 4 registered predictions pass; burst duration and spikes per burst reach their scale but not their ordering, the hPSC burst rate overshoots; the detector attribution stays open</w:t>
            </w:r>
          </w:p>
        </w:tc>
        <w:tc>
          <w:tcPr>
            <w:tcW w:type="dxa" w:w="1184"/>
            <w:shd w:val="clear" w:color="auto" w:fill="F7F9FB"/>
            <w:vAlign w:val="center"/>
          </w:tcPr>
          <w:p>
            <w:pPr>
              <w:keepNext/>
              <w:spacing w:after="0"/>
            </w:pPr>
            <w:r>
              <w:rPr>
                <w:rFonts w:ascii="Consolas" w:hAnsi="Consolas"/>
                <w:b w:val="0"/>
                <w:i w:val="0"/>
                <w:color w:val="222222"/>
                <w:sz w:val="18"/>
              </w:rPr>
              <w:t>e11bc05</w:t>
            </w:r>
            <w:r>
              <w:rPr>
                <w:rFonts w:ascii="Calibri" w:hAnsi="Calibri"/>
                <w:b w:val="0"/>
                <w:i w:val="0"/>
                <w:color w:val="222222"/>
                <w:sz w:val="20"/>
              </w:rPr>
              <w:t xml:space="preserve">, </w:t>
            </w:r>
            <w:r>
              <w:rPr>
                <w:rFonts w:ascii="Consolas" w:hAnsi="Consolas"/>
                <w:b w:val="0"/>
                <w:i w:val="0"/>
                <w:color w:val="222222"/>
                <w:sz w:val="18"/>
              </w:rPr>
              <w:t>9570a9f</w:t>
            </w:r>
            <w:r>
              <w:rPr>
                <w:rFonts w:ascii="Calibri" w:hAnsi="Calibri"/>
                <w:b w:val="0"/>
                <w:i w:val="0"/>
                <w:color w:val="222222"/>
                <w:sz w:val="20"/>
              </w:rPr>
              <w:t xml:space="preserve">, </w:t>
            </w:r>
            <w:r>
              <w:rPr>
                <w:rFonts w:ascii="Consolas" w:hAnsi="Consolas"/>
                <w:b w:val="0"/>
                <w:i w:val="0"/>
                <w:color w:val="222222"/>
                <w:sz w:val="18"/>
              </w:rPr>
              <w:t>6f63385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49</w:t>
            </w:r>
          </w:p>
        </w:tc>
        <w:tc>
          <w:tcPr>
            <w:tcW w:type="dxa" w:w="1535"/>
            <w:shd w:val="clear" w:color="auto" w:fill="FFFFFF"/>
            <w:vAlign w:val="center"/>
          </w:tcPr>
          <w:p>
            <w:pPr>
              <w:keepNext/>
              <w:spacing w:after="0"/>
              <w:jc w:val="center"/>
            </w:pPr>
            <w:r>
              <w:rPr>
                <w:rFonts w:ascii="Calibri" w:hAnsi="Calibri"/>
                <w:b w:val="0"/>
                <w:i w:val="0"/>
                <w:color w:val="222222"/>
                <w:sz w:val="20"/>
              </w:rPr>
              <w:t>2026-10-28</w:t>
            </w:r>
          </w:p>
        </w:tc>
        <w:tc>
          <w:tcPr>
            <w:tcW w:type="dxa" w:w="2838"/>
            <w:shd w:val="clear" w:color="auto" w:fill="FFFFFF"/>
            <w:vAlign w:val="center"/>
          </w:tcPr>
          <w:p>
            <w:pPr>
              <w:keepNext/>
              <w:spacing w:after="0"/>
            </w:pPr>
            <w:r>
              <w:rPr>
                <w:rFonts w:ascii="Calibri" w:hAnsi="Calibri"/>
                <w:b w:val="0"/>
                <w:i w:val="0"/>
                <w:color w:val="222222"/>
                <w:sz w:val="20"/>
              </w:rPr>
              <w:t>Settling or steady noise in the human iPSC split-half spread (D35)</w:t>
            </w:r>
          </w:p>
        </w:tc>
        <w:tc>
          <w:tcPr>
            <w:tcW w:type="dxa" w:w="2532"/>
            <w:shd w:val="clear" w:color="auto" w:fill="FFFFFF"/>
            <w:vAlign w:val="center"/>
          </w:tcPr>
          <w:p>
            <w:pPr>
              <w:keepNext/>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84"/>
            <w:shd w:val="clear" w:color="auto" w:fill="FFFFFF"/>
            <w:vAlign w:val="center"/>
          </w:tcPr>
          <w:p>
            <w:pPr>
              <w:keepNext/>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val="0"/>
              <w:spacing w:after="0"/>
              <w:jc w:val="center"/>
            </w:pPr>
            <w:r>
              <w:rPr>
                <w:rFonts w:ascii="Calibri" w:hAnsi="Calibri"/>
                <w:b/>
                <w:i w:val="0"/>
                <w:color w:val="222222"/>
                <w:sz w:val="20"/>
              </w:rPr>
              <w:t>51</w:t>
            </w:r>
          </w:p>
        </w:tc>
        <w:tc>
          <w:tcPr>
            <w:tcW w:type="dxa" w:w="1535"/>
            <w:shd w:val="clear" w:color="auto" w:fill="F7F9FB"/>
            <w:vAlign w:val="center"/>
          </w:tcPr>
          <w:p>
            <w:pPr>
              <w:keepNext w:val="0"/>
              <w:spacing w:after="0"/>
              <w:jc w:val="center"/>
            </w:pPr>
            <w:r>
              <w:rPr>
                <w:rFonts w:ascii="Calibri" w:hAnsi="Calibri"/>
                <w:b w:val="0"/>
                <w:i w:val="0"/>
                <w:color w:val="222222"/>
                <w:sz w:val="20"/>
              </w:rPr>
              <w:t>2026-10-28</w:t>
            </w:r>
          </w:p>
        </w:tc>
        <w:tc>
          <w:tcPr>
            <w:tcW w:type="dxa" w:w="2838"/>
            <w:shd w:val="clear" w:color="auto" w:fill="F7F9FB"/>
            <w:vAlign w:val="center"/>
          </w:tcPr>
          <w:p>
            <w:pPr>
              <w:keepNext w:val="0"/>
              <w:spacing w:after="0"/>
            </w:pPr>
            <w:r>
              <w:rPr>
                <w:rFonts w:ascii="Calibri" w:hAnsi="Calibri"/>
                <w:b w:val="0"/>
                <w:i w:val="0"/>
                <w:color w:val="222222"/>
                <w:sz w:val="20"/>
              </w:rPr>
              <w:t>Named definition sets: the asset's spike-time features under ours and the Kapucu 2022 depositors' stated definitions, in a sidecar table, with a translation table (D37)</w:t>
            </w:r>
          </w:p>
        </w:tc>
        <w:tc>
          <w:tcPr>
            <w:tcW w:type="dxa" w:w="2532"/>
            <w:shd w:val="clear" w:color="auto" w:fill="F7F9FB"/>
            <w:vAlign w:val="center"/>
          </w:tcPr>
          <w:p>
            <w:pPr>
              <w:keepNext w:val="0"/>
              <w:spacing w:after="0"/>
            </w:pPr>
            <w:r>
              <w:rPr>
                <w:rFonts w:ascii="Calibri" w:hAnsi="Calibri"/>
                <w:b w:val="0"/>
                <w:i w:val="0"/>
                <w:color w:val="222222"/>
                <w:sz w:val="20"/>
              </w:rPr>
              <w:t>none to earlier results (asset and metrics byte-identical); three features carry over as the same number, three by a plate-dependent factor, burst rate not at all</w:t>
            </w:r>
          </w:p>
        </w:tc>
        <w:tc>
          <w:tcPr>
            <w:tcW w:type="dxa" w:w="1184"/>
            <w:shd w:val="clear" w:color="auto" w:fill="F7F9FB"/>
            <w:vAlign w:val="center"/>
          </w:tcPr>
          <w:p>
            <w:pPr>
              <w:keepNext w:val="0"/>
              <w:spacing w:after="0"/>
            </w:pPr>
            <w:r>
              <w:rPr>
                <w:rFonts w:ascii="Calibri" w:hAnsi="Calibri"/>
                <w:b w:val="0"/>
                <w:i w:val="0"/>
                <w:color w:val="222222"/>
                <w:sz w:val="20"/>
              </w:rPr>
              <w:t>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46 registered studies here made 233 predictions: 105 passed, 88 failed, 39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41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48. The depositors' burst detector, tested: it does not explain the rest of the gap as registered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the depositors' own adaptive burst detector (logISI) added to their stated settings, our burst duration and spikes per burst land on their scale (pooled ratios 0.96 and 1.00) but still rank recordings differently, and the human burst rate overshoots theirs; one of four registered predictions passes, so the detector does not account for the remaining gap, or our implementation differs from theirs.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a third definition option, off by default: </w:t>
      </w:r>
      <w:r>
        <w:rPr>
          <w:rFonts w:ascii="Consolas" w:hAnsi="Consolas"/>
          <w:b w:val="0"/>
          <w:i w:val="0"/>
          <w:color w:val="222222"/>
          <w:sz w:val="19"/>
        </w:rPr>
        <w:t>FeatureParams.burst_detector = "logisi"</w:t>
      </w:r>
      <w:r>
        <w:rPr>
          <w:rFonts w:ascii="Calibri" w:hAnsi="Calibri"/>
          <w:b w:val="0"/>
          <w:i w:val="0"/>
          <w:color w:val="222222"/>
          <w:sz w:val="21"/>
        </w:rPr>
        <w:t xml:space="preserve">, the adaptive detector of Pasquale et al. 2010 with the depositors' stated minimum of five spikes and merging of close bursts. At the default every feature value and method record is byte-identical (the golden-value tests pass). A new module, </w:t>
      </w:r>
      <w:r>
        <w:rPr>
          <w:rFonts w:ascii="Consolas" w:hAnsi="Consolas"/>
          <w:b w:val="0"/>
          <w:i w:val="0"/>
          <w:color w:val="222222"/>
          <w:sz w:val="19"/>
        </w:rPr>
        <w:t>src/neuromps/models/extractor_logisi.py</w:t>
      </w:r>
      <w:r>
        <w:rPr>
          <w:rFonts w:ascii="Calibri" w:hAnsi="Calibri"/>
          <w:b w:val="0"/>
          <w:i w:val="0"/>
          <w:color w:val="222222"/>
          <w:sz w:val="21"/>
        </w:rPr>
        <w:t xml:space="preserve">, runs inside the extractor-agreement stage: S4 is the ladder's S3 with logISI (defined in </w:t>
      </w:r>
      <w:r>
        <w:rPr>
          <w:rFonts w:ascii="Consolas" w:hAnsi="Consolas"/>
          <w:b w:val="0"/>
          <w:i w:val="0"/>
          <w:color w:val="222222"/>
          <w:sz w:val="19"/>
        </w:rPr>
        <w:t>extractor_ladder.py</w:t>
      </w:r>
      <w:r>
        <w:rPr>
          <w:rFonts w:ascii="Calibri" w:hAnsi="Calibri"/>
          <w:b w:val="0"/>
          <w:i w:val="0"/>
          <w:color w:val="222222"/>
          <w:sz w:val="21"/>
        </w:rPr>
        <w:t xml:space="preserve"> beside the ladder, outside its definition set). The registration (</w:t>
      </w:r>
      <w:r>
        <w:rPr>
          <w:rFonts w:ascii="Consolas" w:hAnsi="Consolas"/>
          <w:b w:val="0"/>
          <w:i w:val="0"/>
          <w:color w:val="222222"/>
          <w:sz w:val="19"/>
        </w:rPr>
        <w:t>preregistration/extractor_logisi.json</w:t>
      </w:r>
      <w:r>
        <w:rPr>
          <w:rFonts w:ascii="Calibri" w:hAnsi="Calibri"/>
          <w:b w:val="0"/>
          <w:i w:val="0"/>
          <w:color w:val="222222"/>
          <w:sz w:val="21"/>
        </w:rPr>
        <w:t>, decision D34) fixed four predictions and the uninterpretable rule; its implementation section was completed and committed alone (</w:t>
      </w:r>
      <w:r>
        <w:rPr>
          <w:rFonts w:ascii="Consolas" w:hAnsi="Consolas"/>
          <w:b w:val="0"/>
          <w:i w:val="0"/>
          <w:color w:val="222222"/>
          <w:sz w:val="19"/>
        </w:rPr>
        <w:t>9570a9f</w:t>
      </w:r>
      <w:r>
        <w:rPr>
          <w:rFonts w:ascii="Calibri" w:hAnsi="Calibri"/>
          <w:b w:val="0"/>
          <w:i w:val="0"/>
          <w:color w:val="222222"/>
          <w:sz w:val="21"/>
        </w:rPr>
        <w:t>) before the detector ran on any Kapucu recording.</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47 attributed what the settings ladder left (burst duration, spikes per burst, part of the hPSC burst rate) to the burst detector without a test; a measured attribution answers "why trust your extractor" better than an inferred one.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L1 </w:t>
      </w:r>
      <w:r>
        <w:rPr>
          <w:rFonts w:ascii="Consolas" w:hAnsi="Consolas"/>
          <w:b w:val="0"/>
          <w:i w:val="0"/>
          <w:color w:val="222222"/>
          <w:sz w:val="19"/>
        </w:rPr>
        <w:t>fail</w:t>
      </w:r>
      <w:r>
        <w:rPr>
          <w:rFonts w:ascii="Calibri" w:hAnsi="Calibri"/>
          <w:b w:val="0"/>
          <w:i w:val="0"/>
          <w:color w:val="222222"/>
          <w:sz w:val="21"/>
        </w:rPr>
        <w:t>: pooled burst duration ratio 0.9611 is in its band, but rho 0.8347 is below 0.9 (S3: 0.8167).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L2 </w:t>
      </w:r>
      <w:r>
        <w:rPr>
          <w:rFonts w:ascii="Consolas" w:hAnsi="Consolas"/>
          <w:b w:val="0"/>
          <w:i w:val="0"/>
          <w:color w:val="222222"/>
          <w:sz w:val="19"/>
        </w:rPr>
        <w:t>fail</w:t>
      </w:r>
      <w:r>
        <w:rPr>
          <w:rFonts w:ascii="Calibri" w:hAnsi="Calibri"/>
          <w:b w:val="0"/>
          <w:i w:val="0"/>
          <w:color w:val="222222"/>
          <w:sz w:val="21"/>
        </w:rPr>
        <w:t>: pooled spikes per burst ratio 0.9986 is in its band, but rho 0.9467 is below 0.95 (S3: 0.9443).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L3 </w:t>
      </w:r>
      <w:r>
        <w:rPr>
          <w:rFonts w:ascii="Consolas" w:hAnsi="Consolas"/>
          <w:b w:val="0"/>
          <w:i w:val="0"/>
          <w:color w:val="222222"/>
          <w:sz w:val="19"/>
        </w:rPr>
        <w:t>uninterpretable</w:t>
      </w:r>
      <w:r>
        <w:rPr>
          <w:rFonts w:ascii="Calibri" w:hAnsi="Calibri"/>
          <w:b w:val="0"/>
          <w:i w:val="0"/>
          <w:color w:val="222222"/>
          <w:sz w:val="21"/>
        </w:rPr>
        <w:t>: the fallback covers a share of 0.515 of the hPSC active electrode-recordings, more than the registered half; the ratios, 1.0847 (hPSC_MEA1) and 1.1438 (hPSC_MEA2), lie above the band, where S3 lay below it.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L4 </w:t>
      </w:r>
      <w:r>
        <w:rPr>
          <w:rFonts w:ascii="Consolas" w:hAnsi="Consolas"/>
          <w:b w:val="0"/>
          <w:i w:val="0"/>
          <w:color w:val="222222"/>
          <w:sz w:val="19"/>
        </w:rPr>
        <w:t>pass</w:t>
      </w:r>
      <w:r>
        <w:rPr>
          <w:rFonts w:ascii="Calibri" w:hAnsi="Calibri"/>
          <w:b w:val="0"/>
          <w:i w:val="0"/>
          <w:color w:val="222222"/>
          <w:sz w:val="21"/>
        </w:rPr>
        <w:t>: on the rat plate burst rate 0.9816 and burst duration 0.9825, up from 0.7705 at S3.</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assumption check: fallback shares 0.4982 (hPSC_MEA1), 0.5321 (hPSC_MEA2) and 0.2313 (Rat_MEA1); median valid thresholds 7.08 ms, 8.91 ms and 281.84 ms. A share of 0.2786 and 0.2133 of the valid hPSC thresholds are below a millisecond, where a peak of near-coincident spikes is taken as the intraburst peak; this share was added to the output after the quick run showed such thresholds, and is descriptive.</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as the registration named it: from S3 to S4 the burst rate changes by more than a tenth in a share of 0.8273 (hPSC_MEA1) and 0.7632 (hPSC_MEA2) of recordings, the rat burst duration in 0.8723.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ladder's numbers and the published agreement are unchanged (every other key of </w:t>
      </w:r>
      <w:r>
        <w:rPr>
          <w:rFonts w:ascii="Consolas" w:hAnsi="Consolas"/>
          <w:b w:val="0"/>
          <w:i w:val="0"/>
          <w:color w:val="222222"/>
          <w:sz w:val="19"/>
        </w:rPr>
        <w:t>extractor_agreement</w:t>
      </w:r>
      <w:r>
        <w:rPr>
          <w:rFonts w:ascii="Calibri" w:hAnsi="Calibri"/>
          <w:b w:val="0"/>
          <w:i w:val="0"/>
          <w:color w:val="222222"/>
          <w:sz w:val="21"/>
        </w:rPr>
        <w:t xml:space="preserve"> is identical to the previous run). The registration counts in §21 and entry 43 rise by this study's four predictions. The depositors' analysis scripts, shared on G-Node GIN, were not read; they are the next check if the attribution matters.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("The detector, tested"); decision D34; </w:t>
      </w:r>
      <w:r>
        <w:rPr>
          <w:rFonts w:ascii="Consolas" w:hAnsi="Consolas"/>
          <w:b w:val="0"/>
          <w:i w:val="0"/>
          <w:color w:val="222222"/>
          <w:sz w:val="19"/>
        </w:rPr>
        <w:t>outputs/figures/extractor_logisi_real.png</w:t>
      </w:r>
      <w:r>
        <w:rPr>
          <w:rFonts w:ascii="Calibri" w:hAnsi="Calibri"/>
          <w:b w:val="0"/>
          <w:i w:val="0"/>
          <w:color w:val="222222"/>
          <w:sz w:val="21"/>
        </w:rPr>
        <w:t xml:space="preserve">, </w:t>
      </w:r>
      <w:r>
        <w:rPr>
          <w:rFonts w:ascii="Consolas" w:hAnsi="Consolas"/>
          <w:b w:val="0"/>
          <w:i w:val="0"/>
          <w:color w:val="222222"/>
          <w:sz w:val="19"/>
        </w:rPr>
        <w:t>outputs/extractor_logisi_REAL.json</w:t>
      </w:r>
      <w:r>
        <w:rPr>
          <w:rFonts w:ascii="Calibri" w:hAnsi="Calibri"/>
          <w:b w:val="0"/>
          <w:i w:val="0"/>
          <w:color w:val="222222"/>
          <w:sz w:val="21"/>
        </w:rPr>
        <w:t xml:space="preserve"> (with every electrode's threshold),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tests/test_extractor_logisi.py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51. Our features under another laboratory's definitions, and where they translate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spike-time record in the asset now also carries its features under the Kapucu 2022 depositors' stated definitions, from the same extractor; on their plates, three of seven features are the same number under both, three differ by a factor that depends on the culture (firing rate 1.1017 rat, 1.3902 human), and burst rate cannot be converted.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registry of named definition sets, </w:t>
      </w:r>
      <w:r>
        <w:rPr>
          <w:rFonts w:ascii="Consolas" w:hAnsi="Consolas"/>
          <w:b w:val="0"/>
          <w:i w:val="0"/>
          <w:color w:val="222222"/>
          <w:sz w:val="19"/>
        </w:rPr>
        <w:t>src/neuromps/features/definitions.py</w:t>
      </w:r>
      <w:r>
        <w:rPr>
          <w:rFonts w:ascii="Calibri" w:hAnsi="Calibri"/>
          <w:b w:val="0"/>
          <w:i w:val="0"/>
          <w:color w:val="222222"/>
          <w:sz w:val="21"/>
        </w:rPr>
        <w:t xml:space="preserve">: </w:t>
      </w:r>
      <w:r>
        <w:rPr>
          <w:rFonts w:ascii="Consolas" w:hAnsi="Consolas"/>
          <w:b w:val="0"/>
          <w:i w:val="0"/>
          <w:color w:val="222222"/>
          <w:sz w:val="19"/>
        </w:rPr>
        <w:t>neuromps</w:t>
      </w:r>
      <w:r>
        <w:rPr>
          <w:rFonts w:ascii="Calibri" w:hAnsi="Calibri"/>
          <w:b w:val="0"/>
          <w:i w:val="0"/>
          <w:color w:val="222222"/>
          <w:sz w:val="21"/>
        </w:rPr>
        <w:t xml:space="preserve"> (reference, the defaults the asset and the twin use), </w:t>
      </w:r>
      <w:r>
        <w:rPr>
          <w:rFonts w:ascii="Consolas" w:hAnsi="Consolas"/>
          <w:b w:val="0"/>
          <w:i w:val="0"/>
          <w:color w:val="222222"/>
          <w:sz w:val="19"/>
        </w:rPr>
        <w:t>kapucu2022</w:t>
      </w:r>
      <w:r>
        <w:rPr>
          <w:rFonts w:ascii="Calibri" w:hAnsi="Calibri"/>
          <w:b w:val="0"/>
          <w:i w:val="0"/>
          <w:color w:val="222222"/>
          <w:sz w:val="21"/>
        </w:rPr>
        <w:t xml:space="preserve"> (validated, the settings ladder's S3) and </w:t>
      </w:r>
      <w:r>
        <w:rPr>
          <w:rFonts w:ascii="Consolas" w:hAnsi="Consolas"/>
          <w:b w:val="0"/>
          <w:i w:val="0"/>
          <w:color w:val="222222"/>
          <w:sz w:val="19"/>
        </w:rPr>
        <w:t>kapucu2022_logisi</w:t>
      </w:r>
      <w:r>
        <w:rPr>
          <w:rFonts w:ascii="Calibri" w:hAnsi="Calibri"/>
          <w:b w:val="0"/>
          <w:i w:val="0"/>
          <w:color w:val="222222"/>
          <w:sz w:val="21"/>
        </w:rPr>
        <w:t xml:space="preserve"> (experimental, S4; used for no claim). Each is a bundle of </w:t>
      </w:r>
      <w:r>
        <w:rPr>
          <w:rFonts w:ascii="Consolas" w:hAnsi="Consolas"/>
          <w:b w:val="0"/>
          <w:i w:val="0"/>
          <w:color w:val="222222"/>
          <w:sz w:val="19"/>
        </w:rPr>
        <w:t>FeatureParams</w:t>
      </w:r>
      <w:r>
        <w:rPr>
          <w:rFonts w:ascii="Calibri" w:hAnsi="Calibri"/>
          <w:b w:val="0"/>
          <w:i w:val="0"/>
          <w:color w:val="222222"/>
          <w:sz w:val="21"/>
        </w:rPr>
        <w:t xml:space="preserve"> options plus whether a deposit's noisy electrodes are dropped, so </w:t>
      </w:r>
      <w:r>
        <w:rPr>
          <w:rFonts w:ascii="Consolas" w:hAnsi="Consolas"/>
          <w:b w:val="0"/>
          <w:i w:val="0"/>
          <w:color w:val="222222"/>
          <w:sz w:val="19"/>
        </w:rPr>
        <w:t>features/mea.py</w:t>
      </w:r>
      <w:r>
        <w:rPr>
          <w:rFonts w:ascii="Calibri" w:hAnsi="Calibri"/>
          <w:b w:val="0"/>
          <w:i w:val="0"/>
          <w:color w:val="222222"/>
          <w:sz w:val="21"/>
        </w:rPr>
        <w:t xml:space="preserve"> stays the one extractor. The ladder and the logISI study now take S3 and S4 from the registry; the definitions are equal to the old ones. A new stage in the models step (</w:t>
      </w:r>
      <w:r>
        <w:rPr>
          <w:rFonts w:ascii="Consolas" w:hAnsi="Consolas"/>
          <w:b w:val="0"/>
          <w:i w:val="0"/>
          <w:color w:val="222222"/>
          <w:sz w:val="19"/>
        </w:rPr>
        <w:t>src/neuromps/models/feature_definitions.py</w:t>
      </w:r>
      <w:r>
        <w:rPr>
          <w:rFonts w:ascii="Calibri" w:hAnsi="Calibri"/>
          <w:b w:val="0"/>
          <w:i w:val="0"/>
          <w:color w:val="222222"/>
          <w:sz w:val="21"/>
        </w:rPr>
        <w:t>, after the extractor agreement) re-reads each spike-time record with the ETL modules' own loaders (</w:t>
      </w:r>
      <w:r>
        <w:rPr>
          <w:rFonts w:ascii="Consolas" w:hAnsi="Consolas"/>
          <w:b w:val="0"/>
          <w:i w:val="0"/>
          <w:color w:val="222222"/>
          <w:sz w:val="19"/>
        </w:rPr>
        <w:t>src/neuromps/etl/spike_trains.py</w:t>
      </w:r>
      <w:r>
        <w:rPr>
          <w:rFonts w:ascii="Calibri" w:hAnsi="Calibri"/>
          <w:b w:val="0"/>
          <w:i w:val="0"/>
          <w:color w:val="222222"/>
          <w:sz w:val="21"/>
        </w:rPr>
        <w:t xml:space="preserve">), writes </w:t>
      </w:r>
      <w:r>
        <w:rPr>
          <w:rFonts w:ascii="Consolas" w:hAnsi="Consolas"/>
          <w:b w:val="0"/>
          <w:i w:val="0"/>
          <w:color w:val="222222"/>
          <w:sz w:val="19"/>
        </w:rPr>
        <w:t>data/processed/features_by_definition.parquet</w:t>
      </w:r>
      <w:r>
        <w:rPr>
          <w:rFonts w:ascii="Calibri" w:hAnsi="Calibri"/>
          <w:b w:val="0"/>
          <w:i w:val="0"/>
          <w:color w:val="222222"/>
          <w:sz w:val="21"/>
        </w:rPr>
        <w:t xml:space="preserve"> (record id, source, definition, feature, value) and generates </w:t>
      </w:r>
      <w:r>
        <w:rPr>
          <w:rFonts w:ascii="Consolas" w:hAnsi="Consolas"/>
          <w:b w:val="0"/>
          <w:i w:val="0"/>
          <w:color w:val="222222"/>
          <w:sz w:val="19"/>
        </w:rPr>
        <w:t>outputs/tables/feature_definitions.md</w:t>
      </w:r>
      <w:r>
        <w:rPr>
          <w:rFonts w:ascii="Calibri" w:hAnsi="Calibri"/>
          <w:b w:val="0"/>
          <w:i w:val="0"/>
          <w:color w:val="222222"/>
          <w:sz w:val="21"/>
        </w:rPr>
        <w:t xml:space="preserve">. Decision D37; report §3, "Named definition sets"; </w:t>
      </w:r>
      <w:r>
        <w:rPr>
          <w:rFonts w:ascii="Consolas" w:hAnsi="Consolas"/>
          <w:b w:val="0"/>
          <w:i w:val="0"/>
          <w:color w:val="222222"/>
          <w:sz w:val="19"/>
        </w:rPr>
        <w:t>schema/STANDARD.md</w:t>
      </w:r>
      <w:r>
        <w:rPr>
          <w:rFonts w:ascii="Calibri" w:hAnsi="Calibri"/>
          <w:b w:val="0"/>
          <w:i w:val="0"/>
          <w:color w:val="222222"/>
          <w:sz w:val="21"/>
        </w:rPr>
        <w:t xml:space="preserve"> §4.4.</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D33 recorded this as the future option: a laboratory reading our numbers beside its own needs to know where a translation is supported by evidence, and the evidence (the ladder and the logISI test) was only in a metrics file.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sidecar holds 1,512 records under every set (40,824 rows). Its </w:t>
      </w:r>
      <w:r>
        <w:rPr>
          <w:rFonts w:ascii="Consolas" w:hAnsi="Consolas"/>
          <w:b w:val="0"/>
          <w:i w:val="0"/>
          <w:color w:val="222222"/>
          <w:sz w:val="19"/>
        </w:rPr>
        <w:t>neuromps</w:t>
      </w:r>
      <w:r>
        <w:rPr>
          <w:rFonts w:ascii="Calibri" w:hAnsi="Calibri"/>
          <w:b w:val="0"/>
          <w:i w:val="0"/>
          <w:color w:val="222222"/>
          <w:sz w:val="21"/>
        </w:rPr>
        <w:t xml:space="preserve"> rows equal the asset in all 13,608 values; on the developmental plates the </w:t>
      </w:r>
      <w:r>
        <w:rPr>
          <w:rFonts w:ascii="Consolas" w:hAnsi="Consolas"/>
          <w:b w:val="0"/>
          <w:i w:val="0"/>
          <w:color w:val="222222"/>
          <w:sz w:val="19"/>
        </w:rPr>
        <w:t>kapucu2022</w:t>
      </w:r>
      <w:r>
        <w:rPr>
          <w:rFonts w:ascii="Calibri" w:hAnsi="Calibri"/>
          <w:b w:val="0"/>
          <w:i w:val="0"/>
          <w:color w:val="222222"/>
          <w:sz w:val="21"/>
        </w:rPr>
        <w:t xml:space="preserve"> ratios against the depositors equal the ladder's S3 numbers in 28 of 28 comparisons (all checks: true).</w:t>
      </w:r>
    </w:p>
    <w:p>
      <w:pPr>
        <w:spacing w:after="120"/>
        <w:ind w:left="432" w:hanging="259"/>
      </w:pPr>
      <w:r>
        <w:rPr>
          <w:rFonts w:ascii="Calibri" w:hAnsi="Calibri"/>
          <w:b w:val="0"/>
          <w:i w:val="0"/>
          <w:color w:val="222222"/>
          <w:sz w:val="21"/>
        </w:rPr>
        <w:t>•</w:t>
        <w:tab/>
      </w:r>
      <w:r>
        <w:rPr>
          <w:rFonts w:ascii="Consolas" w:hAnsi="Consolas"/>
          <w:b w:val="0"/>
          <w:i w:val="0"/>
          <w:color w:val="222222"/>
          <w:sz w:val="19"/>
        </w:rPr>
        <w:t>kapucu2022</w:t>
      </w:r>
      <w:r>
        <w:rPr>
          <w:rFonts w:ascii="Calibri" w:hAnsi="Calibri"/>
          <w:b w:val="0"/>
          <w:i w:val="0"/>
          <w:color w:val="222222"/>
          <w:sz w:val="21"/>
        </w:rPr>
        <w:t xml:space="preserve"> against ours, on 336 recordings: share of spikes in bursts, spikes per burst and burst duration are the same number (ratio 1.0132 for the first); active electrodes, firing rate and STTC are a scale factor (0.734, 1.3264 and 1.315); burst rate has no conversion (ratio 2.0584, rank agreement 0.9299).</w:t>
      </w:r>
    </w:p>
    <w:p>
      <w:pPr>
        <w:spacing w:after="120"/>
        <w:ind w:left="432" w:hanging="259"/>
      </w:pPr>
      <w:r>
        <w:rPr>
          <w:rFonts w:ascii="Calibri" w:hAnsi="Calibri"/>
          <w:b w:val="0"/>
          <w:i w:val="0"/>
          <w:color w:val="222222"/>
          <w:sz w:val="21"/>
        </w:rPr>
        <w:t>•</w:t>
        <w:tab/>
      </w:r>
      <w:r>
        <w:rPr>
          <w:rFonts w:ascii="Calibri" w:hAnsi="Calibri"/>
          <w:b w:val="0"/>
          <w:i w:val="0"/>
          <w:color w:val="222222"/>
          <w:sz w:val="21"/>
        </w:rPr>
        <w:t>The factors differ by plate, so they are properties of these cultures, not constants of the definitions: active electrodes 0.9008 on the rat plate against 0.6958 on hPSC_MEA2.</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A same number between two of our sets is not agreement with the depositors: burst duration is unchanged by the switch, and </w:t>
      </w:r>
      <w:r>
        <w:rPr>
          <w:rFonts w:ascii="Consolas" w:hAnsi="Consolas"/>
          <w:b w:val="0"/>
          <w:i w:val="0"/>
          <w:color w:val="222222"/>
          <w:sz w:val="19"/>
        </w:rPr>
        <w:t>kapucu2022</w:t>
      </w:r>
      <w:r>
        <w:rPr>
          <w:rFonts w:ascii="Calibri" w:hAnsi="Calibri"/>
          <w:b w:val="0"/>
          <w:i w:val="0"/>
          <w:color w:val="222222"/>
          <w:sz w:val="21"/>
        </w:rPr>
        <w:t xml:space="preserve"> sits at 0.8208 of their value.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Not a registered study, so the registration counts (§21, entry 43) do not change. No record of </w:t>
      </w:r>
      <w:r>
        <w:rPr>
          <w:rFonts w:ascii="Consolas" w:hAnsi="Consolas"/>
          <w:b w:val="0"/>
          <w:i w:val="0"/>
          <w:color w:val="222222"/>
          <w:sz w:val="19"/>
        </w:rPr>
        <w:t>neuromps.parquet</w:t>
      </w:r>
      <w:r>
        <w:rPr>
          <w:rFonts w:ascii="Calibri" w:hAnsi="Calibri"/>
          <w:b w:val="0"/>
          <w:i w:val="0"/>
          <w:color w:val="222222"/>
          <w:sz w:val="21"/>
        </w:rPr>
        <w:t xml:space="preserve">, no method block, no twin target and no earlier key of </w:t>
      </w:r>
      <w:r>
        <w:rPr>
          <w:rFonts w:ascii="Consolas" w:hAnsi="Consolas"/>
          <w:b w:val="0"/>
          <w:i w:val="0"/>
          <w:color w:val="222222"/>
          <w:sz w:val="19"/>
        </w:rPr>
        <w:t>outputs/metrics.json</w:t>
      </w:r>
      <w:r>
        <w:rPr>
          <w:rFonts w:ascii="Calibri" w:hAnsi="Calibri"/>
          <w:b w:val="0"/>
          <w:i w:val="0"/>
          <w:color w:val="222222"/>
          <w:sz w:val="21"/>
        </w:rPr>
        <w:t xml:space="preserve"> changes; the stage adds the key </w:t>
      </w:r>
      <w:r>
        <w:rPr>
          <w:rFonts w:ascii="Consolas" w:hAnsi="Consolas"/>
          <w:b w:val="0"/>
          <w:i w:val="0"/>
          <w:color w:val="222222"/>
          <w:sz w:val="19"/>
        </w:rPr>
        <w:t>feature_definitions</w:t>
      </w:r>
      <w:r>
        <w:rPr>
          <w:rFonts w:ascii="Calibri" w:hAnsi="Calibri"/>
          <w:b w:val="0"/>
          <w:i w:val="0"/>
          <w:color w:val="222222"/>
          <w:sz w:val="21"/>
        </w:rPr>
        <w:t xml:space="preserve"> and costs a few seconds on the quick tier, which has no developmental-plate spike files and so skips the translation.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("Named definition sets"); decision D37; </w:t>
      </w:r>
      <w:r>
        <w:rPr>
          <w:rFonts w:ascii="Consolas" w:hAnsi="Consolas"/>
          <w:b w:val="0"/>
          <w:i w:val="0"/>
          <w:color w:val="222222"/>
          <w:sz w:val="19"/>
        </w:rPr>
        <w:t>schema/STANDARD.md</w:t>
      </w:r>
      <w:r>
        <w:rPr>
          <w:rFonts w:ascii="Calibri" w:hAnsi="Calibri"/>
          <w:b w:val="0"/>
          <w:i w:val="0"/>
          <w:color w:val="222222"/>
          <w:sz w:val="21"/>
        </w:rPr>
        <w:t xml:space="preserve"> §4.4; </w:t>
      </w:r>
      <w:r>
        <w:rPr>
          <w:rFonts w:ascii="Consolas" w:hAnsi="Consolas"/>
          <w:b w:val="0"/>
          <w:i w:val="0"/>
          <w:color w:val="222222"/>
          <w:sz w:val="19"/>
        </w:rPr>
        <w:t>data/processed/features_by_definition.parquet</w:t>
      </w:r>
      <w:r>
        <w:rPr>
          <w:rFonts w:ascii="Calibri" w:hAnsi="Calibri"/>
          <w:b w:val="0"/>
          <w:i w:val="0"/>
          <w:color w:val="222222"/>
          <w:sz w:val="21"/>
        </w:rPr>
        <w:t xml:space="preserve">; </w:t>
      </w:r>
      <w:r>
        <w:rPr>
          <w:rFonts w:ascii="Consolas" w:hAnsi="Consolas"/>
          <w:b w:val="0"/>
          <w:i w:val="0"/>
          <w:color w:val="222222"/>
          <w:sz w:val="19"/>
        </w:rPr>
        <w:t>outputs/tables/feature_definitions.md</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feature_definitions</w:t>
      </w:r>
      <w:r>
        <w:rPr>
          <w:rFonts w:ascii="Calibri" w:hAnsi="Calibri"/>
          <w:b w:val="0"/>
          <w:i w:val="0"/>
          <w:color w:val="222222"/>
          <w:sz w:val="21"/>
        </w:rPr>
        <w:t xml:space="preserve">; tests </w:t>
      </w:r>
      <w:r>
        <w:rPr>
          <w:rFonts w:ascii="Consolas" w:hAnsi="Consolas"/>
          <w:b w:val="0"/>
          <w:i w:val="0"/>
          <w:color w:val="222222"/>
          <w:sz w:val="19"/>
        </w:rPr>
        <w:t>tests/test_feature_definitions.py</w:t>
      </w:r>
      <w:r>
        <w:rPr>
          <w:rFonts w:ascii="Calibri" w:hAnsi="Calibri"/>
          <w:b w:val="0"/>
          <w:i w:val="0"/>
          <w:color w:val="222222"/>
          <w:sz w:val="21"/>
        </w:rPr>
        <w:t xml:space="preserve">, </w:t>
      </w:r>
      <w:r>
        <w:rPr>
          <w:rFonts w:ascii="Consolas" w:hAnsi="Consolas"/>
          <w:b w:val="0"/>
          <w:i w:val="0"/>
          <w:color w:val="222222"/>
          <w:sz w:val="19"/>
        </w:rPr>
        <w:t>tests/test_definition_sidecar.py</w:t>
      </w:r>
      <w:r>
        <w:rPr>
          <w:rFonts w:ascii="Calibri" w:hAnsi="Calibri"/>
          <w:b w:val="0"/>
          <w:i w:val="0"/>
          <w:color w:val="222222"/>
          <w:sz w:val="21"/>
        </w:rPr>
        <w:t xml:space="preserve">, </w:t>
      </w:r>
      <w:r>
        <w:rPr>
          <w:rFonts w:ascii="Consolas" w:hAnsi="Consolas"/>
          <w:b w:val="0"/>
          <w:i w:val="0"/>
          <w:color w:val="222222"/>
          <w:sz w:val="19"/>
        </w:rPr>
        <w:t>tests/test_feature_translation.py</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