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Named definition sets</w:t>
      </w:r>
    </w:p>
    <w:p>
      <w:pPr>
        <w:spacing w:after="120"/>
      </w:pPr>
      <w:r>
        <w:rPr>
          <w:rFonts w:ascii="Calibri" w:hAnsi="Calibri"/>
          <w:b w:val="0"/>
          <w:i w:val="0"/>
          <w:color w:val="222222"/>
          <w:sz w:val="21"/>
        </w:rPr>
        <w:t xml:space="preserve">Decision D33 kept one fixed definition per feature and left a second option open: store each record's features under named definition sets, so that a reader can set our number beside another laboratory's. That is now built (decision D37) without changing a record. A registry in </w:t>
      </w:r>
      <w:r>
        <w:rPr>
          <w:rFonts w:ascii="Consolas" w:hAnsi="Consolas"/>
          <w:b w:val="0"/>
          <w:i w:val="0"/>
          <w:color w:val="222222"/>
          <w:sz w:val="19"/>
        </w:rPr>
        <w:t>features/definitions.py</w:t>
      </w:r>
      <w:r>
        <w:rPr>
          <w:rFonts w:ascii="Calibri" w:hAnsi="Calibri"/>
          <w:b w:val="0"/>
          <w:i w:val="0"/>
          <w:color w:val="222222"/>
          <w:sz w:val="21"/>
        </w:rPr>
        <w:t xml:space="preserve"> names three sets, each a bundle of options </w:t>
      </w:r>
      <w:r>
        <w:rPr>
          <w:rFonts w:ascii="Consolas" w:hAnsi="Consolas"/>
          <w:b w:val="0"/>
          <w:i w:val="0"/>
          <w:color w:val="222222"/>
          <w:sz w:val="19"/>
        </w:rPr>
        <w:t>features/mea.py</w:t>
      </w:r>
      <w:r>
        <w:rPr>
          <w:rFonts w:ascii="Calibri" w:hAnsi="Calibri"/>
          <w:b w:val="0"/>
          <w:i w:val="0"/>
          <w:color w:val="222222"/>
          <w:sz w:val="21"/>
        </w:rPr>
        <w:t xml:space="preserve"> already has plus whether a deposit's noisy electrodes are dropped; none is a second extractor. </w:t>
      </w:r>
      <w:r>
        <w:rPr>
          <w:rFonts w:ascii="Consolas" w:hAnsi="Consolas"/>
          <w:b w:val="0"/>
          <w:i w:val="0"/>
          <w:color w:val="222222"/>
          <w:sz w:val="19"/>
        </w:rPr>
        <w:t>neuromps</w:t>
      </w:r>
      <w:r>
        <w:rPr>
          <w:rFonts w:ascii="Calibri" w:hAnsi="Calibri"/>
          <w:b w:val="0"/>
          <w:i w:val="0"/>
          <w:color w:val="222222"/>
          <w:sz w:val="21"/>
        </w:rPr>
        <w:t xml:space="preserve"> (status </w:t>
      </w:r>
      <w:r>
        <w:rPr>
          <w:rFonts w:ascii="Consolas" w:hAnsi="Consolas"/>
          <w:b w:val="0"/>
          <w:i w:val="0"/>
          <w:color w:val="222222"/>
          <w:sz w:val="19"/>
        </w:rPr>
        <w:t>reference</w:t>
      </w:r>
      <w:r>
        <w:rPr>
          <w:rFonts w:ascii="Calibri" w:hAnsi="Calibri"/>
          <w:b w:val="0"/>
          <w:i w:val="0"/>
          <w:color w:val="222222"/>
          <w:sz w:val="21"/>
        </w:rPr>
        <w:t xml:space="preserve">) is the defaults every record and the twin use. </w:t>
      </w:r>
      <w:r>
        <w:rPr>
          <w:rFonts w:ascii="Consolas" w:hAnsi="Consolas"/>
          <w:b w:val="0"/>
          <w:i w:val="0"/>
          <w:color w:val="222222"/>
          <w:sz w:val="19"/>
        </w:rPr>
        <w:t>kapucu2022</w:t>
      </w:r>
      <w:r>
        <w:rPr>
          <w:rFonts w:ascii="Calibri" w:hAnsi="Calibri"/>
          <w:b w:val="0"/>
          <w:i w:val="0"/>
          <w:color w:val="222222"/>
          <w:sz w:val="21"/>
        </w:rPr>
        <w:t xml:space="preserve"> (</w:t>
      </w:r>
      <w:r>
        <w:rPr>
          <w:rFonts w:ascii="Consolas" w:hAnsi="Consolas"/>
          <w:b w:val="0"/>
          <w:i w:val="0"/>
          <w:color w:val="222222"/>
          <w:sz w:val="19"/>
        </w:rPr>
        <w:t>validated</w:t>
      </w:r>
      <w:r>
        <w:rPr>
          <w:rFonts w:ascii="Calibri" w:hAnsi="Calibri"/>
          <w:b w:val="0"/>
          <w:i w:val="0"/>
          <w:color w:val="222222"/>
          <w:sz w:val="21"/>
        </w:rPr>
        <w:t xml:space="preserve">) is the ladder's S3: the depositors' activity threshold, noisy-electrode lists and burst-rate denominator, with our fixed burst rule; its evidence is the ladder above. </w:t>
      </w:r>
      <w:r>
        <w:rPr>
          <w:rFonts w:ascii="Consolas" w:hAnsi="Consolas"/>
          <w:b w:val="0"/>
          <w:i w:val="0"/>
          <w:color w:val="222222"/>
          <w:sz w:val="19"/>
        </w:rPr>
        <w:t>kapucu2022_logisi</w:t>
      </w:r>
      <w:r>
        <w:rPr>
          <w:rFonts w:ascii="Calibri" w:hAnsi="Calibri"/>
          <w:b w:val="0"/>
          <w:i w:val="0"/>
          <w:color w:val="222222"/>
          <w:sz w:val="21"/>
        </w:rPr>
        <w:t xml:space="preserve"> (</w:t>
      </w:r>
      <w:r>
        <w:rPr>
          <w:rFonts w:ascii="Consolas" w:hAnsi="Consolas"/>
          <w:b w:val="0"/>
          <w:i w:val="0"/>
          <w:color w:val="222222"/>
          <w:sz w:val="19"/>
        </w:rPr>
        <w:t>experimental</w:t>
      </w:r>
      <w:r>
        <w:rPr>
          <w:rFonts w:ascii="Calibri" w:hAnsi="Calibri"/>
          <w:b w:val="0"/>
          <w:i w:val="0"/>
          <w:color w:val="222222"/>
          <w:sz w:val="21"/>
        </w:rPr>
        <w:t xml:space="preserve">) is S4, whose registered test passed one of four predictions with the attribution open; it is shown and used for no claim. A sidecar beside the asset, </w:t>
      </w:r>
      <w:r>
        <w:rPr>
          <w:rFonts w:ascii="Consolas" w:hAnsi="Consolas"/>
          <w:b w:val="0"/>
          <w:i w:val="0"/>
          <w:color w:val="222222"/>
          <w:sz w:val="19"/>
        </w:rPr>
        <w:t>data/processed/features_by_definition.parquet</w:t>
      </w:r>
      <w:r>
        <w:rPr>
          <w:rFonts w:ascii="Calibri" w:hAnsi="Calibri"/>
          <w:b w:val="0"/>
          <w:i w:val="0"/>
          <w:color w:val="222222"/>
          <w:sz w:val="21"/>
        </w:rPr>
        <w:t xml:space="preserve">, holds all 1,512 spike-time records under every set, re-read with the ETL modules' own loaders. Two checks run with it. Its </w:t>
      </w:r>
      <w:r>
        <w:rPr>
          <w:rFonts w:ascii="Consolas" w:hAnsi="Consolas"/>
          <w:b w:val="0"/>
          <w:i w:val="0"/>
          <w:color w:val="222222"/>
          <w:sz w:val="19"/>
        </w:rPr>
        <w:t>neuromps</w:t>
      </w:r>
      <w:r>
        <w:rPr>
          <w:rFonts w:ascii="Calibri" w:hAnsi="Calibri"/>
          <w:b w:val="0"/>
          <w:i w:val="0"/>
          <w:color w:val="222222"/>
          <w:sz w:val="21"/>
        </w:rPr>
        <w:t xml:space="preserve"> rows equal the asset's own features in all 13,608 values, with 0 differing. And on the developmental plates the </w:t>
      </w:r>
      <w:r>
        <w:rPr>
          <w:rFonts w:ascii="Consolas" w:hAnsi="Consolas"/>
          <w:b w:val="0"/>
          <w:i w:val="0"/>
          <w:color w:val="222222"/>
          <w:sz w:val="19"/>
        </w:rPr>
        <w:t>kapucu2022</w:t>
      </w:r>
      <w:r>
        <w:rPr>
          <w:rFonts w:ascii="Calibri" w:hAnsi="Calibri"/>
          <w:b w:val="0"/>
          <w:i w:val="0"/>
          <w:color w:val="222222"/>
          <w:sz w:val="21"/>
        </w:rPr>
        <w:t xml:space="preserve"> set's ratios against the depositors' tables equal the ladder's S3 numbers in 28 of 28 comparisons.</w:t>
      </w:r>
    </w:p>
    <w:p>
      <w:pPr>
        <w:keepNext/>
        <w:spacing w:after="120"/>
      </w:pPr>
      <w:r>
        <w:rPr>
          <w:rFonts w:ascii="Calibri" w:hAnsi="Calibri"/>
          <w:b/>
          <w:i w:val="0"/>
          <w:color w:val="156082"/>
          <w:sz w:val="21"/>
        </w:rPr>
        <w:t>Where a translation holds.</w:t>
      </w:r>
      <w:r>
        <w:rPr>
          <w:rFonts w:ascii="Calibri" w:hAnsi="Calibri"/>
          <w:b w:val="0"/>
          <w:i w:val="0"/>
          <w:color w:val="222222"/>
          <w:sz w:val="21"/>
        </w:rPr>
        <w:t xml:space="preserve"> On the 336 developmental-plate recordings, the same recording's value under </w:t>
      </w:r>
      <w:r>
        <w:rPr>
          <w:rFonts w:ascii="Consolas" w:hAnsi="Consolas"/>
          <w:b w:val="0"/>
          <w:i w:val="0"/>
          <w:color w:val="222222"/>
          <w:sz w:val="19"/>
        </w:rPr>
        <w:t>kapucu2022</w:t>
      </w:r>
      <w:r>
        <w:rPr>
          <w:rFonts w:ascii="Calibri" w:hAnsi="Calibri"/>
          <w:b w:val="0"/>
          <w:i w:val="0"/>
          <w:color w:val="222222"/>
          <w:sz w:val="21"/>
        </w:rPr>
        <w:t xml:space="preserve"> divided by its value under ours, with the agreement study's thresholds: same number when the ratio is within 0.05 of one and the rank agreement reaches 0.95; scale factor when the ranks agree and the ratio does not; no conversion when the ranks do not agree. The last column is how far </w:t>
      </w:r>
      <w:r>
        <w:rPr>
          <w:rFonts w:ascii="Consolas" w:hAnsi="Consolas"/>
          <w:b w:val="0"/>
          <w:i w:val="0"/>
          <w:color w:val="222222"/>
          <w:sz w:val="19"/>
        </w:rPr>
        <w:t>kapucu2022</w:t>
      </w:r>
      <w:r>
        <w:rPr>
          <w:rFonts w:ascii="Calibri" w:hAnsi="Calibri"/>
          <w:b w:val="0"/>
          <w:i w:val="0"/>
          <w:color w:val="222222"/>
          <w:sz w:val="21"/>
        </w:rPr>
        <w:t xml:space="preserve"> itself sits from the depositors' published values.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769"/>
        <w:gridCol w:w="1534"/>
        <w:gridCol w:w="1165"/>
        <w:gridCol w:w="1498"/>
        <w:gridCol w:w="1531"/>
      </w:tblGrid>
      <w:tr>
        <w:trPr>
          <w:cantSplit/>
          <w:tblHeader/>
        </w:trPr>
        <w:tc>
          <w:tcPr>
            <w:tcW w:type="dxa" w:w="2769"/>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 xml:space="preserve">ratio, </w:t>
            </w:r>
            <w:r>
              <w:rPr>
                <w:rFonts w:ascii="Consolas" w:hAnsi="Consolas"/>
                <w:b/>
                <w:i w:val="0"/>
                <w:color w:val="FFFFFF"/>
                <w:sz w:val="18"/>
              </w:rPr>
              <w:t>kapucu2022</w:t>
            </w:r>
            <w:r>
              <w:rPr>
                <w:rFonts w:ascii="Calibri" w:hAnsi="Calibri"/>
                <w:b/>
                <w:i w:val="0"/>
                <w:color w:val="FFFFFF"/>
                <w:sz w:val="20"/>
              </w:rPr>
              <w:t xml:space="preserve"> / ours</w:t>
            </w:r>
          </w:p>
        </w:tc>
        <w:tc>
          <w:tcPr>
            <w:tcW w:type="dxa" w:w="1165"/>
            <w:shd w:val="clear" w:color="auto" w:fill="1F4E79"/>
            <w:vAlign w:val="center"/>
          </w:tcPr>
          <w:p>
            <w:pPr>
              <w:keepNext/>
              <w:spacing w:after="0"/>
              <w:jc w:val="center"/>
            </w:pPr>
            <w:r>
              <w:rPr>
                <w:rFonts w:ascii="Calibri" w:hAnsi="Calibri"/>
                <w:b/>
                <w:i w:val="0"/>
                <w:color w:val="FFFFFF"/>
                <w:sz w:val="20"/>
              </w:rPr>
              <w:t>rank agreement (ρ)</w:t>
            </w:r>
          </w:p>
        </w:tc>
        <w:tc>
          <w:tcPr>
            <w:tcW w:type="dxa" w:w="1498"/>
            <w:shd w:val="clear" w:color="auto" w:fill="1F4E79"/>
            <w:vAlign w:val="center"/>
          </w:tcPr>
          <w:p>
            <w:pPr>
              <w:keepNext/>
              <w:spacing w:after="0"/>
            </w:pPr>
            <w:r>
              <w:rPr>
                <w:rFonts w:ascii="Calibri" w:hAnsi="Calibri"/>
                <w:b/>
                <w:i w:val="0"/>
                <w:color w:val="FFFFFF"/>
                <w:sz w:val="20"/>
              </w:rPr>
              <w:t>verdict</w:t>
            </w:r>
          </w:p>
        </w:tc>
        <w:tc>
          <w:tcPr>
            <w:tcW w:type="dxa" w:w="1531"/>
            <w:shd w:val="clear" w:color="auto" w:fill="1F4E79"/>
            <w:vAlign w:val="center"/>
          </w:tcPr>
          <w:p>
            <w:pPr>
              <w:keepNext/>
              <w:spacing w:after="0"/>
              <w:jc w:val="center"/>
            </w:pPr>
            <w:r>
              <w:rPr>
                <w:rFonts w:ascii="Consolas" w:hAnsi="Consolas"/>
                <w:b/>
                <w:i w:val="0"/>
                <w:color w:val="FFFFFF"/>
                <w:sz w:val="18"/>
              </w:rPr>
              <w:t>kapucu2022</w:t>
            </w:r>
            <w:r>
              <w:rPr>
                <w:rFonts w:ascii="Calibri" w:hAnsi="Calibri"/>
                <w:b/>
                <w:i w:val="0"/>
                <w:color w:val="FFFFFF"/>
                <w:sz w:val="20"/>
              </w:rPr>
              <w:t xml:space="preserve"> / depositors</w:t>
            </w:r>
          </w:p>
        </w:tc>
      </w:tr>
      <w:tr>
        <w:trPr>
          <w:cantSplit/>
        </w:trPr>
        <w:tc>
          <w:tcPr>
            <w:tcW w:type="dxa" w:w="2769"/>
            <w:shd w:val="clear" w:color="auto" w:fill="FFFFFF"/>
            <w:vAlign w:val="center"/>
          </w:tcPr>
          <w:p>
            <w:pPr>
              <w:keepNext/>
              <w:spacing w:after="0"/>
            </w:pPr>
            <w:r>
              <w:rPr>
                <w:rFonts w:ascii="Consolas" w:hAnsi="Consolas"/>
                <w:b/>
                <w:i w:val="0"/>
                <w:color w:val="222222"/>
                <w:sz w:val="18"/>
              </w:rPr>
              <w:t>pct_spikes_in_bursts</w:t>
            </w:r>
          </w:p>
        </w:tc>
        <w:tc>
          <w:tcPr>
            <w:tcW w:type="dxa" w:w="1534"/>
            <w:shd w:val="clear" w:color="auto" w:fill="FFFFFF"/>
            <w:vAlign w:val="center"/>
          </w:tcPr>
          <w:p>
            <w:pPr>
              <w:keepNext/>
              <w:spacing w:after="0"/>
              <w:jc w:val="center"/>
            </w:pPr>
            <w:r>
              <w:rPr>
                <w:rFonts w:ascii="Calibri" w:hAnsi="Calibri"/>
                <w:b w:val="0"/>
                <w:i w:val="0"/>
                <w:color w:val="222222"/>
                <w:sz w:val="20"/>
              </w:rPr>
              <w:t>1.0132</w:t>
            </w:r>
          </w:p>
        </w:tc>
        <w:tc>
          <w:tcPr>
            <w:tcW w:type="dxa" w:w="1165"/>
            <w:shd w:val="clear" w:color="auto" w:fill="FFFFFF"/>
            <w:vAlign w:val="center"/>
          </w:tcPr>
          <w:p>
            <w:pPr>
              <w:keepNext/>
              <w:spacing w:after="0"/>
              <w:jc w:val="center"/>
            </w:pPr>
            <w:r>
              <w:rPr>
                <w:rFonts w:ascii="Calibri" w:hAnsi="Calibri"/>
                <w:b w:val="0"/>
                <w:i w:val="0"/>
                <w:color w:val="222222"/>
                <w:sz w:val="20"/>
              </w:rPr>
              <w:t>0.9808</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1.0007</w:t>
            </w:r>
          </w:p>
        </w:tc>
      </w:tr>
      <w:tr>
        <w:trPr>
          <w:cantSplit/>
        </w:trPr>
        <w:tc>
          <w:tcPr>
            <w:tcW w:type="dxa" w:w="2769"/>
            <w:shd w:val="clear" w:color="auto" w:fill="F7F9FB"/>
            <w:vAlign w:val="center"/>
          </w:tcPr>
          <w:p>
            <w:pPr>
              <w:keepNext/>
              <w:spacing w:after="0"/>
            </w:pPr>
            <w:r>
              <w:rPr>
                <w:rFonts w:ascii="Consolas" w:hAnsi="Consolas"/>
                <w:b/>
                <w:i w:val="0"/>
                <w:color w:val="222222"/>
                <w:sz w:val="18"/>
              </w:rPr>
              <w:t>spikes_per_burst</w:t>
            </w:r>
          </w:p>
        </w:tc>
        <w:tc>
          <w:tcPr>
            <w:tcW w:type="dxa" w:w="1534"/>
            <w:shd w:val="clear" w:color="auto" w:fill="F7F9FB"/>
            <w:vAlign w:val="center"/>
          </w:tcPr>
          <w:p>
            <w:pPr>
              <w:keepNext/>
              <w:spacing w:after="0"/>
              <w:jc w:val="center"/>
            </w:pPr>
            <w:r>
              <w:rPr>
                <w:rFonts w:ascii="Calibri" w:hAnsi="Calibri"/>
                <w:b w:val="0"/>
                <w:i w:val="0"/>
                <w:color w:val="222222"/>
                <w:sz w:val="20"/>
              </w:rPr>
              <w:t>1.0</w:t>
            </w:r>
          </w:p>
        </w:tc>
        <w:tc>
          <w:tcPr>
            <w:tcW w:type="dxa" w:w="1165"/>
            <w:shd w:val="clear" w:color="auto" w:fill="F7F9FB"/>
            <w:vAlign w:val="center"/>
          </w:tcPr>
          <w:p>
            <w:pPr>
              <w:keepNext/>
              <w:spacing w:after="0"/>
              <w:jc w:val="center"/>
            </w:pPr>
            <w:r>
              <w:rPr>
                <w:rFonts w:ascii="Calibri" w:hAnsi="Calibri"/>
                <w:b w:val="0"/>
                <w:i w:val="0"/>
                <w:color w:val="222222"/>
                <w:sz w:val="20"/>
              </w:rPr>
              <w:t>0.9766</w:t>
            </w:r>
          </w:p>
        </w:tc>
        <w:tc>
          <w:tcPr>
            <w:tcW w:type="dxa" w:w="1498"/>
            <w:shd w:val="clear" w:color="auto" w:fill="F7F9FB"/>
            <w:vAlign w:val="center"/>
          </w:tcPr>
          <w:p>
            <w:pPr>
              <w:keepNext/>
              <w:spacing w:after="0"/>
            </w:pPr>
            <w:r>
              <w:rPr>
                <w:rFonts w:ascii="Consolas" w:hAnsi="Consolas"/>
                <w:b w:val="0"/>
                <w:i w:val="0"/>
                <w:color w:val="222222"/>
                <w:sz w:val="18"/>
              </w:rPr>
              <w:t>same number</w:t>
            </w:r>
          </w:p>
        </w:tc>
        <w:tc>
          <w:tcPr>
            <w:tcW w:type="dxa" w:w="1531"/>
            <w:shd w:val="clear" w:color="auto" w:fill="F7F9FB"/>
            <w:vAlign w:val="center"/>
          </w:tcPr>
          <w:p>
            <w:pPr>
              <w:keepNext/>
              <w:spacing w:after="0"/>
              <w:jc w:val="center"/>
            </w:pPr>
            <w:r>
              <w:rPr>
                <w:rFonts w:ascii="Calibri" w:hAnsi="Calibri"/>
                <w:b w:val="0"/>
                <w:i w:val="0"/>
                <w:color w:val="222222"/>
                <w:sz w:val="20"/>
              </w:rPr>
              <w:t>0.9433</w:t>
            </w:r>
          </w:p>
        </w:tc>
      </w:tr>
      <w:tr>
        <w:trPr>
          <w:cantSplit/>
        </w:trPr>
        <w:tc>
          <w:tcPr>
            <w:tcW w:type="dxa" w:w="2769"/>
            <w:shd w:val="clear" w:color="auto" w:fill="FFFFFF"/>
            <w:vAlign w:val="center"/>
          </w:tcPr>
          <w:p>
            <w:pPr>
              <w:keepNext/>
              <w:spacing w:after="0"/>
            </w:pPr>
            <w:r>
              <w:rPr>
                <w:rFonts w:ascii="Consolas" w:hAnsi="Consolas"/>
                <w:b/>
                <w:i w:val="0"/>
                <w:color w:val="222222"/>
                <w:sz w:val="18"/>
              </w:rPr>
              <w:t>burst_duration_s</w:t>
            </w:r>
          </w:p>
        </w:tc>
        <w:tc>
          <w:tcPr>
            <w:tcW w:type="dxa" w:w="1534"/>
            <w:shd w:val="clear" w:color="auto" w:fill="FFFFFF"/>
            <w:vAlign w:val="center"/>
          </w:tcPr>
          <w:p>
            <w:pPr>
              <w:keepNext/>
              <w:spacing w:after="0"/>
              <w:jc w:val="center"/>
            </w:pPr>
            <w:r>
              <w:rPr>
                <w:rFonts w:ascii="Calibri" w:hAnsi="Calibri"/>
                <w:b w:val="0"/>
                <w:i w:val="0"/>
                <w:color w:val="222222"/>
                <w:sz w:val="20"/>
              </w:rPr>
              <w:t>1.0</w:t>
            </w:r>
          </w:p>
        </w:tc>
        <w:tc>
          <w:tcPr>
            <w:tcW w:type="dxa" w:w="1165"/>
            <w:shd w:val="clear" w:color="auto" w:fill="FFFFFF"/>
            <w:vAlign w:val="center"/>
          </w:tcPr>
          <w:p>
            <w:pPr>
              <w:keepNext/>
              <w:spacing w:after="0"/>
              <w:jc w:val="center"/>
            </w:pPr>
            <w:r>
              <w:rPr>
                <w:rFonts w:ascii="Calibri" w:hAnsi="Calibri"/>
                <w:b w:val="0"/>
                <w:i w:val="0"/>
                <w:color w:val="222222"/>
                <w:sz w:val="20"/>
              </w:rPr>
              <w:t>0.9829</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0.8208</w:t>
            </w:r>
          </w:p>
        </w:tc>
      </w:tr>
      <w:tr>
        <w:trPr>
          <w:cantSplit/>
        </w:trPr>
        <w:tc>
          <w:tcPr>
            <w:tcW w:type="dxa" w:w="2769"/>
            <w:shd w:val="clear" w:color="auto" w:fill="F7F9FB"/>
            <w:vAlign w:val="center"/>
          </w:tcPr>
          <w:p>
            <w:pPr>
              <w:keepNext/>
              <w:spacing w:after="0"/>
            </w:pPr>
            <w:r>
              <w:rPr>
                <w:rFonts w:ascii="Consolas" w:hAnsi="Consolas"/>
                <w:b/>
                <w:i w:val="0"/>
                <w:color w:val="222222"/>
                <w:sz w:val="18"/>
              </w:rPr>
              <w:t>active_electrodes</w:t>
            </w:r>
          </w:p>
        </w:tc>
        <w:tc>
          <w:tcPr>
            <w:tcW w:type="dxa" w:w="1534"/>
            <w:shd w:val="clear" w:color="auto" w:fill="F7F9FB"/>
            <w:vAlign w:val="center"/>
          </w:tcPr>
          <w:p>
            <w:pPr>
              <w:keepNext/>
              <w:spacing w:after="0"/>
              <w:jc w:val="center"/>
            </w:pPr>
            <w:r>
              <w:rPr>
                <w:rFonts w:ascii="Calibri" w:hAnsi="Calibri"/>
                <w:b w:val="0"/>
                <w:i w:val="0"/>
                <w:color w:val="222222"/>
                <w:sz w:val="20"/>
              </w:rPr>
              <w:t>0.734</w:t>
            </w:r>
          </w:p>
        </w:tc>
        <w:tc>
          <w:tcPr>
            <w:tcW w:type="dxa" w:w="1165"/>
            <w:shd w:val="clear" w:color="auto" w:fill="F7F9FB"/>
            <w:vAlign w:val="center"/>
          </w:tcPr>
          <w:p>
            <w:pPr>
              <w:keepNext/>
              <w:spacing w:after="0"/>
              <w:jc w:val="center"/>
            </w:pPr>
            <w:r>
              <w:rPr>
                <w:rFonts w:ascii="Calibri" w:hAnsi="Calibri"/>
                <w:b w:val="0"/>
                <w:i w:val="0"/>
                <w:color w:val="222222"/>
                <w:sz w:val="20"/>
              </w:rPr>
              <w:t>0.9763</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spacing w:after="0"/>
            </w:pPr>
            <w:r>
              <w:rPr>
                <w:rFonts w:ascii="Consolas" w:hAnsi="Consolas"/>
                <w:b/>
                <w:i w:val="0"/>
                <w:color w:val="222222"/>
                <w:sz w:val="18"/>
              </w:rPr>
              <w:t>mfr_hz</w:t>
            </w:r>
          </w:p>
        </w:tc>
        <w:tc>
          <w:tcPr>
            <w:tcW w:type="dxa" w:w="1534"/>
            <w:shd w:val="clear" w:color="auto" w:fill="FFFFFF"/>
            <w:vAlign w:val="center"/>
          </w:tcPr>
          <w:p>
            <w:pPr>
              <w:keepNext/>
              <w:spacing w:after="0"/>
              <w:jc w:val="center"/>
            </w:pPr>
            <w:r>
              <w:rPr>
                <w:rFonts w:ascii="Calibri" w:hAnsi="Calibri"/>
                <w:b w:val="0"/>
                <w:i w:val="0"/>
                <w:color w:val="222222"/>
                <w:sz w:val="20"/>
              </w:rPr>
              <w:t>1.3264</w:t>
            </w:r>
          </w:p>
        </w:tc>
        <w:tc>
          <w:tcPr>
            <w:tcW w:type="dxa" w:w="1165"/>
            <w:shd w:val="clear" w:color="auto" w:fill="FFFFFF"/>
            <w:vAlign w:val="center"/>
          </w:tcPr>
          <w:p>
            <w:pPr>
              <w:keepNext/>
              <w:spacing w:after="0"/>
              <w:jc w:val="center"/>
            </w:pPr>
            <w:r>
              <w:rPr>
                <w:rFonts w:ascii="Calibri" w:hAnsi="Calibri"/>
                <w:b w:val="0"/>
                <w:i w:val="0"/>
                <w:color w:val="222222"/>
                <w:sz w:val="20"/>
              </w:rPr>
              <w:t>0.9831</w:t>
            </w:r>
          </w:p>
        </w:tc>
        <w:tc>
          <w:tcPr>
            <w:tcW w:type="dxa" w:w="1498"/>
            <w:shd w:val="clear" w:color="auto" w:fill="FFFFFF"/>
            <w:vAlign w:val="center"/>
          </w:tcPr>
          <w:p>
            <w:pPr>
              <w:keepNext/>
              <w:spacing w:after="0"/>
            </w:pPr>
            <w:r>
              <w:rPr>
                <w:rFonts w:ascii="Consolas" w:hAnsi="Consolas"/>
                <w:b w:val="0"/>
                <w:i w:val="0"/>
                <w:color w:val="222222"/>
                <w:sz w:val="18"/>
              </w:rPr>
              <w:t>scale factor</w:t>
            </w:r>
          </w:p>
        </w:tc>
        <w:tc>
          <w:tcPr>
            <w:tcW w:type="dxa" w:w="1531"/>
            <w:shd w:val="clear" w:color="auto" w:fill="FFFFFF"/>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7F9FB"/>
            <w:vAlign w:val="center"/>
          </w:tcPr>
          <w:p>
            <w:pPr>
              <w:keepNext/>
              <w:spacing w:after="0"/>
            </w:pPr>
            <w:r>
              <w:rPr>
                <w:rFonts w:ascii="Consolas" w:hAnsi="Consolas"/>
                <w:b/>
                <w:i w:val="0"/>
                <w:color w:val="222222"/>
                <w:sz w:val="18"/>
              </w:rPr>
              <w:t>synchrony_index</w:t>
            </w:r>
          </w:p>
        </w:tc>
        <w:tc>
          <w:tcPr>
            <w:tcW w:type="dxa" w:w="1534"/>
            <w:shd w:val="clear" w:color="auto" w:fill="F7F9FB"/>
            <w:vAlign w:val="center"/>
          </w:tcPr>
          <w:p>
            <w:pPr>
              <w:keepNext/>
              <w:spacing w:after="0"/>
              <w:jc w:val="center"/>
            </w:pPr>
            <w:r>
              <w:rPr>
                <w:rFonts w:ascii="Calibri" w:hAnsi="Calibri"/>
                <w:b w:val="0"/>
                <w:i w:val="0"/>
                <w:color w:val="222222"/>
                <w:sz w:val="20"/>
              </w:rPr>
              <w:t>1.315</w:t>
            </w:r>
          </w:p>
        </w:tc>
        <w:tc>
          <w:tcPr>
            <w:tcW w:type="dxa" w:w="1165"/>
            <w:shd w:val="clear" w:color="auto" w:fill="F7F9FB"/>
            <w:vAlign w:val="center"/>
          </w:tcPr>
          <w:p>
            <w:pPr>
              <w:keepNext/>
              <w:spacing w:after="0"/>
              <w:jc w:val="center"/>
            </w:pPr>
            <w:r>
              <w:rPr>
                <w:rFonts w:ascii="Calibri" w:hAnsi="Calibri"/>
                <w:b w:val="0"/>
                <w:i w:val="0"/>
                <w:color w:val="222222"/>
                <w:sz w:val="20"/>
              </w:rPr>
              <w:t>0.9839</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val="0"/>
              <w:spacing w:after="0"/>
            </w:pPr>
            <w:r>
              <w:rPr>
                <w:rFonts w:ascii="Consolas" w:hAnsi="Consolas"/>
                <w:b/>
                <w:i w:val="0"/>
                <w:color w:val="222222"/>
                <w:sz w:val="18"/>
              </w:rPr>
              <w:t>burst_rate_per_min</w:t>
            </w:r>
          </w:p>
        </w:tc>
        <w:tc>
          <w:tcPr>
            <w:tcW w:type="dxa" w:w="1534"/>
            <w:shd w:val="clear" w:color="auto" w:fill="FFFFFF"/>
            <w:vAlign w:val="center"/>
          </w:tcPr>
          <w:p>
            <w:pPr>
              <w:keepNext w:val="0"/>
              <w:spacing w:after="0"/>
              <w:jc w:val="center"/>
            </w:pPr>
            <w:r>
              <w:rPr>
                <w:rFonts w:ascii="Calibri" w:hAnsi="Calibri"/>
                <w:b w:val="0"/>
                <w:i w:val="0"/>
                <w:color w:val="222222"/>
                <w:sz w:val="20"/>
              </w:rPr>
              <w:t>2.0584</w:t>
            </w:r>
          </w:p>
        </w:tc>
        <w:tc>
          <w:tcPr>
            <w:tcW w:type="dxa" w:w="1165"/>
            <w:shd w:val="clear" w:color="auto" w:fill="FFFFFF"/>
            <w:vAlign w:val="center"/>
          </w:tcPr>
          <w:p>
            <w:pPr>
              <w:keepNext w:val="0"/>
              <w:spacing w:after="0"/>
              <w:jc w:val="center"/>
            </w:pPr>
            <w:r>
              <w:rPr>
                <w:rFonts w:ascii="Calibri" w:hAnsi="Calibri"/>
                <w:b w:val="0"/>
                <w:i w:val="0"/>
                <w:color w:val="222222"/>
                <w:sz w:val="20"/>
              </w:rPr>
              <w:t>0.9299</w:t>
            </w:r>
          </w:p>
        </w:tc>
        <w:tc>
          <w:tcPr>
            <w:tcW w:type="dxa" w:w="1498"/>
            <w:shd w:val="clear" w:color="auto" w:fill="FFFFFF"/>
            <w:vAlign w:val="center"/>
          </w:tcPr>
          <w:p>
            <w:pPr>
              <w:keepNext w:val="0"/>
              <w:spacing w:after="0"/>
            </w:pPr>
            <w:r>
              <w:rPr>
                <w:rFonts w:ascii="Consolas" w:hAnsi="Consolas"/>
                <w:b w:val="0"/>
                <w:i w:val="0"/>
                <w:color w:val="222222"/>
                <w:sz w:val="18"/>
              </w:rPr>
              <w:t>no conversion</w:t>
            </w:r>
          </w:p>
        </w:tc>
        <w:tc>
          <w:tcPr>
            <w:tcW w:type="dxa" w:w="1531"/>
            <w:shd w:val="clear" w:color="auto" w:fill="FFFFFF"/>
            <w:vAlign w:val="center"/>
          </w:tcPr>
          <w:p>
            <w:pPr>
              <w:keepNext w:val="0"/>
              <w:spacing w:after="0"/>
              <w:jc w:val="center"/>
            </w:pPr>
            <w:r>
              <w:rPr>
                <w:rFonts w:ascii="Calibri" w:hAnsi="Calibri"/>
                <w:b w:val="0"/>
                <w:i w:val="0"/>
                <w:color w:val="222222"/>
                <w:sz w:val="20"/>
              </w:rPr>
              <w:t>0.944</w:t>
            </w:r>
          </w:p>
        </w:tc>
      </w:tr>
    </w:tbl>
    <w:p>
      <w:pPr>
        <w:spacing w:after="80"/>
      </w:pPr>
    </w:p>
    <w:p>
      <w:pPr>
        <w:spacing w:after="120"/>
      </w:pPr>
      <w:r>
        <w:rPr>
          <w:rFonts w:ascii="Calibri" w:hAnsi="Calibri"/>
          <w:b w:val="0"/>
          <w:i w:val="0"/>
          <w:color w:val="222222"/>
          <w:sz w:val="21"/>
        </w:rPr>
        <w:t xml:space="preserve">The full table, with the share of recordings within a tenth and the </w:t>
      </w:r>
      <w:r>
        <w:rPr>
          <w:rFonts w:ascii="Consolas" w:hAnsi="Consolas"/>
          <w:b w:val="0"/>
          <w:i w:val="0"/>
          <w:color w:val="222222"/>
          <w:sz w:val="19"/>
        </w:rPr>
        <w:t>kapucu2022_logisi</w:t>
      </w:r>
      <w:r>
        <w:rPr>
          <w:rFonts w:ascii="Calibri" w:hAnsi="Calibri"/>
          <w:b w:val="0"/>
          <w:i w:val="0"/>
          <w:color w:val="222222"/>
          <w:sz w:val="21"/>
        </w:rPr>
        <w:t xml:space="preserve"> pair, is </w:t>
      </w:r>
      <w:r>
        <w:rPr>
          <w:rFonts w:ascii="Consolas" w:hAnsi="Consolas"/>
          <w:b w:val="0"/>
          <w:i w:val="0"/>
          <w:color w:val="222222"/>
          <w:sz w:val="19"/>
        </w:rPr>
        <w:t>outputs/tables/feature_definitions.md</w:t>
      </w:r>
      <w:r>
        <w:rPr>
          <w:rFonts w:ascii="Calibri" w:hAnsi="Calibri"/>
          <w:b w:val="0"/>
          <w:i w:val="0"/>
          <w:color w:val="222222"/>
          <w:sz w:val="21"/>
        </w:rPr>
        <w:t>. Three features carry over unchanged, three by a factor, and burst rate not at all: the denominator change moves each recording by its own share of bursting electrodes, so the ranks shift (ρ 0.9299).</w:t>
      </w:r>
    </w:p>
    <w:p>
      <w:pPr>
        <w:spacing w:after="120"/>
      </w:pPr>
      <w:r>
        <w:rPr>
          <w:rFonts w:ascii="Calibri" w:hAnsi="Calibri"/>
          <w:b/>
          <w:i w:val="0"/>
          <w:color w:val="156082"/>
          <w:sz w:val="21"/>
        </w:rPr>
        <w:t>The limits.</w:t>
      </w:r>
      <w:r>
        <w:rPr>
          <w:rFonts w:ascii="Calibri" w:hAnsi="Calibri"/>
          <w:b w:val="0"/>
          <w:i w:val="0"/>
          <w:color w:val="222222"/>
          <w:sz w:val="21"/>
        </w:rPr>
        <w:t xml:space="preserve"> A translation is checked only where a depositor's own output exists, which today means these three plates; it is not a conversion for other laboratories or cultures. Even here a pooled factor is a property of the recordings, not of the two definitions: per plate the firing-rate ratio is 1.1017 on the rat plate and 1.3902 on hPSC_MEA1, and the active-electrode ratio 0.9008 against 0.6958 (hPSC_MEA2), because the stricter activity threshold drops more of the human electrodes. A same-number verdict between two of our sets says nothing about the depositors: burst duration is unchanged between </w:t>
      </w:r>
      <w:r>
        <w:rPr>
          <w:rFonts w:ascii="Consolas" w:hAnsi="Consolas"/>
          <w:b w:val="0"/>
          <w:i w:val="0"/>
          <w:color w:val="222222"/>
          <w:sz w:val="19"/>
        </w:rPr>
        <w:t>neuromps</w:t>
      </w:r>
      <w:r>
        <w:rPr>
          <w:rFonts w:ascii="Calibri" w:hAnsi="Calibri"/>
          <w:b w:val="0"/>
          <w:i w:val="0"/>
          <w:color w:val="222222"/>
          <w:sz w:val="21"/>
        </w:rPr>
        <w:t xml:space="preserve"> and </w:t>
      </w:r>
      <w:r>
        <w:rPr>
          <w:rFonts w:ascii="Consolas" w:hAnsi="Consolas"/>
          <w:b w:val="0"/>
          <w:i w:val="0"/>
          <w:color w:val="222222"/>
          <w:sz w:val="19"/>
        </w:rPr>
        <w:t>kapucu2022</w:t>
      </w:r>
      <w:r>
        <w:rPr>
          <w:rFonts w:ascii="Calibri" w:hAnsi="Calibri"/>
          <w:b w:val="0"/>
          <w:i w:val="0"/>
          <w:color w:val="222222"/>
          <w:sz w:val="21"/>
        </w:rPr>
        <w:t>, and both sit at 0.8208 of the depositors' value. Under the experimental set, burst duration has no conversion either (</w:t>
      </w:r>
      <w:r>
        <w:rPr>
          <w:rFonts w:ascii="Consolas" w:hAnsi="Consolas"/>
          <w:b w:val="0"/>
          <w:i w:val="0"/>
          <w:color w:val="222222"/>
          <w:sz w:val="19"/>
        </w:rPr>
        <w:t>no conversion</w:t>
      </w:r>
      <w:r>
        <w:rPr>
          <w:rFonts w:ascii="Calibri" w:hAnsi="Calibri"/>
          <w:b w:val="0"/>
          <w:i w:val="0"/>
          <w:color w:val="222222"/>
          <w:sz w:val="21"/>
        </w:rPr>
        <w:t>), and no result in this report uses that set. The sidecar is for reading our records beside a named definition; where spike times exist, recomputing under a named set is better than converting.</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6" name="Picture 16"/>
            <wp:cNvGraphicFramePr>
              <a:graphicFrameLocks noChangeAspect="1"/>
            </wp:cNvGraphicFramePr>
            <a:graphic>
              <a:graphicData uri="http://schemas.openxmlformats.org/drawingml/2006/picture">
                <pic:pic>
                  <pic:nvPicPr>
                    <pic:cNvPr id="0" name="depression_under_block_simulated.png"/>
                    <pic:cNvPicPr/>
                  </pic:nvPicPr>
                  <pic:blipFill>
                    <a:blip r:embed="rId28"/>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46 studies made 233 registered predictions, of which 105 passed, 88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45 registrations, 41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7" name="Picture 17"/>
            <wp:cNvGraphicFramePr>
              <a:graphicFrameLocks noChangeAspect="1"/>
            </wp:cNvGraphicFramePr>
            <a:graphic>
              <a:graphicData uri="http://schemas.openxmlformats.org/drawingml/2006/picture">
                <pic:pic>
                  <pic:nvPicPr>
                    <pic:cNvPr id="0" name="fly_chip_to_animal_dose_SIMULATED.png"/>
                    <pic:cNvPicPr/>
                  </pic:nvPicPr>
                  <pic:blipFill>
                    <a:blip r:embed="rId29"/>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8" name="Picture 18"/>
            <wp:cNvGraphicFramePr>
              <a:graphicFrameLocks noChangeAspect="1"/>
            </wp:cNvGraphicFramePr>
            <a:graphic>
              <a:graphicData uri="http://schemas.openxmlformats.org/drawingml/2006/picture">
                <pic:pic>
                  <pic:nvPicPr>
                    <pic:cNvPr id="0" name="fly_sentinel_ladder_SIMULATED.png"/>
                    <pic:cNvPicPr/>
                  </pic:nvPicPr>
                  <pic:blipFill>
                    <a:blip r:embed="rId30"/>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9" name="Picture 19"/>
            <wp:cNvGraphicFramePr>
              <a:graphicFrameLocks noChangeAspect="1"/>
            </wp:cNvGraphicFramePr>
            <a:graphic>
              <a:graphicData uri="http://schemas.openxmlformats.org/drawingml/2006/picture">
                <pic:pic>
                  <pic:nvPicPr>
                    <pic:cNvPr id="0" name="fly_output_tract_SIMULATED.png"/>
                    <pic:cNvPicPr/>
                  </pic:nvPicPr>
                  <pic:blipFill>
                    <a:blip r:embed="rId31"/>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0" name="Picture 20"/>
            <wp:cNvGraphicFramePr>
              <a:graphicFrameLocks noChangeAspect="1"/>
            </wp:cNvGraphicFramePr>
            <a:graphic>
              <a:graphicData uri="http://schemas.openxmlformats.org/drawingml/2006/picture">
                <pic:pic>
                  <pic:nvPicPr>
                    <pic:cNvPr id="0" name="fly_direction_SIMULATED.png"/>
                    <pic:cNvPicPr/>
                  </pic:nvPicPr>
                  <pic:blipFill>
                    <a:blip r:embed="rId32"/>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1" name="Picture 21"/>
            <wp:cNvGraphicFramePr>
              <a:graphicFrameLocks noChangeAspect="1"/>
            </wp:cNvGraphicFramePr>
            <a:graphic>
              <a:graphicData uri="http://schemas.openxmlformats.org/drawingml/2006/picture">
                <pic:pic>
                  <pic:nvPicPr>
                    <pic:cNvPr id="0" name="fly_motor_onsets_SIMULATED.png"/>
                    <pic:cNvPicPr/>
                  </pic:nvPicPr>
                  <pic:blipFill>
                    <a:blip r:embed="rId33"/>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2" name="Picture 22"/>
            <wp:cNvGraphicFramePr>
              <a:graphicFrameLocks noChangeAspect="1"/>
            </wp:cNvGraphicFramePr>
            <a:graphic>
              <a:graphicData uri="http://schemas.openxmlformats.org/drawingml/2006/picture">
                <pic:pic>
                  <pic:nvPicPr>
                    <pic:cNvPr id="0" name="fly_motor_tie_break_SIMULATED.png"/>
                    <pic:cNvPicPr/>
                  </pic:nvPicPr>
                  <pic:blipFill>
                    <a:blip r:embed="rId34"/>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3" name="Picture 23"/>
            <wp:cNvGraphicFramePr>
              <a:graphicFrameLocks noChangeAspect="1"/>
            </wp:cNvGraphicFramePr>
            <a:graphic>
              <a:graphicData uri="http://schemas.openxmlformats.org/drawingml/2006/picture">
                <pic:pic>
                  <pic:nvPicPr>
                    <pic:cNvPr id="0" name="toxcast_noise_floors_real.png"/>
                    <pic:cNvPicPr/>
                  </pic:nvPicPr>
                  <pic:blipFill>
                    <a:blip r:embed="rId35"/>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4" name="Picture 24"/>
            <wp:cNvGraphicFramePr>
              <a:graphicFrameLocks noChangeAspect="1"/>
            </wp:cNvGraphicFramePr>
            <a:graphic>
              <a:graphicData uri="http://schemas.openxmlformats.org/drawingml/2006/picture">
                <pic:pic>
                  <pic:nvPicPr>
                    <pic:cNvPr id="0" name="twin_toxcast_positive_controls.png"/>
                    <pic:cNvPicPr/>
                  </pic:nvPicPr>
                  <pic:blipFill>
                    <a:blip r:embed="rId36"/>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5" name="Picture 25"/>
            <wp:cNvGraphicFramePr>
              <a:graphicFrameLocks noChangeAspect="1"/>
            </wp:cNvGraphicFramePr>
            <a:graphic>
              <a:graphicData uri="http://schemas.openxmlformats.org/drawingml/2006/picture">
                <pic:pic>
                  <pic:nvPicPr>
                    <pic:cNvPr id="0" name="twin_toxcast_dose_response.png"/>
                    <pic:cNvPicPr/>
                  </pic:nvPicPr>
                  <pic:blipFill>
                    <a:blip r:embed="rId37"/>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6" name="Picture 26"/>
            <wp:cNvGraphicFramePr>
              <a:graphicFrameLocks noChangeAspect="1"/>
            </wp:cNvGraphicFramePr>
            <a:graphic>
              <a:graphicData uri="http://schemas.openxmlformats.org/drawingml/2006/picture">
                <pic:pic>
                  <pic:nvPicPr>
                    <pic:cNvPr id="0" name="hpsc_split_half_real.png"/>
                    <pic:cNvPicPr/>
                  </pic:nvPicPr>
                  <pic:blipFill>
                    <a:blip r:embed="rId38"/>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7" name="Picture 27"/>
            <wp:cNvGraphicFramePr>
              <a:graphicFrameLocks noChangeAspect="1"/>
            </wp:cNvGraphicFramePr>
            <a:graphic>
              <a:graphicData uri="http://schemas.openxmlformats.org/drawingml/2006/picture">
                <pic:pic>
                  <pic:nvPicPr>
                    <pic:cNvPr id="0" name="hpsc_settling_real.png"/>
                    <pic:cNvPicPr/>
                  </pic:nvPicPr>
                  <pic:blipFill>
                    <a:blip r:embed="rId39"/>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8" name="Picture 28"/>
            <wp:cNvGraphicFramePr>
              <a:graphicFrameLocks noChangeAspect="1"/>
            </wp:cNvGraphicFramePr>
            <a:graphic>
              <a:graphicData uri="http://schemas.openxmlformats.org/drawingml/2006/picture">
                <pic:pic>
                  <pic:nvPicPr>
                    <pic:cNvPr id="0" name="hd14_posterior_ranks_simulated.png"/>
                    <pic:cNvPicPr/>
                  </pic:nvPicPr>
                  <pic:blipFill>
                    <a:blip r:embed="rId40"/>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9" name="Picture 29"/>
            <wp:cNvGraphicFramePr>
              <a:graphicFrameLocks noChangeAspect="1"/>
            </wp:cNvGraphicFramePr>
            <a:graphic>
              <a:graphicData uri="http://schemas.openxmlformats.org/drawingml/2006/picture">
                <pic:pic>
                  <pic:nvPicPr>
                    <pic:cNvPr id="0" name="hd14b_recalibration_simulated.png"/>
                    <pic:cNvPicPr/>
                  </pic:nvPicPr>
                  <pic:blipFill>
                    <a:blip r:embed="rId41"/>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0" name="Picture 30"/>
            <wp:cNvGraphicFramePr>
              <a:graphicFrameLocks noChangeAspect="1"/>
            </wp:cNvGraphicFramePr>
            <a:graphic>
              <a:graphicData uri="http://schemas.openxmlformats.org/drawingml/2006/picture">
                <pic:pic>
                  <pic:nvPicPr>
                    <pic:cNvPr id="0" name="microchannel_asymmetry_real.png"/>
                    <pic:cNvPicPr/>
                  </pic:nvPicPr>
                  <pic:blipFill>
                    <a:blip r:embed="rId42"/>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