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a fifth.</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When we ran the depositors' own meaRtools pipeline on the same recordings, it disagreed with ours by more than a factor of two on burst rate (§3) — exactly the kind of divergence the asset exists to remove.</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depositors' own meaRtools output, REAL recordings. Rank agreement on the horizontal axis, ratio of values on the vertical. Only </w:t>
      </w:r>
      <w:r>
        <w:rPr>
          <w:rFonts w:ascii="Consolas" w:hAnsi="Consolas"/>
          <w:b w:val="0"/>
          <w:i/>
          <w:color w:val="222222"/>
          <w:sz w:val="15"/>
        </w:rPr>
        <w:t>pct_spikes_in_bursts</w:t>
      </w:r>
      <w:r>
        <w:rPr>
          <w:rFonts w:ascii="Calibri" w:hAnsi="Calibri"/>
          <w:b w:val="0"/>
          <w:i/>
          <w:color w:val="222222"/>
          <w:sz w:val="17"/>
        </w:rPr>
        <w:t xml:space="preserve"> lands on equality; burst rate differs twofold from definitional choice alone.</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3" name="Picture 3"/>
            <wp:cNvGraphicFramePr>
              <a:graphicFrameLocks noChangeAspect="1"/>
            </wp:cNvGraphicFramePr>
            <a:graphic>
              <a:graphicData uri="http://schemas.openxmlformats.org/drawingml/2006/picture">
                <pic:pic>
                  <pic:nvPicPr>
                    <pic:cNvPr id="0" name="mechanism_classifier_real.png"/>
                    <pic:cNvPicPr/>
                  </pic:nvPicPr>
                  <pic:blipFill>
                    <a:blip r:embed="rId15"/>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4" name="Picture 4"/>
            <wp:cNvGraphicFramePr>
              <a:graphicFrameLocks noChangeAspect="1"/>
            </wp:cNvGraphicFramePr>
            <a:graphic>
              <a:graphicData uri="http://schemas.openxmlformats.org/drawingml/2006/picture">
                <pic:pic>
                  <pic:nvPicPr>
                    <pic:cNvPr id="0" name="mechanism_confusion.png"/>
                    <pic:cNvPicPr/>
                  </pic:nvPicPr>
                  <pic:blipFill>
                    <a:blip r:embed="rId16"/>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5" name="Picture 5"/>
            <wp:cNvGraphicFramePr>
              <a:graphicFrameLocks noChangeAspect="1"/>
            </wp:cNvGraphicFramePr>
            <a:graphic>
              <a:graphicData uri="http://schemas.openxmlformats.org/drawingml/2006/picture">
                <pic:pic>
                  <pic:nvPicPr>
                    <pic:cNvPr id="0" name="species_shift.png"/>
                    <pic:cNvPicPr/>
                  </pic:nvPicPr>
                  <pic:blipFill>
                    <a:blip r:embed="rId17"/>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6" name="Picture 6"/>
            <wp:cNvGraphicFramePr>
              <a:graphicFrameLocks noChangeAspect="1"/>
            </wp:cNvGraphicFramePr>
            <a:graphic>
              <a:graphicData uri="http://schemas.openxmlformats.org/drawingml/2006/picture">
                <pic:pic>
                  <pic:nvPicPr>
                    <pic:cNvPr id="0" name="baseline_species_comparison.png"/>
                    <pic:cNvPicPr/>
                  </pic:nvPicPr>
                  <pic:blipFill>
                    <a:blip r:embed="rId18"/>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7" name="Picture 7"/>
            <wp:cNvGraphicFramePr>
              <a:graphicFrameLocks noChangeAspect="1"/>
            </wp:cNvGraphicFramePr>
            <a:graphic>
              <a:graphicData uri="http://schemas.openxmlformats.org/drawingml/2006/picture">
                <pic:pic>
                  <pic:nvPicPr>
                    <pic:cNvPr id="0" name="platform_contrast_gabaa_antagonist.png"/>
                    <pic:cNvPicPr/>
                  </pic:nvPicPr>
                  <pic:blipFill>
                    <a:blip r:embed="rId19"/>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8" name="Picture 8"/>
            <wp:cNvGraphicFramePr>
              <a:graphicFrameLocks noChangeAspect="1"/>
            </wp:cNvGraphicFramePr>
            <a:graphic>
              <a:graphicData uri="http://schemas.openxmlformats.org/drawingml/2006/picture">
                <pic:pic>
                  <pic:nvPicPr>
                    <pic:cNvPr id="0" name="twin_architecture_simulated.png"/>
                    <pic:cNvPicPr/>
                  </pic:nvPicPr>
                  <pic:blipFill>
                    <a:blip r:embed="rId20"/>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9" name="Picture 9"/>
            <wp:cNvGraphicFramePr>
              <a:graphicFrameLocks noChangeAspect="1"/>
            </wp:cNvGraphicFramePr>
            <a:graphic>
              <a:graphicData uri="http://schemas.openxmlformats.org/drawingml/2006/picture">
                <pic:pic>
                  <pic:nvPicPr>
                    <pic:cNvPr id="0" name="hd12_calibration_simulated.png"/>
                    <pic:cNvPicPr/>
                  </pic:nvPicPr>
                  <pic:blipFill>
                    <a:blip r:embed="rId21"/>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0" name="Picture 10"/>
            <wp:cNvGraphicFramePr>
              <a:graphicFrameLocks noChangeAspect="1"/>
            </wp:cNvGraphicFramePr>
            <a:graphic>
              <a:graphicData uri="http://schemas.openxmlformats.org/drawingml/2006/picture">
                <pic:pic>
                  <pic:nvPicPr>
                    <pic:cNvPr id="0" name="hd13_drug_knob_validation_simulated.png"/>
                    <pic:cNvPicPr/>
                  </pic:nvPicPr>
                  <pic:blipFill>
                    <a:blip r:embed="rId22"/>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1" name="Picture 11"/>
            <wp:cNvGraphicFramePr>
              <a:graphicFrameLocks noChangeAspect="1"/>
            </wp:cNvGraphicFramePr>
            <a:graphic>
              <a:graphicData uri="http://schemas.openxmlformats.org/drawingml/2006/picture">
                <pic:pic>
                  <pic:nvPicPr>
                    <pic:cNvPr id="0" name="compartment_lag_by_device_type.png"/>
                    <pic:cNvPicPr/>
                  </pic:nvPicPr>
                  <pic:blipFill>
                    <a:blip r:embed="rId23"/>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2" name="Picture 12"/>
            <wp:cNvGraphicFramePr>
              <a:graphicFrameLocks noChangeAspect="1"/>
            </wp:cNvGraphicFramePr>
            <a:graphic>
              <a:graphicData uri="http://schemas.openxmlformats.org/drawingml/2006/picture">
                <pic:pic>
                  <pic:nvPicPr>
                    <pic:cNvPr id="0" name="axonal_flow_vs_chamber.png"/>
                    <pic:cNvPicPr/>
                  </pic:nvPicPr>
                  <pic:blipFill>
                    <a:blip r:embed="rId24"/>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3" name="Picture 13"/>
            <wp:cNvGraphicFramePr>
              <a:graphicFrameLocks noChangeAspect="1"/>
            </wp:cNvGraphicFramePr>
            <a:graphic>
              <a:graphicData uri="http://schemas.openxmlformats.org/drawingml/2006/picture">
                <pic:pic>
                  <pic:nvPicPr>
                    <pic:cNvPr id="0" name="inference_network_simulated.png"/>
                    <pic:cNvPicPr/>
                  </pic:nvPicPr>
                  <pic:blipFill>
                    <a:blip r:embed="rId25"/>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Appendix G shows the full rank histograms.</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8"/>
        <w:gridCol w:w="2343"/>
        <w:gridCol w:w="2603"/>
        <w:gridCol w:w="3242"/>
      </w:tblGrid>
      <w:tr>
        <w:trPr>
          <w:cantSplit/>
          <w:tblHeader/>
        </w:trPr>
        <w:tc>
          <w:tcPr>
            <w:tcW w:type="dxa" w:w="308"/>
            <w:shd w:val="clear" w:color="auto" w:fill="1F4E79"/>
            <w:vAlign w:val="center"/>
          </w:tcPr>
          <w:p>
            <w:pPr>
              <w:keepNext/>
              <w:spacing w:after="0"/>
              <w:jc w:val="center"/>
            </w:pPr>
            <w:r>
              <w:rPr>
                <w:rFonts w:ascii="Calibri" w:hAnsi="Calibri"/>
                <w:b/>
                <w:i w:val="0"/>
                <w:color w:val="FFFFFF"/>
                <w:sz w:val="20"/>
              </w:rPr>
              <w:t>#</w:t>
            </w:r>
          </w:p>
        </w:tc>
        <w:tc>
          <w:tcPr>
            <w:tcW w:type="dxa" w:w="2343"/>
            <w:shd w:val="clear" w:color="auto" w:fill="1F4E79"/>
            <w:vAlign w:val="center"/>
          </w:tcPr>
          <w:p>
            <w:pPr>
              <w:keepNext/>
              <w:spacing w:after="0"/>
            </w:pPr>
            <w:r>
              <w:rPr>
                <w:rFonts w:ascii="Calibri" w:hAnsi="Calibri"/>
                <w:b/>
                <w:i w:val="0"/>
                <w:color w:val="FFFFFF"/>
                <w:sz w:val="20"/>
              </w:rPr>
              <w:t>finding</w:t>
            </w:r>
          </w:p>
        </w:tc>
        <w:tc>
          <w:tcPr>
            <w:tcW w:type="dxa" w:w="2603"/>
            <w:shd w:val="clear" w:color="auto" w:fill="1F4E79"/>
            <w:vAlign w:val="center"/>
          </w:tcPr>
          <w:p>
            <w:pPr>
              <w:keepNext/>
              <w:spacing w:after="0"/>
            </w:pPr>
            <w:r>
              <w:rPr>
                <w:rFonts w:ascii="Calibri" w:hAnsi="Calibri"/>
                <w:b/>
                <w:i w:val="0"/>
                <w:color w:val="FFFFFF"/>
                <w:sz w:val="20"/>
              </w:rPr>
              <w:t>evidence</w:t>
            </w:r>
          </w:p>
        </w:tc>
        <w:tc>
          <w:tcPr>
            <w:tcW w:type="dxa" w:w="3242"/>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1</w:t>
            </w:r>
          </w:p>
        </w:tc>
        <w:tc>
          <w:tcPr>
            <w:tcW w:type="dxa" w:w="2343"/>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603"/>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242"/>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2</w:t>
            </w:r>
          </w:p>
        </w:tc>
        <w:tc>
          <w:tcPr>
            <w:tcW w:type="dxa" w:w="2343"/>
            <w:shd w:val="clear" w:color="auto" w:fill="F7F9FB"/>
            <w:vAlign w:val="center"/>
          </w:tcPr>
          <w:p>
            <w:pPr>
              <w:keepNext/>
              <w:spacing w:after="0"/>
            </w:pPr>
            <w:r>
              <w:rPr>
                <w:rFonts w:ascii="Calibri" w:hAnsi="Calibri"/>
                <w:b w:val="0"/>
                <w:i w:val="0"/>
                <w:color w:val="222222"/>
                <w:sz w:val="20"/>
              </w:rPr>
              <w:t>chamber readouts miss direction</w:t>
            </w:r>
          </w:p>
        </w:tc>
        <w:tc>
          <w:tcPr>
            <w:tcW w:type="dxa" w:w="2603"/>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242"/>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3</w:t>
            </w:r>
          </w:p>
        </w:tc>
        <w:tc>
          <w:tcPr>
            <w:tcW w:type="dxa" w:w="2343"/>
            <w:shd w:val="clear" w:color="auto" w:fill="FFFFFF"/>
            <w:vAlign w:val="center"/>
          </w:tcPr>
          <w:p>
            <w:pPr>
              <w:keepNext/>
              <w:spacing w:after="0"/>
            </w:pPr>
            <w:r>
              <w:rPr>
                <w:rFonts w:ascii="Calibri" w:hAnsi="Calibri"/>
                <w:b w:val="0"/>
                <w:i w:val="0"/>
                <w:color w:val="222222"/>
                <w:sz w:val="20"/>
              </w:rPr>
              <w:t>no cross-laboratory transfer</w:t>
            </w:r>
          </w:p>
        </w:tc>
        <w:tc>
          <w:tcPr>
            <w:tcW w:type="dxa" w:w="2603"/>
            <w:shd w:val="clear" w:color="auto" w:fill="FFFFFF"/>
            <w:vAlign w:val="center"/>
          </w:tcPr>
          <w:p>
            <w:pPr>
              <w:keepNext/>
              <w:spacing w:after="0"/>
            </w:pPr>
            <w:r>
              <w:rPr>
                <w:rFonts w:ascii="Calibri" w:hAnsi="Calibri"/>
                <w:b w:val="0"/>
                <w:i w:val="0"/>
                <w:color w:val="222222"/>
                <w:sz w:val="20"/>
              </w:rPr>
              <w:t>0.3482 against 0.3333 chance</w:t>
            </w:r>
          </w:p>
        </w:tc>
        <w:tc>
          <w:tcPr>
            <w:tcW w:type="dxa" w:w="3242"/>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4</w:t>
            </w:r>
          </w:p>
        </w:tc>
        <w:tc>
          <w:tcPr>
            <w:tcW w:type="dxa" w:w="2343"/>
            <w:shd w:val="clear" w:color="auto" w:fill="F7F9FB"/>
            <w:vAlign w:val="center"/>
          </w:tcPr>
          <w:p>
            <w:pPr>
              <w:keepNext/>
              <w:spacing w:after="0"/>
            </w:pPr>
            <w:r>
              <w:rPr>
                <w:rFonts w:ascii="Calibri" w:hAnsi="Calibri"/>
                <w:b w:val="0"/>
                <w:i w:val="0"/>
                <w:color w:val="222222"/>
                <w:sz w:val="20"/>
              </w:rPr>
              <w:t>domain adaptation backfires</w:t>
            </w:r>
          </w:p>
        </w:tc>
        <w:tc>
          <w:tcPr>
            <w:tcW w:type="dxa" w:w="2603"/>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242"/>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5</w:t>
            </w:r>
          </w:p>
        </w:tc>
        <w:tc>
          <w:tcPr>
            <w:tcW w:type="dxa" w:w="2343"/>
            <w:shd w:val="clear" w:color="auto" w:fill="FFFFFF"/>
            <w:vAlign w:val="center"/>
          </w:tcPr>
          <w:p>
            <w:pPr>
              <w:keepNext/>
              <w:spacing w:after="0"/>
            </w:pPr>
            <w:r>
              <w:rPr>
                <w:rFonts w:ascii="Calibri" w:hAnsi="Calibri"/>
                <w:b w:val="0"/>
                <w:i w:val="0"/>
                <w:color w:val="222222"/>
                <w:sz w:val="20"/>
              </w:rPr>
              <w:t>synchrony was an artifact</w:t>
            </w:r>
          </w:p>
        </w:tc>
        <w:tc>
          <w:tcPr>
            <w:tcW w:type="dxa" w:w="2603"/>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242"/>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6</w:t>
            </w:r>
          </w:p>
        </w:tc>
        <w:tc>
          <w:tcPr>
            <w:tcW w:type="dxa" w:w="2343"/>
            <w:shd w:val="clear" w:color="auto" w:fill="F7F9FB"/>
            <w:vAlign w:val="center"/>
          </w:tcPr>
          <w:p>
            <w:pPr>
              <w:keepNext/>
              <w:spacing w:after="0"/>
            </w:pPr>
            <w:r>
              <w:rPr>
                <w:rFonts w:ascii="Calibri" w:hAnsi="Calibri"/>
                <w:b w:val="0"/>
                <w:i w:val="0"/>
                <w:color w:val="222222"/>
                <w:sz w:val="20"/>
              </w:rPr>
              <w:t>posterior over-confidence</w:t>
            </w:r>
          </w:p>
        </w:tc>
        <w:tc>
          <w:tcPr>
            <w:tcW w:type="dxa" w:w="2603"/>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w:t>
            </w:r>
          </w:p>
        </w:tc>
        <w:tc>
          <w:tcPr>
            <w:tcW w:type="dxa" w:w="3242"/>
            <w:shd w:val="clear" w:color="auto" w:fill="F7F9FB"/>
            <w:vAlign w:val="center"/>
          </w:tcPr>
          <w:p>
            <w:pPr>
              <w:keepNext/>
              <w:spacing w:after="0"/>
            </w:pPr>
            <w:r>
              <w:rPr>
                <w:rFonts w:ascii="Calibri" w:hAnsi="Calibri"/>
                <w:b w:val="0"/>
                <w:i w:val="0"/>
                <w:color w:val="222222"/>
                <w:sz w:val="20"/>
              </w:rPr>
              <w:t>check rank uniformity before quoting an interval; quote only parameters that pass</w:t>
            </w:r>
          </w:p>
        </w:tc>
      </w:tr>
      <w:tr>
        <w:trPr>
          <w:cantSplit/>
        </w:trPr>
        <w:tc>
          <w:tcPr>
            <w:tcW w:type="dxa" w:w="308"/>
            <w:shd w:val="clear" w:color="auto" w:fill="FFFFFF"/>
            <w:vAlign w:val="center"/>
          </w:tcPr>
          <w:p>
            <w:pPr>
              <w:keepNext/>
              <w:spacing w:after="0"/>
              <w:jc w:val="center"/>
            </w:pPr>
            <w:r>
              <w:rPr>
                <w:rFonts w:ascii="Calibri" w:hAnsi="Calibri"/>
                <w:b/>
                <w:i w:val="0"/>
                <w:color w:val="222222"/>
                <w:sz w:val="20"/>
              </w:rPr>
              <w:t>7</w:t>
            </w:r>
          </w:p>
        </w:tc>
        <w:tc>
          <w:tcPr>
            <w:tcW w:type="dxa" w:w="2343"/>
            <w:shd w:val="clear" w:color="auto" w:fill="FFFFFF"/>
            <w:vAlign w:val="center"/>
          </w:tcPr>
          <w:p>
            <w:pPr>
              <w:keepNext/>
              <w:spacing w:after="0"/>
            </w:pPr>
            <w:r>
              <w:rPr>
                <w:rFonts w:ascii="Calibri" w:hAnsi="Calibri"/>
                <w:b w:val="0"/>
                <w:i w:val="0"/>
                <w:color w:val="222222"/>
                <w:sz w:val="20"/>
              </w:rPr>
              <w:t>baseline read as drug effect</w:t>
            </w:r>
          </w:p>
        </w:tc>
        <w:tc>
          <w:tcPr>
            <w:tcW w:type="dxa" w:w="2603"/>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242"/>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8"/>
            <w:shd w:val="clear" w:color="auto" w:fill="F7F9FB"/>
            <w:vAlign w:val="center"/>
          </w:tcPr>
          <w:p>
            <w:pPr>
              <w:keepNext/>
              <w:spacing w:after="0"/>
              <w:jc w:val="center"/>
            </w:pPr>
            <w:r>
              <w:rPr>
                <w:rFonts w:ascii="Calibri" w:hAnsi="Calibri"/>
                <w:b/>
                <w:i w:val="0"/>
                <w:color w:val="222222"/>
                <w:sz w:val="20"/>
              </w:rPr>
              <w:t>8</w:t>
            </w:r>
          </w:p>
        </w:tc>
        <w:tc>
          <w:tcPr>
            <w:tcW w:type="dxa" w:w="2343"/>
            <w:shd w:val="clear" w:color="auto" w:fill="F7F9FB"/>
            <w:vAlign w:val="center"/>
          </w:tcPr>
          <w:p>
            <w:pPr>
              <w:keepNext/>
              <w:spacing w:after="0"/>
            </w:pPr>
            <w:r>
              <w:rPr>
                <w:rFonts w:ascii="Calibri" w:hAnsi="Calibri"/>
                <w:b w:val="0"/>
                <w:i w:val="0"/>
                <w:color w:val="222222"/>
                <w:sz w:val="20"/>
              </w:rPr>
              <w:t>support rejection</w:t>
            </w:r>
          </w:p>
        </w:tc>
        <w:tc>
          <w:tcPr>
            <w:tcW w:type="dxa" w:w="2603"/>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242"/>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8"/>
            <w:shd w:val="clear" w:color="auto" w:fill="FFFFFF"/>
            <w:vAlign w:val="center"/>
          </w:tcPr>
          <w:p>
            <w:pPr>
              <w:keepNext w:val="0"/>
              <w:spacing w:after="0"/>
              <w:jc w:val="center"/>
            </w:pPr>
            <w:r>
              <w:rPr>
                <w:rFonts w:ascii="Calibri" w:hAnsi="Calibri"/>
                <w:b/>
                <w:i w:val="0"/>
                <w:color w:val="222222"/>
                <w:sz w:val="20"/>
              </w:rPr>
              <w:t>9</w:t>
            </w:r>
          </w:p>
        </w:tc>
        <w:tc>
          <w:tcPr>
            <w:tcW w:type="dxa" w:w="2343"/>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603"/>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242"/>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4" name="Picture 14"/>
            <wp:cNvGraphicFramePr>
              <a:graphicFrameLocks noChangeAspect="1"/>
            </wp:cNvGraphicFramePr>
            <a:graphic>
              <a:graphicData uri="http://schemas.openxmlformats.org/drawingml/2006/picture">
                <pic:pic>
                  <pic:nvPicPr>
                    <pic:cNvPr id="0" name="depression_under_block_simulated.png"/>
                    <pic:cNvPicPr/>
                  </pic:nvPicPr>
                  <pic:blipFill>
                    <a:blip r:embed="rId26"/>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five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69"/>
        <w:gridCol w:w="4799"/>
        <w:gridCol w:w="2128"/>
      </w:tblGrid>
      <w:tr>
        <w:trPr>
          <w:cantSplit/>
          <w:tblHeader/>
        </w:trPr>
        <w:tc>
          <w:tcPr>
            <w:tcW w:type="dxa" w:w="1569"/>
            <w:shd w:val="clear" w:color="auto" w:fill="1F4E79"/>
            <w:vAlign w:val="center"/>
          </w:tcPr>
          <w:p>
            <w:pPr>
              <w:keepNext/>
              <w:spacing w:after="0"/>
            </w:pPr>
            <w:r>
              <w:rPr>
                <w:rFonts w:ascii="Calibri" w:hAnsi="Calibri"/>
                <w:b/>
                <w:i w:val="0"/>
                <w:color w:val="FFFFFF"/>
                <w:sz w:val="20"/>
              </w:rPr>
              <w:t>step</w:t>
            </w:r>
          </w:p>
        </w:tc>
        <w:tc>
          <w:tcPr>
            <w:tcW w:type="dxa" w:w="4799"/>
            <w:shd w:val="clear" w:color="auto" w:fill="1F4E79"/>
            <w:vAlign w:val="center"/>
          </w:tcPr>
          <w:p>
            <w:pPr>
              <w:keepNext/>
              <w:spacing w:after="0"/>
            </w:pPr>
            <w:r>
              <w:rPr>
                <w:rFonts w:ascii="Calibri" w:hAnsi="Calibri"/>
                <w:b/>
                <w:i w:val="0"/>
                <w:color w:val="FFFFFF"/>
                <w:sz w:val="20"/>
              </w:rPr>
              <w:t>command</w:t>
            </w:r>
          </w:p>
        </w:tc>
        <w:tc>
          <w:tcPr>
            <w:tcW w:type="dxa" w:w="2128"/>
            <w:shd w:val="clear" w:color="auto" w:fill="1F4E79"/>
            <w:vAlign w:val="center"/>
          </w:tcPr>
          <w:p>
            <w:pPr>
              <w:keepNext/>
              <w:spacing w:after="0"/>
            </w:pPr>
            <w:r>
              <w:rPr>
                <w:rFonts w:ascii="Calibri" w:hAnsi="Calibri"/>
                <w:b/>
                <w:i w:val="0"/>
                <w:color w:val="FFFFFF"/>
                <w:sz w:val="20"/>
              </w:rPr>
              <w:t>what it does</w:t>
            </w:r>
          </w:p>
        </w:tc>
      </w:tr>
      <w:tr>
        <w:trPr>
          <w:cantSplit/>
        </w:trPr>
        <w:tc>
          <w:tcPr>
            <w:tcW w:type="dxa" w:w="1569"/>
            <w:shd w:val="clear" w:color="auto" w:fill="FFFFFF"/>
            <w:vAlign w:val="center"/>
          </w:tcPr>
          <w:p>
            <w:pPr>
              <w:keepNext/>
              <w:spacing w:after="0"/>
            </w:pPr>
            <w:r>
              <w:rPr>
                <w:rFonts w:ascii="Calibri" w:hAnsi="Calibri"/>
                <w:b/>
                <w:i w:val="0"/>
                <w:color w:val="222222"/>
                <w:sz w:val="20"/>
              </w:rPr>
              <w:t>1. get the code</w:t>
            </w:r>
          </w:p>
        </w:tc>
        <w:tc>
          <w:tcPr>
            <w:tcW w:type="dxa" w:w="479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128"/>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569"/>
            <w:shd w:val="clear" w:color="auto" w:fill="F7F9FB"/>
            <w:vAlign w:val="center"/>
          </w:tcPr>
          <w:p>
            <w:pPr>
              <w:keepNext/>
              <w:spacing w:after="0"/>
            </w:pPr>
            <w:r>
              <w:rPr>
                <w:rFonts w:ascii="Calibri" w:hAnsi="Calibri"/>
                <w:b/>
                <w:i w:val="0"/>
                <w:color w:val="222222"/>
                <w:sz w:val="20"/>
              </w:rPr>
              <w:t>2. create the environment</w:t>
            </w:r>
          </w:p>
        </w:tc>
        <w:tc>
          <w:tcPr>
            <w:tcW w:type="dxa" w:w="479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128"/>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569"/>
            <w:shd w:val="clear" w:color="auto" w:fill="FFFFFF"/>
            <w:vAlign w:val="center"/>
          </w:tcPr>
          <w:p>
            <w:pPr>
              <w:keepNext/>
              <w:spacing w:after="0"/>
            </w:pPr>
            <w:r>
              <w:rPr>
                <w:rFonts w:ascii="Calibri" w:hAnsi="Calibri"/>
                <w:b/>
                <w:i w:val="0"/>
                <w:color w:val="222222"/>
                <w:sz w:val="20"/>
              </w:rPr>
              <w:t>3. install</w:t>
            </w:r>
          </w:p>
        </w:tc>
        <w:tc>
          <w:tcPr>
            <w:tcW w:type="dxa" w:w="479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128"/>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569"/>
            <w:shd w:val="clear" w:color="auto" w:fill="F7F9FB"/>
            <w:vAlign w:val="center"/>
          </w:tcPr>
          <w:p>
            <w:pPr>
              <w:keepNext/>
              <w:spacing w:after="0"/>
            </w:pPr>
            <w:r>
              <w:rPr>
                <w:rFonts w:ascii="Calibri" w:hAnsi="Calibri"/>
                <w:b/>
                <w:i w:val="0"/>
                <w:color w:val="222222"/>
                <w:sz w:val="20"/>
              </w:rPr>
              <w:t>4. quick run</w:t>
            </w:r>
          </w:p>
        </w:tc>
        <w:tc>
          <w:tcPr>
            <w:tcW w:type="dxa" w:w="4799"/>
            <w:shd w:val="clear" w:color="auto" w:fill="F7F9FB"/>
            <w:vAlign w:val="center"/>
          </w:tcPr>
          <w:p>
            <w:pPr>
              <w:keepNext/>
              <w:spacing w:after="0"/>
            </w:pPr>
            <w:r>
              <w:rPr>
                <w:rFonts w:ascii="Consolas" w:hAnsi="Consolas"/>
                <w:b w:val="0"/>
                <w:i w:val="0"/>
                <w:color w:val="222222"/>
                <w:sz w:val="18"/>
              </w:rPr>
              <w:t>.venv/bin/python run_all.py --quick</w:t>
            </w:r>
          </w:p>
        </w:tc>
        <w:tc>
          <w:tcPr>
            <w:tcW w:type="dxa" w:w="2128"/>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569"/>
            <w:shd w:val="clear" w:color="auto" w:fill="FFFFFF"/>
            <w:vAlign w:val="center"/>
          </w:tcPr>
          <w:p>
            <w:pPr>
              <w:keepNext/>
              <w:spacing w:after="0"/>
            </w:pPr>
            <w:r>
              <w:rPr>
                <w:rFonts w:ascii="Calibri" w:hAnsi="Calibri"/>
                <w:b/>
                <w:i w:val="0"/>
                <w:color w:val="222222"/>
                <w:sz w:val="20"/>
              </w:rPr>
              <w:t>5. full run</w:t>
            </w:r>
          </w:p>
        </w:tc>
        <w:tc>
          <w:tcPr>
            <w:tcW w:type="dxa" w:w="4799"/>
            <w:shd w:val="clear" w:color="auto" w:fill="FFFFFF"/>
            <w:vAlign w:val="center"/>
          </w:tcPr>
          <w:p>
            <w:pPr>
              <w:keepNext/>
              <w:spacing w:after="0"/>
            </w:pPr>
            <w:r>
              <w:rPr>
                <w:rFonts w:ascii="Consolas" w:hAnsi="Consolas"/>
                <w:b w:val="0"/>
                <w:i w:val="0"/>
                <w:color w:val="222222"/>
                <w:sz w:val="18"/>
              </w:rPr>
              <w:t>.venv/bin/python run_all.py</w:t>
            </w:r>
          </w:p>
        </w:tc>
        <w:tc>
          <w:tcPr>
            <w:tcW w:type="dxa" w:w="2128"/>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569"/>
            <w:shd w:val="clear" w:color="auto" w:fill="F7F9FB"/>
            <w:vAlign w:val="center"/>
          </w:tcPr>
          <w:p>
            <w:pPr>
              <w:keepNext/>
              <w:spacing w:after="0"/>
            </w:pPr>
            <w:r>
              <w:rPr>
                <w:rFonts w:ascii="Calibri" w:hAnsi="Calibri"/>
                <w:b/>
                <w:i w:val="0"/>
                <w:color w:val="222222"/>
                <w:sz w:val="20"/>
              </w:rPr>
              <w:t>6. check the numbers</w:t>
            </w:r>
          </w:p>
        </w:tc>
        <w:tc>
          <w:tcPr>
            <w:tcW w:type="dxa" w:w="479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128"/>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569"/>
            <w:shd w:val="clear" w:color="auto" w:fill="FFFFFF"/>
            <w:vAlign w:val="center"/>
          </w:tcPr>
          <w:p>
            <w:pPr>
              <w:keepNext w:val="0"/>
              <w:spacing w:after="0"/>
            </w:pPr>
            <w:r>
              <w:rPr>
                <w:rFonts w:ascii="Calibri" w:hAnsi="Calibri"/>
                <w:b/>
                <w:i w:val="0"/>
                <w:color w:val="222222"/>
                <w:sz w:val="20"/>
              </w:rPr>
              <w:t>7. open the demo</w:t>
            </w:r>
          </w:p>
        </w:tc>
        <w:tc>
          <w:tcPr>
            <w:tcW w:type="dxa" w:w="4799"/>
            <w:shd w:val="clear" w:color="auto" w:fill="FFFFFF"/>
            <w:vAlign w:val="center"/>
          </w:tcPr>
          <w:p>
            <w:pPr>
              <w:keepNext w:val="0"/>
              <w:spacing w:after="0"/>
            </w:pPr>
            <w:r>
              <w:rPr>
                <w:rFonts w:ascii="Consolas" w:hAnsi="Consolas"/>
                <w:b w:val="0"/>
                <w:i w:val="0"/>
                <w:color w:val="222222"/>
                <w:sz w:val="18"/>
              </w:rPr>
              <w:t>.venv/bin/streamlit run app/app.py</w:t>
            </w:r>
          </w:p>
        </w:tc>
        <w:tc>
          <w:tcPr>
            <w:tcW w:type="dxa" w:w="2128"/>
            <w:shd w:val="clear" w:color="auto" w:fill="FFFFFF"/>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5" name="Picture 15"/>
            <wp:cNvGraphicFramePr>
              <a:graphicFrameLocks noChangeAspect="1"/>
            </wp:cNvGraphicFramePr>
            <a:graphic>
              <a:graphicData uri="http://schemas.openxmlformats.org/drawingml/2006/picture">
                <pic:pic>
                  <pic:nvPicPr>
                    <pic:cNvPr id="0" name="fly_chip_to_animal_dose_SIMULATED.png"/>
                    <pic:cNvPicPr/>
                  </pic:nvPicPr>
                  <pic:blipFill>
                    <a:blip r:embed="rId27"/>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6" name="Picture 16"/>
            <wp:cNvGraphicFramePr>
              <a:graphicFrameLocks noChangeAspect="1"/>
            </wp:cNvGraphicFramePr>
            <a:graphic>
              <a:graphicData uri="http://schemas.openxmlformats.org/drawingml/2006/picture">
                <pic:pic>
                  <pic:nvPicPr>
                    <pic:cNvPr id="0" name="fly_sentinel_ladder_SIMULATED.png"/>
                    <pic:cNvPicPr/>
                  </pic:nvPicPr>
                  <pic:blipFill>
                    <a:blip r:embed="rId28"/>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7" name="Picture 17"/>
            <wp:cNvGraphicFramePr>
              <a:graphicFrameLocks noChangeAspect="1"/>
            </wp:cNvGraphicFramePr>
            <a:graphic>
              <a:graphicData uri="http://schemas.openxmlformats.org/drawingml/2006/picture">
                <pic:pic>
                  <pic:nvPicPr>
                    <pic:cNvPr id="0" name="fly_output_tract_SIMULATED.png"/>
                    <pic:cNvPicPr/>
                  </pic:nvPicPr>
                  <pic:blipFill>
                    <a:blip r:embed="rId29"/>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18" name="Picture 18"/>
            <wp:cNvGraphicFramePr>
              <a:graphicFrameLocks noChangeAspect="1"/>
            </wp:cNvGraphicFramePr>
            <a:graphic>
              <a:graphicData uri="http://schemas.openxmlformats.org/drawingml/2006/picture">
                <pic:pic>
                  <pic:nvPicPr>
                    <pic:cNvPr id="0" name="fly_direction_SIMULATED.png"/>
                    <pic:cNvPicPr/>
                  </pic:nvPicPr>
                  <pic:blipFill>
                    <a:blip r:embed="rId30"/>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19" name="Picture 19"/>
            <wp:cNvGraphicFramePr>
              <a:graphicFrameLocks noChangeAspect="1"/>
            </wp:cNvGraphicFramePr>
            <a:graphic>
              <a:graphicData uri="http://schemas.openxmlformats.org/drawingml/2006/picture">
                <pic:pic>
                  <pic:nvPicPr>
                    <pic:cNvPr id="0" name="fly_motor_onsets_SIMULATED.png"/>
                    <pic:cNvPicPr/>
                  </pic:nvPicPr>
                  <pic:blipFill>
                    <a:blip r:embed="rId31"/>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0" name="Picture 20"/>
            <wp:cNvGraphicFramePr>
              <a:graphicFrameLocks noChangeAspect="1"/>
            </wp:cNvGraphicFramePr>
            <a:graphic>
              <a:graphicData uri="http://schemas.openxmlformats.org/drawingml/2006/picture">
                <pic:pic>
                  <pic:nvPicPr>
                    <pic:cNvPr id="0" name="hd14_posterior_ranks_simulated.png"/>
                    <pic:cNvPicPr/>
                  </pic:nvPicPr>
                  <pic:blipFill>
                    <a:blip r:embed="rId32"/>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SIMULATED posterior calibration: the rank of the true parameter among posterior samples. Flat would be calibrated; these are not.</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1" name="Picture 21"/>
            <wp:cNvGraphicFramePr>
              <a:graphicFrameLocks noChangeAspect="1"/>
            </wp:cNvGraphicFramePr>
            <a:graphic>
              <a:graphicData uri="http://schemas.openxmlformats.org/drawingml/2006/picture">
                <pic:pic>
                  <pic:nvPicPr>
                    <pic:cNvPr id="0" name="microchannel_asymmetry_real.png"/>
                    <pic:cNvPicPr/>
                  </pic:nvPicPr>
                  <pic:blipFill>
                    <a:blip r:embed="rId33"/>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