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75"/>
        <w:gridCol w:w="2732"/>
        <w:gridCol w:w="2780"/>
        <w:gridCol w:w="1110"/>
      </w:tblGrid>
      <w:tr>
        <w:trPr>
          <w:cantSplit/>
          <w:tblHeader/>
        </w:trPr>
        <w:tc>
          <w:tcPr>
            <w:tcW w:type="dxa" w:w="1875"/>
            <w:shd w:val="clear" w:color="auto" w:fill="1F4E79"/>
            <w:vAlign w:val="center"/>
          </w:tcPr>
          <w:p>
            <w:pPr>
              <w:keepNext/>
              <w:spacing w:after="0"/>
            </w:pPr>
            <w:r>
              <w:rPr>
                <w:rFonts w:ascii="Calibri" w:hAnsi="Calibri"/>
                <w:b/>
                <w:i w:val="0"/>
                <w:color w:val="FFFFFF"/>
                <w:sz w:val="20"/>
              </w:rPr>
              <w:t>setting</w:t>
            </w:r>
          </w:p>
        </w:tc>
        <w:tc>
          <w:tcPr>
            <w:tcW w:type="dxa" w:w="2732"/>
            <w:shd w:val="clear" w:color="auto" w:fill="1F4E79"/>
            <w:vAlign w:val="center"/>
          </w:tcPr>
          <w:p>
            <w:pPr>
              <w:keepNext/>
              <w:spacing w:after="0"/>
            </w:pPr>
            <w:r>
              <w:rPr>
                <w:rFonts w:ascii="Calibri" w:hAnsi="Calibri"/>
                <w:b/>
                <w:i w:val="0"/>
                <w:color w:val="FFFFFF"/>
                <w:sz w:val="20"/>
              </w:rPr>
              <w:t>depositors (meaRtools, as stated)</w:t>
            </w:r>
          </w:p>
        </w:tc>
        <w:tc>
          <w:tcPr>
            <w:tcW w:type="dxa" w:w="2780"/>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110"/>
            <w:shd w:val="clear" w:color="auto" w:fill="1F4E79"/>
            <w:vAlign w:val="center"/>
          </w:tcPr>
          <w:p>
            <w:pPr>
              <w:keepNext/>
              <w:spacing w:after="0"/>
            </w:pPr>
            <w:r>
              <w:rPr>
                <w:rFonts w:ascii="Calibri" w:hAnsi="Calibri"/>
                <w:b/>
                <w:i w:val="0"/>
                <w:color w:val="FFFFFF"/>
                <w:sz w:val="20"/>
              </w:rPr>
              <w:t>ladder step</w:t>
            </w:r>
          </w:p>
        </w:tc>
      </w:tr>
      <w:tr>
        <w:trPr>
          <w:cantSplit/>
        </w:trPr>
        <w:tc>
          <w:tcPr>
            <w:tcW w:type="dxa" w:w="1875"/>
            <w:shd w:val="clear" w:color="auto" w:fill="FFFFFF"/>
            <w:vAlign w:val="center"/>
          </w:tcPr>
          <w:p>
            <w:pPr>
              <w:keepNext/>
              <w:spacing w:after="0"/>
            </w:pPr>
            <w:r>
              <w:rPr>
                <w:rFonts w:ascii="Calibri" w:hAnsi="Calibri"/>
                <w:b/>
                <w:i w:val="0"/>
                <w:color w:val="222222"/>
                <w:sz w:val="20"/>
              </w:rPr>
              <w:t>active electrode</w:t>
            </w:r>
          </w:p>
        </w:tc>
        <w:tc>
          <w:tcPr>
            <w:tcW w:type="dxa" w:w="2732"/>
            <w:shd w:val="clear" w:color="auto" w:fill="FFFFFF"/>
            <w:vAlign w:val="center"/>
          </w:tcPr>
          <w:p>
            <w:pPr>
              <w:keepNext/>
              <w:spacing w:after="0"/>
            </w:pPr>
            <w:r>
              <w:rPr>
                <w:rFonts w:ascii="Calibri" w:hAnsi="Calibri"/>
                <w:b w:val="0"/>
                <w:i w:val="0"/>
                <w:color w:val="222222"/>
                <w:sz w:val="20"/>
              </w:rPr>
              <w:t>more than 10 spikes/min</w:t>
            </w:r>
          </w:p>
        </w:tc>
        <w:tc>
          <w:tcPr>
            <w:tcW w:type="dxa" w:w="2780"/>
            <w:shd w:val="clear" w:color="auto" w:fill="FFFFFF"/>
            <w:vAlign w:val="center"/>
          </w:tcPr>
          <w:p>
            <w:pPr>
              <w:keepNext/>
              <w:spacing w:after="0"/>
            </w:pPr>
            <w:r>
              <w:rPr>
                <w:rFonts w:ascii="Calibri" w:hAnsi="Calibri"/>
                <w:b w:val="0"/>
                <w:i w:val="0"/>
                <w:color w:val="222222"/>
                <w:sz w:val="20"/>
              </w:rPr>
              <w:t>at least 5 spikes/min</w:t>
            </w:r>
          </w:p>
        </w:tc>
        <w:tc>
          <w:tcPr>
            <w:tcW w:type="dxa" w:w="1110"/>
            <w:shd w:val="clear" w:color="auto" w:fill="FFFFFF"/>
            <w:vAlign w:val="center"/>
          </w:tcPr>
          <w:p>
            <w:pPr>
              <w:keepNext/>
              <w:spacing w:after="0"/>
            </w:pPr>
            <w:r>
              <w:rPr>
                <w:rFonts w:ascii="Calibri" w:hAnsi="Calibri"/>
                <w:b w:val="0"/>
                <w:i w:val="0"/>
                <w:color w:val="222222"/>
                <w:sz w:val="20"/>
              </w:rPr>
              <w:t>S1</w:t>
            </w:r>
          </w:p>
        </w:tc>
      </w:tr>
      <w:tr>
        <w:trPr>
          <w:cantSplit/>
        </w:trPr>
        <w:tc>
          <w:tcPr>
            <w:tcW w:type="dxa" w:w="1875"/>
            <w:shd w:val="clear" w:color="auto" w:fill="F7F9FB"/>
            <w:vAlign w:val="center"/>
          </w:tcPr>
          <w:p>
            <w:pPr>
              <w:keepNext/>
              <w:spacing w:after="0"/>
            </w:pPr>
            <w:r>
              <w:rPr>
                <w:rFonts w:ascii="Calibri" w:hAnsi="Calibri"/>
                <w:b/>
                <w:i w:val="0"/>
                <w:color w:val="222222"/>
                <w:sz w:val="20"/>
              </w:rPr>
              <w:t>noisy electrodes</w:t>
            </w:r>
          </w:p>
        </w:tc>
        <w:tc>
          <w:tcPr>
            <w:tcW w:type="dxa" w:w="2732"/>
            <w:shd w:val="clear" w:color="auto" w:fill="F7F9FB"/>
            <w:vAlign w:val="center"/>
          </w:tcPr>
          <w:p>
            <w:pPr>
              <w:keepNext/>
              <w:spacing w:after="0"/>
            </w:pPr>
            <w:r>
              <w:rPr>
                <w:rFonts w:ascii="Calibri" w:hAnsi="Calibri"/>
                <w:b w:val="0"/>
                <w:i w:val="0"/>
                <w:color w:val="222222"/>
                <w:sz w:val="20"/>
              </w:rPr>
              <w:t>discarded</w:t>
            </w:r>
          </w:p>
        </w:tc>
        <w:tc>
          <w:tcPr>
            <w:tcW w:type="dxa" w:w="2780"/>
            <w:shd w:val="clear" w:color="auto" w:fill="F7F9FB"/>
            <w:vAlign w:val="center"/>
          </w:tcPr>
          <w:p>
            <w:pPr>
              <w:keepNext/>
              <w:spacing w:after="0"/>
            </w:pPr>
            <w:r>
              <w:rPr>
                <w:rFonts w:ascii="Calibri" w:hAnsi="Calibri"/>
                <w:b w:val="0"/>
                <w:i w:val="0"/>
                <w:color w:val="222222"/>
                <w:sz w:val="20"/>
              </w:rPr>
              <w:t>flagged, kept</w:t>
            </w:r>
          </w:p>
        </w:tc>
        <w:tc>
          <w:tcPr>
            <w:tcW w:type="dxa" w:w="1110"/>
            <w:shd w:val="clear" w:color="auto" w:fill="F7F9FB"/>
            <w:vAlign w:val="center"/>
          </w:tcPr>
          <w:p>
            <w:pPr>
              <w:keepNext/>
              <w:spacing w:after="0"/>
            </w:pPr>
            <w:r>
              <w:rPr>
                <w:rFonts w:ascii="Calibri" w:hAnsi="Calibri"/>
                <w:b w:val="0"/>
                <w:i w:val="0"/>
                <w:color w:val="222222"/>
                <w:sz w:val="20"/>
              </w:rPr>
              <w:t>S2</w:t>
            </w:r>
          </w:p>
        </w:tc>
      </w:tr>
      <w:tr>
        <w:trPr>
          <w:cantSplit/>
        </w:trPr>
        <w:tc>
          <w:tcPr>
            <w:tcW w:type="dxa" w:w="1875"/>
            <w:shd w:val="clear" w:color="auto" w:fill="FFFFFF"/>
            <w:vAlign w:val="center"/>
          </w:tcPr>
          <w:p>
            <w:pPr>
              <w:keepNext/>
              <w:spacing w:after="0"/>
            </w:pPr>
            <w:r>
              <w:rPr>
                <w:rFonts w:ascii="Calibri" w:hAnsi="Calibri"/>
                <w:b/>
                <w:i w:val="0"/>
                <w:color w:val="222222"/>
                <w:sz w:val="20"/>
              </w:rPr>
              <w:t>burst rate divided by</w:t>
            </w:r>
          </w:p>
        </w:tc>
        <w:tc>
          <w:tcPr>
            <w:tcW w:type="dxa" w:w="2732"/>
            <w:shd w:val="clear" w:color="auto" w:fill="FFFFFF"/>
            <w:vAlign w:val="center"/>
          </w:tcPr>
          <w:p>
            <w:pPr>
              <w:keepNext/>
              <w:spacing w:after="0"/>
            </w:pPr>
            <w:r>
              <w:rPr>
                <w:rFonts w:ascii="Calibri" w:hAnsi="Calibri"/>
                <w:b w:val="0"/>
                <w:i w:val="0"/>
                <w:color w:val="222222"/>
                <w:sz w:val="20"/>
              </w:rPr>
              <w:t>electrodes that burst</w:t>
            </w:r>
          </w:p>
        </w:tc>
        <w:tc>
          <w:tcPr>
            <w:tcW w:type="dxa" w:w="2780"/>
            <w:shd w:val="clear" w:color="auto" w:fill="FFFFFF"/>
            <w:vAlign w:val="center"/>
          </w:tcPr>
          <w:p>
            <w:pPr>
              <w:keepNext/>
              <w:spacing w:after="0"/>
            </w:pPr>
            <w:r>
              <w:rPr>
                <w:rFonts w:ascii="Calibri" w:hAnsi="Calibri"/>
                <w:b w:val="0"/>
                <w:i w:val="0"/>
                <w:color w:val="222222"/>
                <w:sz w:val="20"/>
              </w:rPr>
              <w:t>every active electrode</w:t>
            </w:r>
          </w:p>
        </w:tc>
        <w:tc>
          <w:tcPr>
            <w:tcW w:type="dxa" w:w="1110"/>
            <w:shd w:val="clear" w:color="auto" w:fill="FFFFFF"/>
            <w:vAlign w:val="center"/>
          </w:tcPr>
          <w:p>
            <w:pPr>
              <w:keepNext/>
              <w:spacing w:after="0"/>
            </w:pPr>
            <w:r>
              <w:rPr>
                <w:rFonts w:ascii="Calibri" w:hAnsi="Calibri"/>
                <w:b w:val="0"/>
                <w:i w:val="0"/>
                <w:color w:val="222222"/>
                <w:sz w:val="20"/>
              </w:rPr>
              <w:t>S3</w:t>
            </w:r>
          </w:p>
        </w:tc>
      </w:tr>
      <w:tr>
        <w:trPr>
          <w:cantSplit/>
        </w:trPr>
        <w:tc>
          <w:tcPr>
            <w:tcW w:type="dxa" w:w="1875"/>
            <w:shd w:val="clear" w:color="auto" w:fill="F7F9FB"/>
            <w:vAlign w:val="center"/>
          </w:tcPr>
          <w:p>
            <w:pPr>
              <w:keepNext/>
              <w:spacing w:after="0"/>
            </w:pPr>
            <w:r>
              <w:rPr>
                <w:rFonts w:ascii="Calibri" w:hAnsi="Calibri"/>
                <w:b/>
                <w:i w:val="0"/>
                <w:color w:val="222222"/>
                <w:sz w:val="20"/>
              </w:rPr>
              <w:t>burst detector</w:t>
            </w:r>
          </w:p>
        </w:tc>
        <w:tc>
          <w:tcPr>
            <w:tcW w:type="dxa" w:w="2732"/>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780"/>
            <w:shd w:val="clear" w:color="auto" w:fill="F7F9FB"/>
            <w:vAlign w:val="center"/>
          </w:tcPr>
          <w:p>
            <w:pPr>
              <w:keepNext/>
              <w:spacing w:after="0"/>
            </w:pPr>
            <w:r>
              <w:rPr>
                <w:rFonts w:ascii="Calibri" w:hAnsi="Calibri"/>
                <w:b w:val="0"/>
                <w:i w:val="0"/>
                <w:color w:val="222222"/>
                <w:sz w:val="20"/>
              </w:rPr>
              <w:t>fixed: ISI ≤ 100 ms</w:t>
            </w:r>
          </w:p>
        </w:tc>
        <w:tc>
          <w:tcPr>
            <w:tcW w:type="dxa" w:w="1110"/>
            <w:shd w:val="clear" w:color="auto" w:fill="F7F9FB"/>
            <w:vAlign w:val="center"/>
          </w:tcPr>
          <w:p>
            <w:pPr>
              <w:keepNext/>
              <w:spacing w:after="0"/>
            </w:pPr>
            <w:r>
              <w:rPr>
                <w:rFonts w:ascii="Calibri" w:hAnsi="Calibri"/>
                <w:b w:val="0"/>
                <w:i w:val="0"/>
                <w:color w:val="222222"/>
                <w:sz w:val="20"/>
              </w:rPr>
              <w:t>not tested</w:t>
            </w:r>
          </w:p>
        </w:tc>
      </w:tr>
      <w:tr>
        <w:trPr>
          <w:cantSplit/>
        </w:trPr>
        <w:tc>
          <w:tcPr>
            <w:tcW w:type="dxa" w:w="1875"/>
            <w:shd w:val="clear" w:color="auto" w:fill="FFFFFF"/>
            <w:vAlign w:val="center"/>
          </w:tcPr>
          <w:p>
            <w:pPr>
              <w:keepNext/>
              <w:spacing w:after="0"/>
            </w:pPr>
            <w:r>
              <w:rPr>
                <w:rFonts w:ascii="Calibri" w:hAnsi="Calibri"/>
                <w:b/>
                <w:i w:val="0"/>
                <w:color w:val="222222"/>
                <w:sz w:val="20"/>
              </w:rPr>
              <w:t>minimum spikes per burst</w:t>
            </w:r>
          </w:p>
        </w:tc>
        <w:tc>
          <w:tcPr>
            <w:tcW w:type="dxa" w:w="2732"/>
            <w:shd w:val="clear" w:color="auto" w:fill="FFFFFF"/>
            <w:vAlign w:val="center"/>
          </w:tcPr>
          <w:p>
            <w:pPr>
              <w:keepNext/>
              <w:spacing w:after="0"/>
              <w:jc w:val="center"/>
            </w:pPr>
            <w:r>
              <w:rPr>
                <w:rFonts w:ascii="Calibri" w:hAnsi="Calibri"/>
                <w:b w:val="0"/>
                <w:i w:val="0"/>
                <w:color w:val="222222"/>
                <w:sz w:val="20"/>
              </w:rPr>
              <w:t>5</w:t>
            </w:r>
          </w:p>
        </w:tc>
        <w:tc>
          <w:tcPr>
            <w:tcW w:type="dxa" w:w="2780"/>
            <w:shd w:val="clear" w:color="auto" w:fill="FFFFFF"/>
            <w:vAlign w:val="center"/>
          </w:tcPr>
          <w:p>
            <w:pPr>
              <w:keepNext/>
              <w:spacing w:after="0"/>
              <w:jc w:val="center"/>
            </w:pPr>
            <w:r>
              <w:rPr>
                <w:rFonts w:ascii="Calibri" w:hAnsi="Calibri"/>
                <w:b w:val="0"/>
                <w:i w:val="0"/>
                <w:color w:val="222222"/>
                <w:sz w:val="20"/>
              </w:rPr>
              <w:t>5</w:t>
            </w:r>
          </w:p>
        </w:tc>
        <w:tc>
          <w:tcPr>
            <w:tcW w:type="dxa" w:w="1110"/>
            <w:shd w:val="clear" w:color="auto" w:fill="FFFFFF"/>
            <w:vAlign w:val="center"/>
          </w:tcPr>
          <w:p>
            <w:pPr>
              <w:keepNext/>
              <w:spacing w:after="0"/>
            </w:pPr>
            <w:r>
              <w:rPr>
                <w:rFonts w:ascii="Calibri" w:hAnsi="Calibri"/>
                <w:b w:val="0"/>
                <w:i w:val="0"/>
                <w:color w:val="222222"/>
                <w:sz w:val="20"/>
              </w:rPr>
              <w:t>same</w:t>
            </w:r>
          </w:p>
        </w:tc>
      </w:tr>
      <w:tr>
        <w:trPr>
          <w:cantSplit/>
        </w:trPr>
        <w:tc>
          <w:tcPr>
            <w:tcW w:type="dxa" w:w="1875"/>
            <w:shd w:val="clear" w:color="auto" w:fill="F7F9FB"/>
            <w:vAlign w:val="center"/>
          </w:tcPr>
          <w:p>
            <w:pPr>
              <w:keepNext w:val="0"/>
              <w:spacing w:after="0"/>
            </w:pPr>
            <w:r>
              <w:rPr>
                <w:rFonts w:ascii="Calibri" w:hAnsi="Calibri"/>
                <w:b/>
                <w:i w:val="0"/>
                <w:color w:val="222222"/>
                <w:sz w:val="20"/>
              </w:rPr>
              <w:t>STTC window</w:t>
            </w:r>
          </w:p>
        </w:tc>
        <w:tc>
          <w:tcPr>
            <w:tcW w:type="dxa" w:w="2732"/>
            <w:shd w:val="clear" w:color="auto" w:fill="F7F9FB"/>
            <w:vAlign w:val="center"/>
          </w:tcPr>
          <w:p>
            <w:pPr>
              <w:keepNext w:val="0"/>
              <w:spacing w:after="0"/>
            </w:pPr>
            <w:r>
              <w:rPr>
                <w:rFonts w:ascii="Calibri" w:hAnsi="Calibri"/>
                <w:b w:val="0"/>
                <w:i w:val="0"/>
                <w:color w:val="222222"/>
                <w:sz w:val="20"/>
              </w:rPr>
              <w:t>50 ms</w:t>
            </w:r>
          </w:p>
        </w:tc>
        <w:tc>
          <w:tcPr>
            <w:tcW w:type="dxa" w:w="2780"/>
            <w:shd w:val="clear" w:color="auto" w:fill="F7F9FB"/>
            <w:vAlign w:val="center"/>
          </w:tcPr>
          <w:p>
            <w:pPr>
              <w:keepNext w:val="0"/>
              <w:spacing w:after="0"/>
            </w:pPr>
            <w:r>
              <w:rPr>
                <w:rFonts w:ascii="Calibri" w:hAnsi="Calibri"/>
                <w:b w:val="0"/>
                <w:i w:val="0"/>
                <w:color w:val="222222"/>
                <w:sz w:val="20"/>
              </w:rPr>
              <w:t>50 ms</w:t>
            </w:r>
          </w:p>
        </w:tc>
        <w:tc>
          <w:tcPr>
            <w:tcW w:type="dxa" w:w="1110"/>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What remains is the detector, which we did not change: burst duration stays at a pooled ratio of 0.8208 and spikes per burst at 0.9433 at S3.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probably under-detects loose bursts in hPSC recordings, which is where the burst-duration difference sits.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4" name="Picture 4"/>
            <wp:cNvGraphicFramePr>
              <a:graphicFrameLocks noChangeAspect="1"/>
            </wp:cNvGraphicFramePr>
            <a:graphic>
              <a:graphicData uri="http://schemas.openxmlformats.org/drawingml/2006/picture">
                <pic:pic>
                  <pic:nvPicPr>
                    <pic:cNvPr id="0" name="mechanism_classifier_real.png"/>
                    <pic:cNvPicPr/>
                  </pic:nvPicPr>
                  <pic:blipFill>
                    <a:blip r:embed="rId16"/>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5" name="Picture 5"/>
            <wp:cNvGraphicFramePr>
              <a:graphicFrameLocks noChangeAspect="1"/>
            </wp:cNvGraphicFramePr>
            <a:graphic>
              <a:graphicData uri="http://schemas.openxmlformats.org/drawingml/2006/picture">
                <pic:pic>
                  <pic:nvPicPr>
                    <pic:cNvPr id="0" name="mechanism_confusion.png"/>
                    <pic:cNvPicPr/>
                  </pic:nvPicPr>
                  <pic:blipFill>
                    <a:blip r:embed="rId17"/>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6" name="Picture 6"/>
            <wp:cNvGraphicFramePr>
              <a:graphicFrameLocks noChangeAspect="1"/>
            </wp:cNvGraphicFramePr>
            <a:graphic>
              <a:graphicData uri="http://schemas.openxmlformats.org/drawingml/2006/picture">
                <pic:pic>
                  <pic:nvPicPr>
                    <pic:cNvPr id="0" name="species_shift.png"/>
                    <pic:cNvPicPr/>
                  </pic:nvPicPr>
                  <pic:blipFill>
                    <a:blip r:embed="rId18"/>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7" name="Picture 7"/>
            <wp:cNvGraphicFramePr>
              <a:graphicFrameLocks noChangeAspect="1"/>
            </wp:cNvGraphicFramePr>
            <a:graphic>
              <a:graphicData uri="http://schemas.openxmlformats.org/drawingml/2006/picture">
                <pic:pic>
                  <pic:nvPicPr>
                    <pic:cNvPr id="0" name="baseline_species_comparison.png"/>
                    <pic:cNvPicPr/>
                  </pic:nvPicPr>
                  <pic:blipFill>
                    <a:blip r:embed="rId19"/>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8" name="Picture 8"/>
            <wp:cNvGraphicFramePr>
              <a:graphicFrameLocks noChangeAspect="1"/>
            </wp:cNvGraphicFramePr>
            <a:graphic>
              <a:graphicData uri="http://schemas.openxmlformats.org/drawingml/2006/picture">
                <pic:pic>
                  <pic:nvPicPr>
                    <pic:cNvPr id="0" name="platform_contrast_gabaa_antagonist.png"/>
                    <pic:cNvPicPr/>
                  </pic:nvPicPr>
                  <pic:blipFill>
                    <a:blip r:embed="rId20"/>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9" name="Picture 9"/>
            <wp:cNvGraphicFramePr>
              <a:graphicFrameLocks noChangeAspect="1"/>
            </wp:cNvGraphicFramePr>
            <a:graphic>
              <a:graphicData uri="http://schemas.openxmlformats.org/drawingml/2006/picture">
                <pic:pic>
                  <pic:nvPicPr>
                    <pic:cNvPr id="0" name="twin_architecture_simulated.png"/>
                    <pic:cNvPicPr/>
                  </pic:nvPicPr>
                  <pic:blipFill>
                    <a:blip r:embed="rId21"/>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0" name="Picture 10"/>
            <wp:cNvGraphicFramePr>
              <a:graphicFrameLocks noChangeAspect="1"/>
            </wp:cNvGraphicFramePr>
            <a:graphic>
              <a:graphicData uri="http://schemas.openxmlformats.org/drawingml/2006/picture">
                <pic:pic>
                  <pic:nvPicPr>
                    <pic:cNvPr id="0" name="hd12_calibration_simulated.png"/>
                    <pic:cNvPicPr/>
                  </pic:nvPicPr>
                  <pic:blipFill>
                    <a:blip r:embed="rId22"/>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1" name="Picture 11"/>
            <wp:cNvGraphicFramePr>
              <a:graphicFrameLocks noChangeAspect="1"/>
            </wp:cNvGraphicFramePr>
            <a:graphic>
              <a:graphicData uri="http://schemas.openxmlformats.org/drawingml/2006/picture">
                <pic:pic>
                  <pic:nvPicPr>
                    <pic:cNvPr id="0" name="hd13_drug_knob_validation_simulated.png"/>
                    <pic:cNvPicPr/>
                  </pic:nvPicPr>
                  <pic:blipFill>
                    <a:blip r:embed="rId23"/>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3" name="Picture 13"/>
            <wp:cNvGraphicFramePr>
              <a:graphicFrameLocks noChangeAspect="1"/>
            </wp:cNvGraphicFramePr>
            <a:graphic>
              <a:graphicData uri="http://schemas.openxmlformats.org/drawingml/2006/picture">
                <pic:pic>
                  <pic:nvPicPr>
                    <pic:cNvPr id="0" name="axonal_flow_vs_chamber.png"/>
                    <pic:cNvPicPr/>
                  </pic:nvPicPr>
                  <pic:blipFill>
                    <a:blip r:embed="rId25"/>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4" name="Picture 14"/>
            <wp:cNvGraphicFramePr>
              <a:graphicFrameLocks noChangeAspect="1"/>
            </wp:cNvGraphicFramePr>
            <a:graphic>
              <a:graphicData uri="http://schemas.openxmlformats.org/drawingml/2006/picture">
                <pic:pic>
                  <pic:nvPicPr>
                    <pic:cNvPr id="0" name="inference_network_simulated.png"/>
                    <pic:cNvPicPr/>
                  </pic:nvPicPr>
                  <pic:blipFill>
                    <a:blip r:embed="rId26"/>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5" name="Picture 15"/>
            <wp:cNvGraphicFramePr>
              <a:graphicFrameLocks noChangeAspect="1"/>
            </wp:cNvGraphicFramePr>
            <a:graphic>
              <a:graphicData uri="http://schemas.openxmlformats.org/drawingml/2006/picture">
                <pic:pic>
                  <pic:nvPicPr>
                    <pic:cNvPr id="0" name="depression_under_block_simulated.png"/>
                    <pic:cNvPicPr/>
                  </pic:nvPicPr>
                  <pic:blipFill>
                    <a:blip r:embed="rId27"/>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44 studies made 226 registered predictions, of which 101 passed, 86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43 registrations, 39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6" name="Picture 16"/>
            <wp:cNvGraphicFramePr>
              <a:graphicFrameLocks noChangeAspect="1"/>
            </wp:cNvGraphicFramePr>
            <a:graphic>
              <a:graphicData uri="http://schemas.openxmlformats.org/drawingml/2006/picture">
                <pic:pic>
                  <pic:nvPicPr>
                    <pic:cNvPr id="0" name="fly_chip_to_animal_dose_SIMULATED.png"/>
                    <pic:cNvPicPr/>
                  </pic:nvPicPr>
                  <pic:blipFill>
                    <a:blip r:embed="rId28"/>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7" name="Picture 17"/>
            <wp:cNvGraphicFramePr>
              <a:graphicFrameLocks noChangeAspect="1"/>
            </wp:cNvGraphicFramePr>
            <a:graphic>
              <a:graphicData uri="http://schemas.openxmlformats.org/drawingml/2006/picture">
                <pic:pic>
                  <pic:nvPicPr>
                    <pic:cNvPr id="0" name="fly_sentinel_ladder_SIMULATED.png"/>
                    <pic:cNvPicPr/>
                  </pic:nvPicPr>
                  <pic:blipFill>
                    <a:blip r:embed="rId29"/>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8" name="Picture 18"/>
            <wp:cNvGraphicFramePr>
              <a:graphicFrameLocks noChangeAspect="1"/>
            </wp:cNvGraphicFramePr>
            <a:graphic>
              <a:graphicData uri="http://schemas.openxmlformats.org/drawingml/2006/picture">
                <pic:pic>
                  <pic:nvPicPr>
                    <pic:cNvPr id="0" name="fly_output_tract_SIMULATED.png"/>
                    <pic:cNvPicPr/>
                  </pic:nvPicPr>
                  <pic:blipFill>
                    <a:blip r:embed="rId30"/>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9" name="Picture 19"/>
            <wp:cNvGraphicFramePr>
              <a:graphicFrameLocks noChangeAspect="1"/>
            </wp:cNvGraphicFramePr>
            <a:graphic>
              <a:graphicData uri="http://schemas.openxmlformats.org/drawingml/2006/picture">
                <pic:pic>
                  <pic:nvPicPr>
                    <pic:cNvPr id="0" name="fly_direction_SIMULATED.png"/>
                    <pic:cNvPicPr/>
                  </pic:nvPicPr>
                  <pic:blipFill>
                    <a:blip r:embed="rId31"/>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0" name="Picture 20"/>
            <wp:cNvGraphicFramePr>
              <a:graphicFrameLocks noChangeAspect="1"/>
            </wp:cNvGraphicFramePr>
            <a:graphic>
              <a:graphicData uri="http://schemas.openxmlformats.org/drawingml/2006/picture">
                <pic:pic>
                  <pic:nvPicPr>
                    <pic:cNvPr id="0" name="fly_motor_onsets_SIMULATED.png"/>
                    <pic:cNvPicPr/>
                  </pic:nvPicPr>
                  <pic:blipFill>
                    <a:blip r:embed="rId32"/>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1" name="Picture 21"/>
            <wp:cNvGraphicFramePr>
              <a:graphicFrameLocks noChangeAspect="1"/>
            </wp:cNvGraphicFramePr>
            <a:graphic>
              <a:graphicData uri="http://schemas.openxmlformats.org/drawingml/2006/picture">
                <pic:pic>
                  <pic:nvPicPr>
                    <pic:cNvPr id="0" name="fly_motor_tie_break_SIMULATED.png"/>
                    <pic:cNvPicPr/>
                  </pic:nvPicPr>
                  <pic:blipFill>
                    <a:blip r:embed="rId33"/>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2" name="Picture 22"/>
            <wp:cNvGraphicFramePr>
              <a:graphicFrameLocks noChangeAspect="1"/>
            </wp:cNvGraphicFramePr>
            <a:graphic>
              <a:graphicData uri="http://schemas.openxmlformats.org/drawingml/2006/picture">
                <pic:pic>
                  <pic:nvPicPr>
                    <pic:cNvPr id="0" name="toxcast_noise_floors_real.png"/>
                    <pic:cNvPicPr/>
                  </pic:nvPicPr>
                  <pic:blipFill>
                    <a:blip r:embed="rId34"/>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3" name="Picture 23"/>
            <wp:cNvGraphicFramePr>
              <a:graphicFrameLocks noChangeAspect="1"/>
            </wp:cNvGraphicFramePr>
            <a:graphic>
              <a:graphicData uri="http://schemas.openxmlformats.org/drawingml/2006/picture">
                <pic:pic>
                  <pic:nvPicPr>
                    <pic:cNvPr id="0" name="twin_toxcast_positive_controls.png"/>
                    <pic:cNvPicPr/>
                  </pic:nvPicPr>
                  <pic:blipFill>
                    <a:blip r:embed="rId35"/>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4" name="Picture 24"/>
            <wp:cNvGraphicFramePr>
              <a:graphicFrameLocks noChangeAspect="1"/>
            </wp:cNvGraphicFramePr>
            <a:graphic>
              <a:graphicData uri="http://schemas.openxmlformats.org/drawingml/2006/picture">
                <pic:pic>
                  <pic:nvPicPr>
                    <pic:cNvPr id="0" name="twin_toxcast_dose_response.png"/>
                    <pic:cNvPicPr/>
                  </pic:nvPicPr>
                  <pic:blipFill>
                    <a:blip r:embed="rId36"/>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5" name="Picture 25"/>
            <wp:cNvGraphicFramePr>
              <a:graphicFrameLocks noChangeAspect="1"/>
            </wp:cNvGraphicFramePr>
            <a:graphic>
              <a:graphicData uri="http://schemas.openxmlformats.org/drawingml/2006/picture">
                <pic:pic>
                  <pic:nvPicPr>
                    <pic:cNvPr id="0" name="hpsc_split_half_real.png"/>
                    <pic:cNvPicPr/>
                  </pic:nvPicPr>
                  <pic:blipFill>
                    <a:blip r:embed="rId37"/>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so part of what is measured here may be settling rather than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6" name="Picture 26"/>
            <wp:cNvGraphicFramePr>
              <a:graphicFrameLocks noChangeAspect="1"/>
            </wp:cNvGraphicFramePr>
            <a:graphic>
              <a:graphicData uri="http://schemas.openxmlformats.org/drawingml/2006/picture">
                <pic:pic>
                  <pic:nvPicPr>
                    <pic:cNvPr id="0" name="hd14_posterior_ranks_simulated.png"/>
                    <pic:cNvPicPr/>
                  </pic:nvPicPr>
                  <pic:blipFill>
                    <a:blip r:embed="rId38"/>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7" name="Picture 27"/>
            <wp:cNvGraphicFramePr>
              <a:graphicFrameLocks noChangeAspect="1"/>
            </wp:cNvGraphicFramePr>
            <a:graphic>
              <a:graphicData uri="http://schemas.openxmlformats.org/drawingml/2006/picture">
                <pic:pic>
                  <pic:nvPicPr>
                    <pic:cNvPr id="0" name="hd14b_recalibration_simulated.png"/>
                    <pic:cNvPicPr/>
                  </pic:nvPicPr>
                  <pic:blipFill>
                    <a:blip r:embed="rId39"/>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8" name="Picture 28"/>
            <wp:cNvGraphicFramePr>
              <a:graphicFrameLocks noChangeAspect="1"/>
            </wp:cNvGraphicFramePr>
            <a:graphic>
              <a:graphicData uri="http://schemas.openxmlformats.org/drawingml/2006/picture">
                <pic:pic>
                  <pic:nvPicPr>
                    <pic:cNvPr id="0" name="microchannel_asymmetry_real.png"/>
                    <pic:cNvPicPr/>
                  </pic:nvPicPr>
                  <pic:blipFill>
                    <a:blip r:embed="rId40"/>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