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two more.</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On the same spike files, our extractor and the depositors' published meaRtools output differ more than twofold in burst rate (§3), the kind of divergence that pooling published summary tables would hide. A post hoc rerun of our extractor under their stated settings traces it to the human iPSC plates and mainly to the burst-rate denominator: dividing by the electrodes that burst rather than by every active one moves the pooled ratio from 0.4423 to 0.9087.</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p>
      <w:pPr>
        <w:spacing w:after="120"/>
        <w:ind w:left="432" w:hanging="259"/>
      </w:pPr>
      <w:r>
        <w:rPr>
          <w:rFonts w:ascii="Calibri" w:hAnsi="Calibri"/>
          <w:b w:val="0"/>
          <w:i w:val="0"/>
          <w:color w:val="222222"/>
          <w:sz w:val="21"/>
        </w:rPr>
        <w:t>•</w:t>
        <w:tab/>
      </w:r>
      <w:r>
        <w:rPr>
          <w:rFonts w:ascii="Calibri" w:hAnsi="Calibri"/>
          <w:b/>
          <w:i w:val="0"/>
          <w:color w:val="156082"/>
          <w:sz w:val="21"/>
        </w:rPr>
        <w:t>What a real screen's untreated wells say (Act IX, added after the first round).</w:t>
      </w:r>
      <w:r>
        <w:rPr>
          <w:rFonts w:ascii="Calibri" w:hAnsi="Calibri"/>
          <w:b w:val="0"/>
          <w:i w:val="0"/>
          <w:color w:val="222222"/>
          <w:sz w:val="21"/>
        </w:rPr>
        <w:t xml:space="preserve"> From the EPA's well-level database we measured how much an untreated well moves on its own, for each of 15 MEA readouts. Over 714 vehicle wells, firing rate drifts by a median of −32% during exposure and the exposure day carries 0.42 of its variance. A one-day experiment judged against a historical reference therefore cannot see even a halving of firing rate, while 32 wells spread over days, or 32 treated and as many vehicle wells on one day, see a fall of a fifth (§32, with a table for every readout). On the screen's own positive controls, from a laboratory the twin never saw, the twin's knobs agree on 12 of 12 scored directions, though a rule that simply follows firing rate does as well (§33). Put to the harder test — does the knob grid reproduce the </w:t>
      </w:r>
      <w:r>
        <w:rPr>
          <w:rFonts w:ascii="Calibri" w:hAnsi="Calibri"/>
          <w:b w:val="0"/>
          <w:i/>
          <w:color w:val="222222"/>
          <w:sz w:val="21"/>
        </w:rPr>
        <w:t>shape</w:t>
      </w:r>
      <w:r>
        <w:rPr>
          <w:rFonts w:ascii="Calibri" w:hAnsi="Calibri"/>
          <w:b w:val="0"/>
          <w:i w:val="0"/>
          <w:color w:val="222222"/>
          <w:sz w:val="21"/>
        </w:rPr>
        <w:t xml:space="preserve"> of real concentration-response curves? — 2 of 4 registered predictions pass: the twin beats a wrong-mechanism knob by 0.47 in rank correlation and names the first-moving readout for 8 of 11 compounds, but fewer than half its curves clear the registered line and the firing-rate rule is again ahead (§35).</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spacing w:after="0"/>
            </w:pPr>
            <w:r>
              <w:rPr>
                <w:rFonts w:ascii="Calibri" w:hAnsi="Calibri"/>
                <w:b/>
                <w:i w:val="0"/>
                <w:color w:val="222222"/>
                <w:sz w:val="20"/>
              </w:rPr>
              <w:t>ACT IX: What a real screen's untreated wells say (after round 1)</w:t>
            </w:r>
          </w:p>
        </w:tc>
        <w:tc>
          <w:tcPr>
            <w:tcW w:type="dxa" w:w="5437"/>
            <w:shd w:val="clear" w:color="auto" w:fill="FFFFFF"/>
            <w:vAlign w:val="center"/>
          </w:tcPr>
          <w:p>
            <w:pPr>
              <w:keepNext/>
              <w:spacing w:after="0"/>
            </w:pPr>
            <w:r>
              <w:rPr>
                <w:rFonts w:ascii="Calibri" w:hAnsi="Calibri"/>
                <w:b w:val="0"/>
                <w:i w:val="0"/>
                <w:color w:val="222222"/>
                <w:sz w:val="20"/>
              </w:rPr>
              <w:t>32. How large a change can a chip see? The noise floor, per feature</w:t>
            </w:r>
          </w:p>
          <w:p>
            <w:pPr>
              <w:keepNext/>
              <w:spacing w:after="0"/>
            </w:pPr>
            <w:r>
              <w:rPr>
                <w:rFonts w:ascii="Calibri" w:hAnsi="Calibri"/>
                <w:b w:val="0"/>
                <w:i w:val="0"/>
                <w:color w:val="222222"/>
                <w:sz w:val="20"/>
              </w:rPr>
              <w:t>33. The twin meets a laboratory it has never seen</w:t>
            </w:r>
          </w:p>
          <w:p>
            <w:pPr>
              <w:keepNext/>
              <w:spacing w:after="0"/>
            </w:pPr>
            <w:r>
              <w:rPr>
                <w:rFonts w:ascii="Calibri" w:hAnsi="Calibri"/>
                <w:b w:val="0"/>
                <w:i w:val="0"/>
                <w:color w:val="222222"/>
                <w:sz w:val="20"/>
              </w:rPr>
              <w:t>34. A quality-control rule for chip screens, from §32</w:t>
            </w:r>
          </w:p>
          <w:p>
            <w:pPr>
              <w:keepNext/>
              <w:spacing w:after="0"/>
            </w:pPr>
            <w:r>
              <w:rPr>
                <w:rFonts w:ascii="Calibri" w:hAnsi="Calibri"/>
                <w:b w:val="0"/>
                <w:i w:val="0"/>
                <w:color w:val="222222"/>
                <w:sz w:val="20"/>
              </w:rPr>
              <w:t>35. The dose response: the twin's knob grid against real concentration-response curves</w:t>
            </w:r>
          </w:p>
          <w:p>
            <w:pPr>
              <w:keepNext/>
              <w:spacing w:after="0"/>
            </w:pPr>
            <w:r>
              <w:rPr>
                <w:rFonts w:ascii="Calibri" w:hAnsi="Calibri"/>
                <w:b w:val="0"/>
                <w:i w:val="0"/>
                <w:color w:val="222222"/>
                <w:sz w:val="20"/>
              </w:rPr>
              <w:t>36. Is a human iPSC chip noisier than a rat one? Split-half noise from one lab</w:t>
            </w:r>
          </w:p>
        </w:tc>
      </w:tr>
      <w:tr>
        <w:trPr>
          <w:cantSplit/>
        </w:trPr>
        <w:tc>
          <w:tcPr>
            <w:tcW w:type="dxa" w:w="3059"/>
            <w:shd w:val="clear" w:color="auto" w:fill="F7F9FB"/>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7F9FB"/>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meaRtools output the depositors published, REAL recordings. One panel per feature: our value (vertical) against their published value (horizontal) for each well and DIV, coloured by plate; the dashed line is equality. Only </w:t>
      </w:r>
      <w:r>
        <w:rPr>
          <w:rFonts w:ascii="Consolas" w:hAnsi="Consolas"/>
          <w:b w:val="0"/>
          <w:i/>
          <w:color w:val="222222"/>
          <w:sz w:val="15"/>
        </w:rPr>
        <w:t>pct_spikes_in_bursts</w:t>
      </w:r>
      <w:r>
        <w:rPr>
          <w:rFonts w:ascii="Calibri" w:hAnsi="Calibri"/>
          <w:b w:val="0"/>
          <w:i/>
          <w:color w:val="222222"/>
          <w:sz w:val="17"/>
        </w:rPr>
        <w:t xml:space="preserve"> lands on equality; burst rate differs about twofold.</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after="120"/>
      </w:pPr>
      <w:r>
        <w:rPr>
          <w:rFonts w:ascii="Calibri" w:hAnsi="Calibri"/>
          <w:b/>
          <w:i w:val="0"/>
          <w:color w:val="156082"/>
          <w:sz w:val="21"/>
        </w:rPr>
        <w:t>Where the difference comes from (post hoc).</w:t>
      </w:r>
      <w:r>
        <w:rPr>
          <w:rFonts w:ascii="Calibri" w:hAnsi="Calibri"/>
          <w:b w:val="0"/>
          <w:i w:val="0"/>
          <w:color w:val="222222"/>
          <w:sz w:val="21"/>
        </w:rPr>
        <w:t xml:space="preserve"> The comparison above runs our extractor on the depositors' spike files and sets it beside the output they published; it does not rerun meaRtools. To find out which choices separate the two, we reran our own extractor with the depositors' stated settings (Kapucu et al. 2022, Methods) switched on one at a time. This is post hoc: a scratch analysis showed the result before the code in </w:t>
      </w:r>
      <w:r>
        <w:rPr>
          <w:rFonts w:ascii="Consolas" w:hAnsi="Consolas"/>
          <w:b w:val="0"/>
          <w:i w:val="0"/>
          <w:color w:val="222222"/>
          <w:sz w:val="19"/>
        </w:rPr>
        <w:t>models/extractor_ladder.py</w:t>
      </w:r>
      <w:r>
        <w:rPr>
          <w:rFonts w:ascii="Calibri" w:hAnsi="Calibri"/>
          <w:b w:val="0"/>
          <w:i w:val="0"/>
          <w:color w:val="222222"/>
          <w:sz w:val="21"/>
        </w:rPr>
        <w:t xml:space="preserve"> was written, so it is labelled exploratory and is not registered.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875"/>
        <w:gridCol w:w="2732"/>
        <w:gridCol w:w="2780"/>
        <w:gridCol w:w="1110"/>
      </w:tblGrid>
      <w:tr>
        <w:trPr>
          <w:cantSplit/>
          <w:tblHeader/>
        </w:trPr>
        <w:tc>
          <w:tcPr>
            <w:tcW w:type="dxa" w:w="1875"/>
            <w:shd w:val="clear" w:color="auto" w:fill="1F4E79"/>
            <w:vAlign w:val="center"/>
          </w:tcPr>
          <w:p>
            <w:pPr>
              <w:keepNext/>
              <w:spacing w:after="0"/>
            </w:pPr>
            <w:r>
              <w:rPr>
                <w:rFonts w:ascii="Calibri" w:hAnsi="Calibri"/>
                <w:b/>
                <w:i w:val="0"/>
                <w:color w:val="FFFFFF"/>
                <w:sz w:val="20"/>
              </w:rPr>
              <w:t>setting</w:t>
            </w:r>
          </w:p>
        </w:tc>
        <w:tc>
          <w:tcPr>
            <w:tcW w:type="dxa" w:w="2732"/>
            <w:shd w:val="clear" w:color="auto" w:fill="1F4E79"/>
            <w:vAlign w:val="center"/>
          </w:tcPr>
          <w:p>
            <w:pPr>
              <w:keepNext/>
              <w:spacing w:after="0"/>
            </w:pPr>
            <w:r>
              <w:rPr>
                <w:rFonts w:ascii="Calibri" w:hAnsi="Calibri"/>
                <w:b/>
                <w:i w:val="0"/>
                <w:color w:val="FFFFFF"/>
                <w:sz w:val="20"/>
              </w:rPr>
              <w:t>depositors (meaRtools, as stated)</w:t>
            </w:r>
          </w:p>
        </w:tc>
        <w:tc>
          <w:tcPr>
            <w:tcW w:type="dxa" w:w="2780"/>
            <w:shd w:val="clear" w:color="auto" w:fill="1F4E79"/>
            <w:vAlign w:val="center"/>
          </w:tcPr>
          <w:p>
            <w:pPr>
              <w:keepNext/>
              <w:spacing w:after="0"/>
            </w:pPr>
            <w:r>
              <w:rPr>
                <w:rFonts w:ascii="Calibri" w:hAnsi="Calibri"/>
                <w:b/>
                <w:i w:val="0"/>
                <w:color w:val="FFFFFF"/>
                <w:sz w:val="20"/>
              </w:rPr>
              <w:t>ours (</w:t>
            </w:r>
            <w:r>
              <w:rPr>
                <w:rFonts w:ascii="Consolas" w:hAnsi="Consolas"/>
                <w:b/>
                <w:i w:val="0"/>
                <w:color w:val="FFFFFF"/>
                <w:sz w:val="18"/>
              </w:rPr>
              <w:t>features/mea.py</w:t>
            </w:r>
            <w:r>
              <w:rPr>
                <w:rFonts w:ascii="Calibri" w:hAnsi="Calibri"/>
                <w:b/>
                <w:i w:val="0"/>
                <w:color w:val="FFFFFF"/>
                <w:sz w:val="20"/>
              </w:rPr>
              <w:t>)</w:t>
            </w:r>
          </w:p>
        </w:tc>
        <w:tc>
          <w:tcPr>
            <w:tcW w:type="dxa" w:w="1110"/>
            <w:shd w:val="clear" w:color="auto" w:fill="1F4E79"/>
            <w:vAlign w:val="center"/>
          </w:tcPr>
          <w:p>
            <w:pPr>
              <w:keepNext/>
              <w:spacing w:after="0"/>
            </w:pPr>
            <w:r>
              <w:rPr>
                <w:rFonts w:ascii="Calibri" w:hAnsi="Calibri"/>
                <w:b/>
                <w:i w:val="0"/>
                <w:color w:val="FFFFFF"/>
                <w:sz w:val="20"/>
              </w:rPr>
              <w:t>ladder step</w:t>
            </w:r>
          </w:p>
        </w:tc>
      </w:tr>
      <w:tr>
        <w:trPr>
          <w:cantSplit/>
        </w:trPr>
        <w:tc>
          <w:tcPr>
            <w:tcW w:type="dxa" w:w="1875"/>
            <w:shd w:val="clear" w:color="auto" w:fill="FFFFFF"/>
            <w:vAlign w:val="center"/>
          </w:tcPr>
          <w:p>
            <w:pPr>
              <w:keepNext/>
              <w:spacing w:after="0"/>
            </w:pPr>
            <w:r>
              <w:rPr>
                <w:rFonts w:ascii="Calibri" w:hAnsi="Calibri"/>
                <w:b/>
                <w:i w:val="0"/>
                <w:color w:val="222222"/>
                <w:sz w:val="20"/>
              </w:rPr>
              <w:t>active electrode</w:t>
            </w:r>
          </w:p>
        </w:tc>
        <w:tc>
          <w:tcPr>
            <w:tcW w:type="dxa" w:w="2732"/>
            <w:shd w:val="clear" w:color="auto" w:fill="FFFFFF"/>
            <w:vAlign w:val="center"/>
          </w:tcPr>
          <w:p>
            <w:pPr>
              <w:keepNext/>
              <w:spacing w:after="0"/>
            </w:pPr>
            <w:r>
              <w:rPr>
                <w:rFonts w:ascii="Calibri" w:hAnsi="Calibri"/>
                <w:b w:val="0"/>
                <w:i w:val="0"/>
                <w:color w:val="222222"/>
                <w:sz w:val="20"/>
              </w:rPr>
              <w:t>more than 10 spikes/min</w:t>
            </w:r>
          </w:p>
        </w:tc>
        <w:tc>
          <w:tcPr>
            <w:tcW w:type="dxa" w:w="2780"/>
            <w:shd w:val="clear" w:color="auto" w:fill="FFFFFF"/>
            <w:vAlign w:val="center"/>
          </w:tcPr>
          <w:p>
            <w:pPr>
              <w:keepNext/>
              <w:spacing w:after="0"/>
            </w:pPr>
            <w:r>
              <w:rPr>
                <w:rFonts w:ascii="Calibri" w:hAnsi="Calibri"/>
                <w:b w:val="0"/>
                <w:i w:val="0"/>
                <w:color w:val="222222"/>
                <w:sz w:val="20"/>
              </w:rPr>
              <w:t>at least 5 spikes/min</w:t>
            </w:r>
          </w:p>
        </w:tc>
        <w:tc>
          <w:tcPr>
            <w:tcW w:type="dxa" w:w="1110"/>
            <w:shd w:val="clear" w:color="auto" w:fill="FFFFFF"/>
            <w:vAlign w:val="center"/>
          </w:tcPr>
          <w:p>
            <w:pPr>
              <w:keepNext/>
              <w:spacing w:after="0"/>
            </w:pPr>
            <w:r>
              <w:rPr>
                <w:rFonts w:ascii="Calibri" w:hAnsi="Calibri"/>
                <w:b w:val="0"/>
                <w:i w:val="0"/>
                <w:color w:val="222222"/>
                <w:sz w:val="20"/>
              </w:rPr>
              <w:t>S1</w:t>
            </w:r>
          </w:p>
        </w:tc>
      </w:tr>
      <w:tr>
        <w:trPr>
          <w:cantSplit/>
        </w:trPr>
        <w:tc>
          <w:tcPr>
            <w:tcW w:type="dxa" w:w="1875"/>
            <w:shd w:val="clear" w:color="auto" w:fill="F7F9FB"/>
            <w:vAlign w:val="center"/>
          </w:tcPr>
          <w:p>
            <w:pPr>
              <w:keepNext/>
              <w:spacing w:after="0"/>
            </w:pPr>
            <w:r>
              <w:rPr>
                <w:rFonts w:ascii="Calibri" w:hAnsi="Calibri"/>
                <w:b/>
                <w:i w:val="0"/>
                <w:color w:val="222222"/>
                <w:sz w:val="20"/>
              </w:rPr>
              <w:t>noisy electrodes</w:t>
            </w:r>
          </w:p>
        </w:tc>
        <w:tc>
          <w:tcPr>
            <w:tcW w:type="dxa" w:w="2732"/>
            <w:shd w:val="clear" w:color="auto" w:fill="F7F9FB"/>
            <w:vAlign w:val="center"/>
          </w:tcPr>
          <w:p>
            <w:pPr>
              <w:keepNext/>
              <w:spacing w:after="0"/>
            </w:pPr>
            <w:r>
              <w:rPr>
                <w:rFonts w:ascii="Calibri" w:hAnsi="Calibri"/>
                <w:b w:val="0"/>
                <w:i w:val="0"/>
                <w:color w:val="222222"/>
                <w:sz w:val="20"/>
              </w:rPr>
              <w:t>discarded</w:t>
            </w:r>
          </w:p>
        </w:tc>
        <w:tc>
          <w:tcPr>
            <w:tcW w:type="dxa" w:w="2780"/>
            <w:shd w:val="clear" w:color="auto" w:fill="F7F9FB"/>
            <w:vAlign w:val="center"/>
          </w:tcPr>
          <w:p>
            <w:pPr>
              <w:keepNext/>
              <w:spacing w:after="0"/>
            </w:pPr>
            <w:r>
              <w:rPr>
                <w:rFonts w:ascii="Calibri" w:hAnsi="Calibri"/>
                <w:b w:val="0"/>
                <w:i w:val="0"/>
                <w:color w:val="222222"/>
                <w:sz w:val="20"/>
              </w:rPr>
              <w:t>flagged, kept</w:t>
            </w:r>
          </w:p>
        </w:tc>
        <w:tc>
          <w:tcPr>
            <w:tcW w:type="dxa" w:w="1110"/>
            <w:shd w:val="clear" w:color="auto" w:fill="F7F9FB"/>
            <w:vAlign w:val="center"/>
          </w:tcPr>
          <w:p>
            <w:pPr>
              <w:keepNext/>
              <w:spacing w:after="0"/>
            </w:pPr>
            <w:r>
              <w:rPr>
                <w:rFonts w:ascii="Calibri" w:hAnsi="Calibri"/>
                <w:b w:val="0"/>
                <w:i w:val="0"/>
                <w:color w:val="222222"/>
                <w:sz w:val="20"/>
              </w:rPr>
              <w:t>S2</w:t>
            </w:r>
          </w:p>
        </w:tc>
      </w:tr>
      <w:tr>
        <w:trPr>
          <w:cantSplit/>
        </w:trPr>
        <w:tc>
          <w:tcPr>
            <w:tcW w:type="dxa" w:w="1875"/>
            <w:shd w:val="clear" w:color="auto" w:fill="FFFFFF"/>
            <w:vAlign w:val="center"/>
          </w:tcPr>
          <w:p>
            <w:pPr>
              <w:keepNext/>
              <w:spacing w:after="0"/>
            </w:pPr>
            <w:r>
              <w:rPr>
                <w:rFonts w:ascii="Calibri" w:hAnsi="Calibri"/>
                <w:b/>
                <w:i w:val="0"/>
                <w:color w:val="222222"/>
                <w:sz w:val="20"/>
              </w:rPr>
              <w:t>burst rate divided by</w:t>
            </w:r>
          </w:p>
        </w:tc>
        <w:tc>
          <w:tcPr>
            <w:tcW w:type="dxa" w:w="2732"/>
            <w:shd w:val="clear" w:color="auto" w:fill="FFFFFF"/>
            <w:vAlign w:val="center"/>
          </w:tcPr>
          <w:p>
            <w:pPr>
              <w:keepNext/>
              <w:spacing w:after="0"/>
            </w:pPr>
            <w:r>
              <w:rPr>
                <w:rFonts w:ascii="Calibri" w:hAnsi="Calibri"/>
                <w:b w:val="0"/>
                <w:i w:val="0"/>
                <w:color w:val="222222"/>
                <w:sz w:val="20"/>
              </w:rPr>
              <w:t>electrodes that burst</w:t>
            </w:r>
          </w:p>
        </w:tc>
        <w:tc>
          <w:tcPr>
            <w:tcW w:type="dxa" w:w="2780"/>
            <w:shd w:val="clear" w:color="auto" w:fill="FFFFFF"/>
            <w:vAlign w:val="center"/>
          </w:tcPr>
          <w:p>
            <w:pPr>
              <w:keepNext/>
              <w:spacing w:after="0"/>
            </w:pPr>
            <w:r>
              <w:rPr>
                <w:rFonts w:ascii="Calibri" w:hAnsi="Calibri"/>
                <w:b w:val="0"/>
                <w:i w:val="0"/>
                <w:color w:val="222222"/>
                <w:sz w:val="20"/>
              </w:rPr>
              <w:t>every active electrode</w:t>
            </w:r>
          </w:p>
        </w:tc>
        <w:tc>
          <w:tcPr>
            <w:tcW w:type="dxa" w:w="1110"/>
            <w:shd w:val="clear" w:color="auto" w:fill="FFFFFF"/>
            <w:vAlign w:val="center"/>
          </w:tcPr>
          <w:p>
            <w:pPr>
              <w:keepNext/>
              <w:spacing w:after="0"/>
            </w:pPr>
            <w:r>
              <w:rPr>
                <w:rFonts w:ascii="Calibri" w:hAnsi="Calibri"/>
                <w:b w:val="0"/>
                <w:i w:val="0"/>
                <w:color w:val="222222"/>
                <w:sz w:val="20"/>
              </w:rPr>
              <w:t>S3</w:t>
            </w:r>
          </w:p>
        </w:tc>
      </w:tr>
      <w:tr>
        <w:trPr>
          <w:cantSplit/>
        </w:trPr>
        <w:tc>
          <w:tcPr>
            <w:tcW w:type="dxa" w:w="1875"/>
            <w:shd w:val="clear" w:color="auto" w:fill="F7F9FB"/>
            <w:vAlign w:val="center"/>
          </w:tcPr>
          <w:p>
            <w:pPr>
              <w:keepNext/>
              <w:spacing w:after="0"/>
            </w:pPr>
            <w:r>
              <w:rPr>
                <w:rFonts w:ascii="Calibri" w:hAnsi="Calibri"/>
                <w:b/>
                <w:i w:val="0"/>
                <w:color w:val="222222"/>
                <w:sz w:val="20"/>
              </w:rPr>
              <w:t>burst detector</w:t>
            </w:r>
          </w:p>
        </w:tc>
        <w:tc>
          <w:tcPr>
            <w:tcW w:type="dxa" w:w="2732"/>
            <w:shd w:val="clear" w:color="auto" w:fill="F7F9FB"/>
            <w:vAlign w:val="center"/>
          </w:tcPr>
          <w:p>
            <w:pPr>
              <w:keepNext/>
              <w:spacing w:after="0"/>
            </w:pPr>
            <w:r>
              <w:rPr>
                <w:rFonts w:ascii="Calibri" w:hAnsi="Calibri"/>
                <w:b w:val="0"/>
                <w:i w:val="0"/>
                <w:color w:val="222222"/>
                <w:sz w:val="20"/>
              </w:rPr>
              <w:t>logISI (adaptive); bursts closer than 100 ms merged</w:t>
            </w:r>
          </w:p>
        </w:tc>
        <w:tc>
          <w:tcPr>
            <w:tcW w:type="dxa" w:w="2780"/>
            <w:shd w:val="clear" w:color="auto" w:fill="F7F9FB"/>
            <w:vAlign w:val="center"/>
          </w:tcPr>
          <w:p>
            <w:pPr>
              <w:keepNext/>
              <w:spacing w:after="0"/>
            </w:pPr>
            <w:r>
              <w:rPr>
                <w:rFonts w:ascii="Calibri" w:hAnsi="Calibri"/>
                <w:b w:val="0"/>
                <w:i w:val="0"/>
                <w:color w:val="222222"/>
                <w:sz w:val="20"/>
              </w:rPr>
              <w:t>fixed: ISI ≤ 100 ms</w:t>
            </w:r>
          </w:p>
        </w:tc>
        <w:tc>
          <w:tcPr>
            <w:tcW w:type="dxa" w:w="1110"/>
            <w:shd w:val="clear" w:color="auto" w:fill="F7F9FB"/>
            <w:vAlign w:val="center"/>
          </w:tcPr>
          <w:p>
            <w:pPr>
              <w:keepNext/>
              <w:spacing w:after="0"/>
            </w:pPr>
            <w:r>
              <w:rPr>
                <w:rFonts w:ascii="Calibri" w:hAnsi="Calibri"/>
                <w:b w:val="0"/>
                <w:i w:val="0"/>
                <w:color w:val="222222"/>
                <w:sz w:val="20"/>
              </w:rPr>
              <w:t>not tested</w:t>
            </w:r>
          </w:p>
        </w:tc>
      </w:tr>
      <w:tr>
        <w:trPr>
          <w:cantSplit/>
        </w:trPr>
        <w:tc>
          <w:tcPr>
            <w:tcW w:type="dxa" w:w="1875"/>
            <w:shd w:val="clear" w:color="auto" w:fill="FFFFFF"/>
            <w:vAlign w:val="center"/>
          </w:tcPr>
          <w:p>
            <w:pPr>
              <w:keepNext/>
              <w:spacing w:after="0"/>
            </w:pPr>
            <w:r>
              <w:rPr>
                <w:rFonts w:ascii="Calibri" w:hAnsi="Calibri"/>
                <w:b/>
                <w:i w:val="0"/>
                <w:color w:val="222222"/>
                <w:sz w:val="20"/>
              </w:rPr>
              <w:t>minimum spikes per burst</w:t>
            </w:r>
          </w:p>
        </w:tc>
        <w:tc>
          <w:tcPr>
            <w:tcW w:type="dxa" w:w="2732"/>
            <w:shd w:val="clear" w:color="auto" w:fill="FFFFFF"/>
            <w:vAlign w:val="center"/>
          </w:tcPr>
          <w:p>
            <w:pPr>
              <w:keepNext/>
              <w:spacing w:after="0"/>
              <w:jc w:val="center"/>
            </w:pPr>
            <w:r>
              <w:rPr>
                <w:rFonts w:ascii="Calibri" w:hAnsi="Calibri"/>
                <w:b w:val="0"/>
                <w:i w:val="0"/>
                <w:color w:val="222222"/>
                <w:sz w:val="20"/>
              </w:rPr>
              <w:t>5</w:t>
            </w:r>
          </w:p>
        </w:tc>
        <w:tc>
          <w:tcPr>
            <w:tcW w:type="dxa" w:w="2780"/>
            <w:shd w:val="clear" w:color="auto" w:fill="FFFFFF"/>
            <w:vAlign w:val="center"/>
          </w:tcPr>
          <w:p>
            <w:pPr>
              <w:keepNext/>
              <w:spacing w:after="0"/>
              <w:jc w:val="center"/>
            </w:pPr>
            <w:r>
              <w:rPr>
                <w:rFonts w:ascii="Calibri" w:hAnsi="Calibri"/>
                <w:b w:val="0"/>
                <w:i w:val="0"/>
                <w:color w:val="222222"/>
                <w:sz w:val="20"/>
              </w:rPr>
              <w:t>5</w:t>
            </w:r>
          </w:p>
        </w:tc>
        <w:tc>
          <w:tcPr>
            <w:tcW w:type="dxa" w:w="1110"/>
            <w:shd w:val="clear" w:color="auto" w:fill="FFFFFF"/>
            <w:vAlign w:val="center"/>
          </w:tcPr>
          <w:p>
            <w:pPr>
              <w:keepNext/>
              <w:spacing w:after="0"/>
            </w:pPr>
            <w:r>
              <w:rPr>
                <w:rFonts w:ascii="Calibri" w:hAnsi="Calibri"/>
                <w:b w:val="0"/>
                <w:i w:val="0"/>
                <w:color w:val="222222"/>
                <w:sz w:val="20"/>
              </w:rPr>
              <w:t>same</w:t>
            </w:r>
          </w:p>
        </w:tc>
      </w:tr>
      <w:tr>
        <w:trPr>
          <w:cantSplit/>
        </w:trPr>
        <w:tc>
          <w:tcPr>
            <w:tcW w:type="dxa" w:w="1875"/>
            <w:shd w:val="clear" w:color="auto" w:fill="F7F9FB"/>
            <w:vAlign w:val="center"/>
          </w:tcPr>
          <w:p>
            <w:pPr>
              <w:keepNext w:val="0"/>
              <w:spacing w:after="0"/>
            </w:pPr>
            <w:r>
              <w:rPr>
                <w:rFonts w:ascii="Calibri" w:hAnsi="Calibri"/>
                <w:b/>
                <w:i w:val="0"/>
                <w:color w:val="222222"/>
                <w:sz w:val="20"/>
              </w:rPr>
              <w:t>STTC window</w:t>
            </w:r>
          </w:p>
        </w:tc>
        <w:tc>
          <w:tcPr>
            <w:tcW w:type="dxa" w:w="2732"/>
            <w:shd w:val="clear" w:color="auto" w:fill="F7F9FB"/>
            <w:vAlign w:val="center"/>
          </w:tcPr>
          <w:p>
            <w:pPr>
              <w:keepNext w:val="0"/>
              <w:spacing w:after="0"/>
            </w:pPr>
            <w:r>
              <w:rPr>
                <w:rFonts w:ascii="Calibri" w:hAnsi="Calibri"/>
                <w:b w:val="0"/>
                <w:i w:val="0"/>
                <w:color w:val="222222"/>
                <w:sz w:val="20"/>
              </w:rPr>
              <w:t>50 ms</w:t>
            </w:r>
          </w:p>
        </w:tc>
        <w:tc>
          <w:tcPr>
            <w:tcW w:type="dxa" w:w="2780"/>
            <w:shd w:val="clear" w:color="auto" w:fill="F7F9FB"/>
            <w:vAlign w:val="center"/>
          </w:tcPr>
          <w:p>
            <w:pPr>
              <w:keepNext w:val="0"/>
              <w:spacing w:after="0"/>
            </w:pPr>
            <w:r>
              <w:rPr>
                <w:rFonts w:ascii="Calibri" w:hAnsi="Calibri"/>
                <w:b w:val="0"/>
                <w:i w:val="0"/>
                <w:color w:val="222222"/>
                <w:sz w:val="20"/>
              </w:rPr>
              <w:t>50 ms</w:t>
            </w:r>
          </w:p>
        </w:tc>
        <w:tc>
          <w:tcPr>
            <w:tcW w:type="dxa" w:w="1110"/>
            <w:shd w:val="clear" w:color="auto" w:fill="F7F9FB"/>
            <w:vAlign w:val="center"/>
          </w:tcPr>
          <w:p>
            <w:pPr>
              <w:keepNext w:val="0"/>
              <w:spacing w:after="0"/>
            </w:pPr>
            <w:r>
              <w:rPr>
                <w:rFonts w:ascii="Calibri" w:hAnsi="Calibri"/>
                <w:b w:val="0"/>
                <w:i w:val="0"/>
                <w:color w:val="222222"/>
                <w:sz w:val="20"/>
              </w:rPr>
              <w:t>same</w:t>
            </w:r>
          </w:p>
        </w:tc>
      </w:tr>
    </w:tbl>
    <w:p>
      <w:pPr>
        <w:spacing w:after="80"/>
      </w:pPr>
    </w:p>
    <w:p>
      <w:pPr>
        <w:keepNext/>
        <w:spacing w:after="120"/>
      </w:pPr>
      <w:r>
        <w:rPr>
          <w:rFonts w:ascii="Calibri" w:hAnsi="Calibri"/>
          <w:b w:val="0"/>
          <w:i w:val="0"/>
          <w:color w:val="222222"/>
          <w:sz w:val="21"/>
        </w:rPr>
        <w:t>Each step keeps the one before it; the median ratio ours/theirs for burst rate, per plate:</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20"/>
        <w:gridCol w:w="1096"/>
        <w:gridCol w:w="1543"/>
        <w:gridCol w:w="1543"/>
        <w:gridCol w:w="1394"/>
      </w:tblGrid>
      <w:tr>
        <w:trPr>
          <w:cantSplit/>
          <w:tblHeader/>
        </w:trPr>
        <w:tc>
          <w:tcPr>
            <w:tcW w:type="dxa" w:w="2920"/>
            <w:shd w:val="clear" w:color="auto" w:fill="1F4E79"/>
            <w:vAlign w:val="center"/>
          </w:tcPr>
          <w:p>
            <w:pPr>
              <w:keepNext/>
              <w:spacing w:after="0"/>
            </w:pPr>
            <w:r>
              <w:rPr>
                <w:rFonts w:ascii="Calibri" w:hAnsi="Calibri"/>
                <w:b/>
                <w:i w:val="0"/>
                <w:color w:val="FFFFFF"/>
                <w:sz w:val="20"/>
              </w:rPr>
              <w:t>burst rate</w:t>
            </w:r>
          </w:p>
        </w:tc>
        <w:tc>
          <w:tcPr>
            <w:tcW w:type="dxa" w:w="1096"/>
            <w:shd w:val="clear" w:color="auto" w:fill="1F4E79"/>
            <w:vAlign w:val="center"/>
          </w:tcPr>
          <w:p>
            <w:pPr>
              <w:keepNext/>
              <w:spacing w:after="0"/>
              <w:jc w:val="center"/>
            </w:pPr>
            <w:r>
              <w:rPr>
                <w:rFonts w:ascii="Calibri" w:hAnsi="Calibri"/>
                <w:b/>
                <w:i w:val="0"/>
                <w:color w:val="FFFFFF"/>
                <w:sz w:val="20"/>
              </w:rPr>
              <w:t>pooled</w:t>
            </w:r>
          </w:p>
        </w:tc>
        <w:tc>
          <w:tcPr>
            <w:tcW w:type="dxa" w:w="1543"/>
            <w:shd w:val="clear" w:color="auto" w:fill="1F4E79"/>
            <w:vAlign w:val="center"/>
          </w:tcPr>
          <w:p>
            <w:pPr>
              <w:keepNext/>
              <w:spacing w:after="0"/>
              <w:jc w:val="center"/>
            </w:pPr>
            <w:r>
              <w:rPr>
                <w:rFonts w:ascii="Calibri" w:hAnsi="Calibri"/>
                <w:b/>
                <w:i w:val="0"/>
                <w:color w:val="FFFFFF"/>
                <w:sz w:val="20"/>
              </w:rPr>
              <w:t>hPSC_MEA1</w:t>
            </w:r>
          </w:p>
        </w:tc>
        <w:tc>
          <w:tcPr>
            <w:tcW w:type="dxa" w:w="1543"/>
            <w:shd w:val="clear" w:color="auto" w:fill="1F4E79"/>
            <w:vAlign w:val="center"/>
          </w:tcPr>
          <w:p>
            <w:pPr>
              <w:keepNext/>
              <w:spacing w:after="0"/>
              <w:jc w:val="center"/>
            </w:pPr>
            <w:r>
              <w:rPr>
                <w:rFonts w:ascii="Calibri" w:hAnsi="Calibri"/>
                <w:b/>
                <w:i w:val="0"/>
                <w:color w:val="FFFFFF"/>
                <w:sz w:val="20"/>
              </w:rPr>
              <w:t>hPSC_MEA2</w:t>
            </w:r>
          </w:p>
        </w:tc>
        <w:tc>
          <w:tcPr>
            <w:tcW w:type="dxa" w:w="1394"/>
            <w:shd w:val="clear" w:color="auto" w:fill="1F4E79"/>
            <w:vAlign w:val="center"/>
          </w:tcPr>
          <w:p>
            <w:pPr>
              <w:keepNext/>
              <w:spacing w:after="0"/>
              <w:jc w:val="center"/>
            </w:pPr>
            <w:r>
              <w:rPr>
                <w:rFonts w:ascii="Calibri" w:hAnsi="Calibri"/>
                <w:b/>
                <w:i w:val="0"/>
                <w:color w:val="FFFFFF"/>
                <w:sz w:val="20"/>
              </w:rPr>
              <w:t>Rat_MEA1</w:t>
            </w:r>
          </w:p>
        </w:tc>
      </w:tr>
      <w:tr>
        <w:trPr>
          <w:cantSplit/>
        </w:trPr>
        <w:tc>
          <w:tcPr>
            <w:tcW w:type="dxa" w:w="2920"/>
            <w:shd w:val="clear" w:color="auto" w:fill="FFFFFF"/>
            <w:vAlign w:val="center"/>
          </w:tcPr>
          <w:p>
            <w:pPr>
              <w:keepNext/>
              <w:spacing w:after="0"/>
            </w:pPr>
            <w:r>
              <w:rPr>
                <w:rFonts w:ascii="Calibri" w:hAnsi="Calibri"/>
                <w:b/>
                <w:i w:val="0"/>
                <w:color w:val="222222"/>
                <w:sz w:val="20"/>
              </w:rPr>
              <w:t>S0, ours</w:t>
            </w:r>
          </w:p>
        </w:tc>
        <w:tc>
          <w:tcPr>
            <w:tcW w:type="dxa" w:w="1096"/>
            <w:shd w:val="clear" w:color="auto" w:fill="FFFFFF"/>
            <w:vAlign w:val="center"/>
          </w:tcPr>
          <w:p>
            <w:pPr>
              <w:keepNext/>
              <w:spacing w:after="0"/>
              <w:jc w:val="center"/>
            </w:pPr>
            <w:r>
              <w:rPr>
                <w:rFonts w:ascii="Calibri" w:hAnsi="Calibri"/>
                <w:b w:val="0"/>
                <w:i w:val="0"/>
                <w:color w:val="222222"/>
                <w:sz w:val="20"/>
              </w:rPr>
              <w:t>0.4423</w:t>
            </w:r>
          </w:p>
        </w:tc>
        <w:tc>
          <w:tcPr>
            <w:tcW w:type="dxa" w:w="1543"/>
            <w:shd w:val="clear" w:color="auto" w:fill="FFFFFF"/>
            <w:vAlign w:val="center"/>
          </w:tcPr>
          <w:p>
            <w:pPr>
              <w:keepNext/>
              <w:spacing w:after="0"/>
              <w:jc w:val="center"/>
            </w:pPr>
            <w:r>
              <w:rPr>
                <w:rFonts w:ascii="Calibri" w:hAnsi="Calibri"/>
                <w:b w:val="0"/>
                <w:i w:val="0"/>
                <w:color w:val="222222"/>
                <w:sz w:val="20"/>
              </w:rPr>
              <w:t>0.3417</w:t>
            </w:r>
          </w:p>
        </w:tc>
        <w:tc>
          <w:tcPr>
            <w:tcW w:type="dxa" w:w="1543"/>
            <w:shd w:val="clear" w:color="auto" w:fill="FFFFFF"/>
            <w:vAlign w:val="center"/>
          </w:tcPr>
          <w:p>
            <w:pPr>
              <w:keepNext/>
              <w:spacing w:after="0"/>
              <w:jc w:val="center"/>
            </w:pPr>
            <w:r>
              <w:rPr>
                <w:rFonts w:ascii="Calibri" w:hAnsi="Calibri"/>
                <w:b w:val="0"/>
                <w:i w:val="0"/>
                <w:color w:val="222222"/>
                <w:sz w:val="20"/>
              </w:rPr>
              <w:t>0.3841</w:t>
            </w:r>
          </w:p>
        </w:tc>
        <w:tc>
          <w:tcPr>
            <w:tcW w:type="dxa" w:w="1394"/>
            <w:shd w:val="clear" w:color="auto" w:fill="FFFFFF"/>
            <w:vAlign w:val="center"/>
          </w:tcPr>
          <w:p>
            <w:pPr>
              <w:keepNext/>
              <w:spacing w:after="0"/>
              <w:jc w:val="center"/>
            </w:pPr>
            <w:r>
              <w:rPr>
                <w:rFonts w:ascii="Calibri" w:hAnsi="Calibri"/>
                <w:b w:val="0"/>
                <w:i w:val="0"/>
                <w:color w:val="222222"/>
                <w:sz w:val="20"/>
              </w:rPr>
              <w:t>0.9573</w:t>
            </w:r>
          </w:p>
        </w:tc>
      </w:tr>
      <w:tr>
        <w:trPr>
          <w:cantSplit/>
        </w:trPr>
        <w:tc>
          <w:tcPr>
            <w:tcW w:type="dxa" w:w="2920"/>
            <w:shd w:val="clear" w:color="auto" w:fill="F7F9FB"/>
            <w:vAlign w:val="center"/>
          </w:tcPr>
          <w:p>
            <w:pPr>
              <w:keepNext/>
              <w:spacing w:after="0"/>
            </w:pPr>
            <w:r>
              <w:rPr>
                <w:rFonts w:ascii="Calibri" w:hAnsi="Calibri"/>
                <w:b/>
                <w:i w:val="0"/>
                <w:color w:val="222222"/>
                <w:sz w:val="20"/>
              </w:rPr>
              <w:t>S1, active above 10 spikes/min</w:t>
            </w:r>
          </w:p>
        </w:tc>
        <w:tc>
          <w:tcPr>
            <w:tcW w:type="dxa" w:w="1096"/>
            <w:shd w:val="clear" w:color="auto" w:fill="F7F9FB"/>
            <w:vAlign w:val="center"/>
          </w:tcPr>
          <w:p>
            <w:pPr>
              <w:keepNext/>
              <w:spacing w:after="0"/>
              <w:jc w:val="center"/>
            </w:pPr>
            <w:r>
              <w:rPr>
                <w:rFonts w:ascii="Calibri" w:hAnsi="Calibri"/>
                <w:b w:val="0"/>
                <w:i w:val="0"/>
                <w:color w:val="222222"/>
                <w:sz w:val="20"/>
              </w:rPr>
              <w:t>0.6998</w:t>
            </w:r>
          </w:p>
        </w:tc>
        <w:tc>
          <w:tcPr>
            <w:tcW w:type="dxa" w:w="1543"/>
            <w:shd w:val="clear" w:color="auto" w:fill="F7F9FB"/>
            <w:vAlign w:val="center"/>
          </w:tcPr>
          <w:p>
            <w:pPr>
              <w:keepNext/>
              <w:spacing w:after="0"/>
              <w:jc w:val="center"/>
            </w:pPr>
            <w:r>
              <w:rPr>
                <w:rFonts w:ascii="Calibri" w:hAnsi="Calibri"/>
                <w:b w:val="0"/>
                <w:i w:val="0"/>
                <w:color w:val="222222"/>
                <w:sz w:val="20"/>
              </w:rPr>
              <w:t>0.5273</w:t>
            </w:r>
          </w:p>
        </w:tc>
        <w:tc>
          <w:tcPr>
            <w:tcW w:type="dxa" w:w="1543"/>
            <w:shd w:val="clear" w:color="auto" w:fill="F7F9FB"/>
            <w:vAlign w:val="center"/>
          </w:tcPr>
          <w:p>
            <w:pPr>
              <w:keepNext/>
              <w:spacing w:after="0"/>
              <w:jc w:val="center"/>
            </w:pPr>
            <w:r>
              <w:rPr>
                <w:rFonts w:ascii="Calibri" w:hAnsi="Calibri"/>
                <w:b w:val="0"/>
                <w:i w:val="0"/>
                <w:color w:val="222222"/>
                <w:sz w:val="20"/>
              </w:rPr>
              <w:t>0.5567</w:t>
            </w:r>
          </w:p>
        </w:tc>
        <w:tc>
          <w:tcPr>
            <w:tcW w:type="dxa" w:w="1394"/>
            <w:shd w:val="clear" w:color="auto" w:fill="F7F9FB"/>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FFFFF"/>
            <w:vAlign w:val="center"/>
          </w:tcPr>
          <w:p>
            <w:pPr>
              <w:keepNext/>
              <w:spacing w:after="0"/>
            </w:pPr>
            <w:r>
              <w:rPr>
                <w:rFonts w:ascii="Calibri" w:hAnsi="Calibri"/>
                <w:b/>
                <w:i w:val="0"/>
                <w:color w:val="222222"/>
                <w:sz w:val="20"/>
              </w:rPr>
              <w:t>S2, + noisy electrodes dropped</w:t>
            </w:r>
          </w:p>
        </w:tc>
        <w:tc>
          <w:tcPr>
            <w:tcW w:type="dxa" w:w="1096"/>
            <w:shd w:val="clear" w:color="auto" w:fill="FFFFFF"/>
            <w:vAlign w:val="center"/>
          </w:tcPr>
          <w:p>
            <w:pPr>
              <w:keepNext/>
              <w:spacing w:after="0"/>
              <w:jc w:val="center"/>
            </w:pPr>
            <w:r>
              <w:rPr>
                <w:rFonts w:ascii="Calibri" w:hAnsi="Calibri"/>
                <w:b w:val="0"/>
                <w:i w:val="0"/>
                <w:color w:val="222222"/>
                <w:sz w:val="20"/>
              </w:rPr>
              <w:t>0.6967</w:t>
            </w:r>
          </w:p>
        </w:tc>
        <w:tc>
          <w:tcPr>
            <w:tcW w:type="dxa" w:w="1543"/>
            <w:shd w:val="clear" w:color="auto" w:fill="FFFFFF"/>
            <w:vAlign w:val="center"/>
          </w:tcPr>
          <w:p>
            <w:pPr>
              <w:keepNext/>
              <w:spacing w:after="0"/>
              <w:jc w:val="center"/>
            </w:pPr>
            <w:r>
              <w:rPr>
                <w:rFonts w:ascii="Calibri" w:hAnsi="Calibri"/>
                <w:b w:val="0"/>
                <w:i w:val="0"/>
                <w:color w:val="222222"/>
                <w:sz w:val="20"/>
              </w:rPr>
              <w:t>0.5273</w:t>
            </w:r>
          </w:p>
        </w:tc>
        <w:tc>
          <w:tcPr>
            <w:tcW w:type="dxa" w:w="1543"/>
            <w:shd w:val="clear" w:color="auto" w:fill="FFFFFF"/>
            <w:vAlign w:val="center"/>
          </w:tcPr>
          <w:p>
            <w:pPr>
              <w:keepNext/>
              <w:spacing w:after="0"/>
              <w:jc w:val="center"/>
            </w:pPr>
            <w:r>
              <w:rPr>
                <w:rFonts w:ascii="Calibri" w:hAnsi="Calibri"/>
                <w:b w:val="0"/>
                <w:i w:val="0"/>
                <w:color w:val="222222"/>
                <w:sz w:val="20"/>
              </w:rPr>
              <w:t>0.5508</w:t>
            </w:r>
          </w:p>
        </w:tc>
        <w:tc>
          <w:tcPr>
            <w:tcW w:type="dxa" w:w="1394"/>
            <w:shd w:val="clear" w:color="auto" w:fill="FFFFFF"/>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7F9FB"/>
            <w:vAlign w:val="center"/>
          </w:tcPr>
          <w:p>
            <w:pPr>
              <w:keepNext/>
              <w:spacing w:after="0"/>
            </w:pPr>
            <w:r>
              <w:rPr>
                <w:rFonts w:ascii="Calibri" w:hAnsi="Calibri"/>
                <w:b/>
                <w:i w:val="0"/>
                <w:color w:val="222222"/>
                <w:sz w:val="20"/>
              </w:rPr>
              <w:t>S3, + rate per bursting electrode</w:t>
            </w:r>
          </w:p>
        </w:tc>
        <w:tc>
          <w:tcPr>
            <w:tcW w:type="dxa" w:w="1096"/>
            <w:shd w:val="clear" w:color="auto" w:fill="F7F9FB"/>
            <w:vAlign w:val="center"/>
          </w:tcPr>
          <w:p>
            <w:pPr>
              <w:keepNext/>
              <w:spacing w:after="0"/>
              <w:jc w:val="center"/>
            </w:pPr>
            <w:r>
              <w:rPr>
                <w:rFonts w:ascii="Calibri" w:hAnsi="Calibri"/>
                <w:b w:val="0"/>
                <w:i w:val="0"/>
                <w:color w:val="222222"/>
                <w:sz w:val="20"/>
              </w:rPr>
              <w:t>0.944</w:t>
            </w:r>
          </w:p>
        </w:tc>
        <w:tc>
          <w:tcPr>
            <w:tcW w:type="dxa" w:w="1543"/>
            <w:shd w:val="clear" w:color="auto" w:fill="F7F9FB"/>
            <w:vAlign w:val="center"/>
          </w:tcPr>
          <w:p>
            <w:pPr>
              <w:keepNext/>
              <w:spacing w:after="0"/>
              <w:jc w:val="center"/>
            </w:pPr>
            <w:r>
              <w:rPr>
                <w:rFonts w:ascii="Calibri" w:hAnsi="Calibri"/>
                <w:b w:val="0"/>
                <w:i w:val="0"/>
                <w:color w:val="222222"/>
                <w:sz w:val="20"/>
              </w:rPr>
              <w:t>0.8579</w:t>
            </w:r>
          </w:p>
        </w:tc>
        <w:tc>
          <w:tcPr>
            <w:tcW w:type="dxa" w:w="1543"/>
            <w:shd w:val="clear" w:color="auto" w:fill="F7F9FB"/>
            <w:vAlign w:val="center"/>
          </w:tcPr>
          <w:p>
            <w:pPr>
              <w:keepNext/>
              <w:spacing w:after="0"/>
              <w:jc w:val="center"/>
            </w:pPr>
            <w:r>
              <w:rPr>
                <w:rFonts w:ascii="Calibri" w:hAnsi="Calibri"/>
                <w:b w:val="0"/>
                <w:i w:val="0"/>
                <w:color w:val="222222"/>
                <w:sz w:val="20"/>
              </w:rPr>
              <w:t>0.8973</w:t>
            </w:r>
          </w:p>
        </w:tc>
        <w:tc>
          <w:tcPr>
            <w:tcW w:type="dxa" w:w="1394"/>
            <w:shd w:val="clear" w:color="auto" w:fill="F7F9FB"/>
            <w:vAlign w:val="center"/>
          </w:tcPr>
          <w:p>
            <w:pPr>
              <w:keepNext/>
              <w:spacing w:after="0"/>
              <w:jc w:val="center"/>
            </w:pPr>
            <w:r>
              <w:rPr>
                <w:rFonts w:ascii="Calibri" w:hAnsi="Calibri"/>
                <w:b w:val="0"/>
                <w:i w:val="0"/>
                <w:color w:val="222222"/>
                <w:sz w:val="20"/>
              </w:rPr>
              <w:t>1.04</w:t>
            </w:r>
          </w:p>
        </w:tc>
      </w:tr>
      <w:tr>
        <w:trPr>
          <w:cantSplit/>
        </w:trPr>
        <w:tc>
          <w:tcPr>
            <w:tcW w:type="dxa" w:w="2920"/>
            <w:shd w:val="clear" w:color="auto" w:fill="FFFFFF"/>
            <w:vAlign w:val="center"/>
          </w:tcPr>
          <w:p>
            <w:pPr>
              <w:keepNext w:val="0"/>
              <w:spacing w:after="0"/>
            </w:pPr>
            <w:r>
              <w:rPr>
                <w:rFonts w:ascii="Calibri" w:hAnsi="Calibri"/>
                <w:b/>
                <w:i w:val="0"/>
                <w:color w:val="222222"/>
                <w:sz w:val="20"/>
              </w:rPr>
              <w:t>the denominator alone, from S0</w:t>
            </w:r>
          </w:p>
        </w:tc>
        <w:tc>
          <w:tcPr>
            <w:tcW w:type="dxa" w:w="1096"/>
            <w:shd w:val="clear" w:color="auto" w:fill="FFFFFF"/>
            <w:vAlign w:val="center"/>
          </w:tcPr>
          <w:p>
            <w:pPr>
              <w:keepNext w:val="0"/>
              <w:spacing w:after="0"/>
              <w:jc w:val="center"/>
            </w:pPr>
            <w:r>
              <w:rPr>
                <w:rFonts w:ascii="Calibri" w:hAnsi="Calibri"/>
                <w:b w:val="0"/>
                <w:i w:val="0"/>
                <w:color w:val="222222"/>
                <w:sz w:val="20"/>
              </w:rPr>
              <w:t>0.9087</w:t>
            </w:r>
          </w:p>
        </w:tc>
        <w:tc>
          <w:tcPr>
            <w:tcW w:type="dxa" w:w="1543"/>
            <w:shd w:val="clear" w:color="auto" w:fill="FFFFFF"/>
            <w:vAlign w:val="center"/>
          </w:tcPr>
          <w:p>
            <w:pPr>
              <w:keepNext w:val="0"/>
              <w:spacing w:after="0"/>
              <w:jc w:val="center"/>
            </w:pPr>
            <w:r>
              <w:rPr>
                <w:rFonts w:ascii="Calibri" w:hAnsi="Calibri"/>
                <w:b w:val="0"/>
                <w:i w:val="0"/>
                <w:color w:val="222222"/>
                <w:sz w:val="20"/>
              </w:rPr>
              <w:t>0.8333</w:t>
            </w:r>
          </w:p>
        </w:tc>
        <w:tc>
          <w:tcPr>
            <w:tcW w:type="dxa" w:w="1543"/>
            <w:shd w:val="clear" w:color="auto" w:fill="FFFFFF"/>
            <w:vAlign w:val="center"/>
          </w:tcPr>
          <w:p>
            <w:pPr>
              <w:keepNext w:val="0"/>
              <w:spacing w:after="0"/>
              <w:jc w:val="center"/>
            </w:pPr>
            <w:r>
              <w:rPr>
                <w:rFonts w:ascii="Calibri" w:hAnsi="Calibri"/>
                <w:b w:val="0"/>
                <w:i w:val="0"/>
                <w:color w:val="222222"/>
                <w:sz w:val="20"/>
              </w:rPr>
              <w:t>0.8681</w:t>
            </w:r>
          </w:p>
        </w:tc>
        <w:tc>
          <w:tcPr>
            <w:tcW w:type="dxa" w:w="1394"/>
            <w:shd w:val="clear" w:color="auto" w:fill="FFFFFF"/>
            <w:vAlign w:val="center"/>
          </w:tcPr>
          <w:p>
            <w:pPr>
              <w:keepNext w:val="0"/>
              <w:spacing w:after="0"/>
              <w:jc w:val="center"/>
            </w:pPr>
            <w:r>
              <w:rPr>
                <w:rFonts w:ascii="Calibri" w:hAnsi="Calibri"/>
                <w:b w:val="0"/>
                <w:i w:val="0"/>
                <w:color w:val="222222"/>
                <w:sz w:val="20"/>
              </w:rPr>
              <w:t>1.0269</w:t>
            </w:r>
          </w:p>
        </w:tc>
      </w:tr>
    </w:tbl>
    <w:p>
      <w:pPr>
        <w:spacing w:after="80"/>
      </w:pPr>
    </w:p>
    <w:p>
      <w:pPr>
        <w:keepNext/>
        <w:spacing w:before="120" w:after="40"/>
        <w:jc w:val="center"/>
      </w:pPr>
      <w:r>
        <w:drawing>
          <wp:inline xmlns:a="http://schemas.openxmlformats.org/drawingml/2006/main" xmlns:pic="http://schemas.openxmlformats.org/drawingml/2006/picture">
            <wp:extent cx="5394960" cy="2413535"/>
            <wp:docPr id="3" name="Picture 3"/>
            <wp:cNvGraphicFramePr>
              <a:graphicFrameLocks noChangeAspect="1"/>
            </wp:cNvGraphicFramePr>
            <a:graphic>
              <a:graphicData uri="http://schemas.openxmlformats.org/drawingml/2006/picture">
                <pic:pic>
                  <pic:nvPicPr>
                    <pic:cNvPr id="0" name="extractor_settings_ladder_real.png"/>
                    <pic:cNvPicPr/>
                  </pic:nvPicPr>
                  <pic:blipFill>
                    <a:blip r:embed="rId15"/>
                    <a:stretch>
                      <a:fillRect/>
                    </a:stretch>
                  </pic:blipFill>
                  <pic:spPr>
                    <a:xfrm>
                      <a:off x="0" y="0"/>
                      <a:ext cx="5394960" cy="2413535"/>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Our extractor with the depositors' stated settings, one change at a time; REAL recordings, post hoc. Left: burst rate, median ratio ours/theirs per plate across the ladder. Right: active electrodes, firing rate and STTC (pooled) under our settings and after steps S1 and S2. Dashed line is equality.</w:t>
      </w:r>
    </w:p>
    <w:p>
      <w:pPr>
        <w:spacing w:after="120"/>
      </w:pPr>
      <w:r>
        <w:rPr>
          <w:rFonts w:ascii="Calibri" w:hAnsi="Calibri"/>
          <w:b/>
          <w:i w:val="0"/>
          <w:color w:val="156082"/>
          <w:sz w:val="21"/>
        </w:rPr>
        <w:t>The reading.</w:t>
      </w:r>
      <w:r>
        <w:rPr>
          <w:rFonts w:ascii="Calibri" w:hAnsi="Calibri"/>
          <w:b w:val="0"/>
          <w:i w:val="0"/>
          <w:color w:val="222222"/>
          <w:sz w:val="21"/>
        </w:rPr>
        <w:t xml:space="preserve"> With the same electrodes, our firing rate, active-electrode count and STTC reproduce theirs. The activity threshold alone brings all three to a pooled median ratio of 1.0, and dropping the deposit's noisy electrodes as well brings their rank agreement to 1.0, with the active-electrode count identical in a share of 1.0 of recordings. Most of the burst-rate gap is the denominator: from S0 to S3 the ladder closes a share of 0.9293 of the pooled log-ratio gap, and the rank agreement rises from 0.8907 to 0.9819. It is an hPSC effect. On the rat plate our burst rate already sat at a ratio of 0.9573 to theirs, while in a median hPSC recording only a share of 0.6225 (hPSC_MEA1) and 0.6283 (hPSC_MEA2) of the active electrodes burst at all, against 0.9815 on the rat plate. Dividing by every active electrode therefore lowers the human rate and hardly moves the rat one. What remains is the detector, which we did not change: burst duration stays at a pooled ratio of 0.8208 and spikes per burst at 0.9433 at S3. The ladder's first step reproduces the published comparison above exactly (check: true). One assumption could mislead here: that the deposit's noisy-electrode file lists electrodes per DIV column. Under the alternative reading, that an electrode listed on any DIV is noisy throughout, the active-electrode count matches theirs in a share of only 0.253 of recordings, so the per-DIV reading is the one their output follows. A per-electrode averaging hypothesis, tried in the scratch analysis, moved the share of spikes in bursts further from theirs; it was dropped and is not in the code.</w:t>
      </w:r>
    </w:p>
    <w:p>
      <w:pPr>
        <w:spacing w:after="120"/>
      </w:pPr>
      <w:r>
        <w:rPr>
          <w:rFonts w:ascii="Calibri" w:hAnsi="Calibri"/>
          <w:b/>
          <w:i w:val="0"/>
          <w:color w:val="156082"/>
          <w:sz w:val="21"/>
        </w:rPr>
        <w:t>What this does and does not say.</w:t>
      </w:r>
      <w:r>
        <w:rPr>
          <w:rFonts w:ascii="Calibri" w:hAnsi="Calibri"/>
          <w:b w:val="0"/>
          <w:i w:val="0"/>
          <w:color w:val="222222"/>
          <w:sz w:val="21"/>
        </w:rPr>
        <w:t xml:space="preserve"> We do not claim our definitions are more correct than the depositors'. They are fixed, stated, recorded in every record's method block, and applied identically to every source and to the twin (decision D33). A fixed rule keeps "burst" meaning the same thing in an immature hPSC culture and a mature rat one, which is what pooling across sources needs; an adaptive detector such as logISI moves with each culture's own spike-interval distribution, which suits describing one culture and complicates comparing two. No burst detector performs best on every data set (Cotterill et al. 2016, </w:t>
      </w:r>
      <w:r>
        <w:rPr>
          <w:rFonts w:ascii="Calibri" w:hAnsi="Calibri"/>
          <w:b w:val="0"/>
          <w:i/>
          <w:color w:val="222222"/>
          <w:sz w:val="21"/>
        </w:rPr>
        <w:t>J Neurophysiol</w:t>
      </w:r>
      <w:r>
        <w:rPr>
          <w:rFonts w:ascii="Calibri" w:hAnsi="Calibri"/>
          <w:b w:val="0"/>
          <w:i w:val="0"/>
          <w:color w:val="222222"/>
          <w:sz w:val="21"/>
        </w:rPr>
        <w:t>), and ours has a known cost: the fixed 100 ms rule probably under-detects loose bursts in hPSC recordings, which is where the burst-duration difference sits. A reader pooling our features with meaRtools output should convert, or recompute, rather than mix them.</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4" name="Picture 4"/>
            <wp:cNvGraphicFramePr>
              <a:graphicFrameLocks noChangeAspect="1"/>
            </wp:cNvGraphicFramePr>
            <a:graphic>
              <a:graphicData uri="http://schemas.openxmlformats.org/drawingml/2006/picture">
                <pic:pic>
                  <pic:nvPicPr>
                    <pic:cNvPr id="0" name="mechanism_classifier_real.png"/>
                    <pic:cNvPicPr/>
                  </pic:nvPicPr>
                  <pic:blipFill>
                    <a:blip r:embed="rId16"/>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5" name="Picture 5"/>
            <wp:cNvGraphicFramePr>
              <a:graphicFrameLocks noChangeAspect="1"/>
            </wp:cNvGraphicFramePr>
            <a:graphic>
              <a:graphicData uri="http://schemas.openxmlformats.org/drawingml/2006/picture">
                <pic:pic>
                  <pic:nvPicPr>
                    <pic:cNvPr id="0" name="mechanism_confusion.png"/>
                    <pic:cNvPicPr/>
                  </pic:nvPicPr>
                  <pic:blipFill>
                    <a:blip r:embed="rId17"/>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6" name="Picture 6"/>
            <wp:cNvGraphicFramePr>
              <a:graphicFrameLocks noChangeAspect="1"/>
            </wp:cNvGraphicFramePr>
            <a:graphic>
              <a:graphicData uri="http://schemas.openxmlformats.org/drawingml/2006/picture">
                <pic:pic>
                  <pic:nvPicPr>
                    <pic:cNvPr id="0" name="species_shift.png"/>
                    <pic:cNvPicPr/>
                  </pic:nvPicPr>
                  <pic:blipFill>
                    <a:blip r:embed="rId18"/>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7" name="Picture 7"/>
            <wp:cNvGraphicFramePr>
              <a:graphicFrameLocks noChangeAspect="1"/>
            </wp:cNvGraphicFramePr>
            <a:graphic>
              <a:graphicData uri="http://schemas.openxmlformats.org/drawingml/2006/picture">
                <pic:pic>
                  <pic:nvPicPr>
                    <pic:cNvPr id="0" name="baseline_species_comparison.png"/>
                    <pic:cNvPicPr/>
                  </pic:nvPicPr>
                  <pic:blipFill>
                    <a:blip r:embed="rId19"/>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8" name="Picture 8"/>
            <wp:cNvGraphicFramePr>
              <a:graphicFrameLocks noChangeAspect="1"/>
            </wp:cNvGraphicFramePr>
            <a:graphic>
              <a:graphicData uri="http://schemas.openxmlformats.org/drawingml/2006/picture">
                <pic:pic>
                  <pic:nvPicPr>
                    <pic:cNvPr id="0" name="platform_contrast_gabaa_antagonist.png"/>
                    <pic:cNvPicPr/>
                  </pic:nvPicPr>
                  <pic:blipFill>
                    <a:blip r:embed="rId20"/>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9" name="Picture 9"/>
            <wp:cNvGraphicFramePr>
              <a:graphicFrameLocks noChangeAspect="1"/>
            </wp:cNvGraphicFramePr>
            <a:graphic>
              <a:graphicData uri="http://schemas.openxmlformats.org/drawingml/2006/picture">
                <pic:pic>
                  <pic:nvPicPr>
                    <pic:cNvPr id="0" name="twin_architecture_simulated.png"/>
                    <pic:cNvPicPr/>
                  </pic:nvPicPr>
                  <pic:blipFill>
                    <a:blip r:embed="rId21"/>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10" name="Picture 10"/>
            <wp:cNvGraphicFramePr>
              <a:graphicFrameLocks noChangeAspect="1"/>
            </wp:cNvGraphicFramePr>
            <a:graphic>
              <a:graphicData uri="http://schemas.openxmlformats.org/drawingml/2006/picture">
                <pic:pic>
                  <pic:nvPicPr>
                    <pic:cNvPr id="0" name="hd12_calibration_simulated.png"/>
                    <pic:cNvPicPr/>
                  </pic:nvPicPr>
                  <pic:blipFill>
                    <a:blip r:embed="rId22"/>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1" name="Picture 11"/>
            <wp:cNvGraphicFramePr>
              <a:graphicFrameLocks noChangeAspect="1"/>
            </wp:cNvGraphicFramePr>
            <a:graphic>
              <a:graphicData uri="http://schemas.openxmlformats.org/drawingml/2006/picture">
                <pic:pic>
                  <pic:nvPicPr>
                    <pic:cNvPr id="0" name="hd13_drug_knob_validation_simulated.png"/>
                    <pic:cNvPicPr/>
                  </pic:nvPicPr>
                  <pic:blipFill>
                    <a:blip r:embed="rId23"/>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 On a laboratory it had never seen, the EPA's acute MEA screen, the GABA-A block and sodium-block knobs agree with the positive controls on every scored direction (§33, added after the first round).</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2" name="Picture 12"/>
            <wp:cNvGraphicFramePr>
              <a:graphicFrameLocks noChangeAspect="1"/>
            </wp:cNvGraphicFramePr>
            <a:graphic>
              <a:graphicData uri="http://schemas.openxmlformats.org/drawingml/2006/picture">
                <pic:pic>
                  <pic:nvPicPr>
                    <pic:cNvPr id="0" name="compartment_lag_by_device_type.png"/>
                    <pic:cNvPicPr/>
                  </pic:nvPicPr>
                  <pic:blipFill>
                    <a:blip r:embed="rId24"/>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3" name="Picture 13"/>
            <wp:cNvGraphicFramePr>
              <a:graphicFrameLocks noChangeAspect="1"/>
            </wp:cNvGraphicFramePr>
            <a:graphic>
              <a:graphicData uri="http://schemas.openxmlformats.org/drawingml/2006/picture">
                <pic:pic>
                  <pic:nvPicPr>
                    <pic:cNvPr id="0" name="axonal_flow_vs_chamber.png"/>
                    <pic:cNvPicPr/>
                  </pic:nvPicPr>
                  <pic:blipFill>
                    <a:blip r:embed="rId25"/>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4" name="Picture 14"/>
            <wp:cNvGraphicFramePr>
              <a:graphicFrameLocks noChangeAspect="1"/>
            </wp:cNvGraphicFramePr>
            <a:graphic>
              <a:graphicData uri="http://schemas.openxmlformats.org/drawingml/2006/picture">
                <pic:pic>
                  <pic:nvPicPr>
                    <pic:cNvPr id="0" name="inference_network_simulated.png"/>
                    <pic:cNvPicPr/>
                  </pic:nvPicPr>
                  <pic:blipFill>
                    <a:blip r:embed="rId26"/>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on this test. Appendix G shows the full rank histograms. A registered follow-up after round 1 (below) found that the three passes do not hold on fresh simulations: this table is the test as it was run, not a calibration claim.</w:t>
      </w:r>
    </w:p>
    <w:p>
      <w:pPr>
        <w:keepNext/>
        <w:spacing w:after="120"/>
      </w:pPr>
      <w:r>
        <w:rPr>
          <w:rFonts w:ascii="Calibri" w:hAnsi="Calibri"/>
          <w:b/>
          <w:i w:val="0"/>
          <w:color w:val="156082"/>
          <w:sz w:val="21"/>
        </w:rPr>
        <w:t>After round 1: more simulations and an ensemble (registered, decision D31).</w:t>
      </w:r>
      <w:r>
        <w:rPr>
          <w:rFonts w:ascii="Calibri" w:hAnsi="Calibri"/>
          <w:b w:val="0"/>
          <w:i w:val="0"/>
          <w:color w:val="222222"/>
          <w:sz w:val="21"/>
        </w:rPr>
        <w:t xml:space="preserve"> We asked whether a larger simulation budget, an ensemble, or both would bring all five parameters into calibration without losing contraction, and registered seven predictions before running a single new simulation (</w:t>
      </w:r>
      <w:r>
        <w:rPr>
          <w:rFonts w:ascii="Consolas" w:hAnsi="Consolas"/>
          <w:b w:val="0"/>
          <w:i w:val="0"/>
          <w:color w:val="222222"/>
          <w:sz w:val="19"/>
        </w:rPr>
        <w:t>preregistration/twin_inference_recalibration.json</w:t>
      </w:r>
      <w:r>
        <w:rPr>
          <w:rFonts w:ascii="Calibri" w:hAnsi="Calibri"/>
          <w:b w:val="0"/>
          <w:i w:val="0"/>
          <w:color w:val="222222"/>
          <w:sz w:val="21"/>
        </w:rPr>
        <w:t>). Every new simulation used fresh seeds. Within the registered deadline we simulated 12,750 new training runs (51 of 60 planned chunks, cut by a prefix rule fixed in advance), for a pool of 15,750, and 1,000 fresh held-out runs. We compared three estimators on the same held-out simulations: the first-round flow unchanged, the same flow retrained on the larger pool, and an equal-weight ensemble of five such flows. The test is the first-round test, unchanged: rank uniformity on the first 300 held-out runs (the primary test) at p ≥ 0.05 per parameter, with no correction for testing five (a correction would make passing easier, and would have passed the first-round failures). We added credible-interval coverage on the full held-out set.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618"/>
        <w:gridCol w:w="1392"/>
        <w:gridCol w:w="874"/>
        <w:gridCol w:w="1166"/>
        <w:gridCol w:w="1353"/>
        <w:gridCol w:w="1092"/>
      </w:tblGrid>
      <w:tr>
        <w:trPr>
          <w:cantSplit/>
          <w:tblHeader/>
        </w:trPr>
        <w:tc>
          <w:tcPr>
            <w:tcW w:type="dxa" w:w="2618"/>
            <w:shd w:val="clear" w:color="auto" w:fill="1F4E79"/>
            <w:vAlign w:val="center"/>
          </w:tcPr>
          <w:p>
            <w:pPr>
              <w:keepNext/>
              <w:spacing w:after="0"/>
            </w:pPr>
            <w:r>
              <w:rPr>
                <w:rFonts w:ascii="Calibri" w:hAnsi="Calibri"/>
                <w:b/>
                <w:i w:val="0"/>
                <w:color w:val="FFFFFF"/>
                <w:sz w:val="20"/>
              </w:rPr>
              <w:t>model parameter</w:t>
            </w:r>
          </w:p>
        </w:tc>
        <w:tc>
          <w:tcPr>
            <w:tcW w:type="dxa" w:w="1392"/>
            <w:shd w:val="clear" w:color="auto" w:fill="1F4E79"/>
            <w:vAlign w:val="center"/>
          </w:tcPr>
          <w:p>
            <w:pPr>
              <w:keepNext/>
              <w:spacing w:after="0"/>
              <w:jc w:val="center"/>
            </w:pPr>
            <w:r>
              <w:rPr>
                <w:rFonts w:ascii="Calibri" w:hAnsi="Calibri"/>
                <w:b/>
                <w:i w:val="0"/>
                <w:color w:val="FFFFFF"/>
                <w:sz w:val="20"/>
              </w:rPr>
              <w:t>first-round flow, fresh runs (KS p)</w:t>
            </w:r>
          </w:p>
        </w:tc>
        <w:tc>
          <w:tcPr>
            <w:tcW w:type="dxa" w:w="874"/>
            <w:shd w:val="clear" w:color="auto" w:fill="1F4E79"/>
            <w:vAlign w:val="center"/>
          </w:tcPr>
          <w:p>
            <w:pPr>
              <w:keepNext/>
              <w:spacing w:after="0"/>
              <w:jc w:val="center"/>
            </w:pPr>
            <w:r>
              <w:rPr>
                <w:rFonts w:ascii="Calibri" w:hAnsi="Calibri"/>
                <w:b/>
                <w:i w:val="0"/>
                <w:color w:val="FFFFFF"/>
                <w:sz w:val="20"/>
              </w:rPr>
              <w:t>one flow, larger pool (KS p)</w:t>
            </w:r>
          </w:p>
        </w:tc>
        <w:tc>
          <w:tcPr>
            <w:tcW w:type="dxa" w:w="1166"/>
            <w:shd w:val="clear" w:color="auto" w:fill="1F4E79"/>
            <w:vAlign w:val="center"/>
          </w:tcPr>
          <w:p>
            <w:pPr>
              <w:keepNext/>
              <w:spacing w:after="0"/>
              <w:jc w:val="center"/>
            </w:pPr>
            <w:r>
              <w:rPr>
                <w:rFonts w:ascii="Calibri" w:hAnsi="Calibri"/>
                <w:b/>
                <w:i w:val="0"/>
                <w:color w:val="FFFFFF"/>
                <w:sz w:val="20"/>
              </w:rPr>
              <w:t>five-flow ensemble (KS p)</w:t>
            </w:r>
          </w:p>
        </w:tc>
        <w:tc>
          <w:tcPr>
            <w:tcW w:type="dxa" w:w="1353"/>
            <w:shd w:val="clear" w:color="auto" w:fill="1F4E79"/>
            <w:vAlign w:val="center"/>
          </w:tcPr>
          <w:p>
            <w:pPr>
              <w:keepNext/>
              <w:spacing w:after="0"/>
              <w:jc w:val="center"/>
            </w:pPr>
            <w:r>
              <w:rPr>
                <w:rFonts w:ascii="Calibri" w:hAnsi="Calibri"/>
                <w:b/>
                <w:i w:val="0"/>
                <w:color w:val="FFFFFF"/>
                <w:sz w:val="20"/>
              </w:rPr>
              <w:t>ensemble contraction</w:t>
            </w:r>
          </w:p>
        </w:tc>
        <w:tc>
          <w:tcPr>
            <w:tcW w:type="dxa" w:w="1092"/>
            <w:shd w:val="clear" w:color="auto" w:fill="1F4E79"/>
            <w:vAlign w:val="center"/>
          </w:tcPr>
          <w:p>
            <w:pPr>
              <w:keepNext/>
              <w:spacing w:after="0"/>
              <w:jc w:val="center"/>
            </w:pPr>
            <w:r>
              <w:rPr>
                <w:rFonts w:ascii="Calibri" w:hAnsi="Calibri"/>
                <w:b/>
                <w:i w:val="0"/>
                <w:color w:val="FFFFFF"/>
                <w:sz w:val="20"/>
              </w:rPr>
              <w:t>ensemble coverage of a 50% interval</w:t>
            </w:r>
          </w:p>
        </w:tc>
      </w:tr>
      <w:tr>
        <w:trPr>
          <w:cantSplit/>
        </w:trPr>
        <w:tc>
          <w:tcPr>
            <w:tcW w:type="dxa" w:w="2618"/>
            <w:shd w:val="clear" w:color="auto" w:fill="FFFFFF"/>
            <w:vAlign w:val="center"/>
          </w:tcPr>
          <w:p>
            <w:pPr>
              <w:keepNext/>
              <w:spacing w:after="0"/>
            </w:pPr>
            <w:r>
              <w:rPr>
                <w:rFonts w:ascii="Consolas" w:hAnsi="Consolas"/>
                <w:b/>
                <w:i w:val="0"/>
                <w:color w:val="222222"/>
                <w:sz w:val="18"/>
              </w:rPr>
              <w:t>threshold_scale</w:t>
            </w:r>
          </w:p>
        </w:tc>
        <w:tc>
          <w:tcPr>
            <w:tcW w:type="dxa" w:w="1392"/>
            <w:shd w:val="clear" w:color="auto" w:fill="FFFFFF"/>
            <w:vAlign w:val="center"/>
          </w:tcPr>
          <w:p>
            <w:pPr>
              <w:keepNext/>
              <w:spacing w:after="0"/>
              <w:jc w:val="center"/>
            </w:pPr>
            <w:r>
              <w:rPr>
                <w:rFonts w:ascii="Calibri" w:hAnsi="Calibri"/>
                <w:b w:val="0"/>
                <w:i w:val="0"/>
                <w:color w:val="222222"/>
                <w:sz w:val="20"/>
              </w:rPr>
              <w:t>0.0121</w:t>
            </w:r>
          </w:p>
        </w:tc>
        <w:tc>
          <w:tcPr>
            <w:tcW w:type="dxa" w:w="874"/>
            <w:shd w:val="clear" w:color="auto" w:fill="FFFFFF"/>
            <w:vAlign w:val="center"/>
          </w:tcPr>
          <w:p>
            <w:pPr>
              <w:keepNext/>
              <w:spacing w:after="0"/>
              <w:jc w:val="center"/>
            </w:pPr>
            <w:r>
              <w:rPr>
                <w:rFonts w:ascii="Calibri" w:hAnsi="Calibri"/>
                <w:b w:val="0"/>
                <w:i w:val="0"/>
                <w:color w:val="222222"/>
                <w:sz w:val="20"/>
              </w:rPr>
              <w:t>0.065</w:t>
            </w:r>
          </w:p>
        </w:tc>
        <w:tc>
          <w:tcPr>
            <w:tcW w:type="dxa" w:w="1166"/>
            <w:shd w:val="clear" w:color="auto" w:fill="FFFFFF"/>
            <w:vAlign w:val="center"/>
          </w:tcPr>
          <w:p>
            <w:pPr>
              <w:keepNext/>
              <w:spacing w:after="0"/>
              <w:jc w:val="center"/>
            </w:pPr>
            <w:r>
              <w:rPr>
                <w:rFonts w:ascii="Calibri" w:hAnsi="Calibri"/>
                <w:b w:val="0"/>
                <w:i w:val="0"/>
                <w:color w:val="222222"/>
                <w:sz w:val="20"/>
              </w:rPr>
              <w:t>0.3128</w:t>
            </w:r>
          </w:p>
        </w:tc>
        <w:tc>
          <w:tcPr>
            <w:tcW w:type="dxa" w:w="1353"/>
            <w:shd w:val="clear" w:color="auto" w:fill="FFFFFF"/>
            <w:vAlign w:val="center"/>
          </w:tcPr>
          <w:p>
            <w:pPr>
              <w:keepNext/>
              <w:spacing w:after="0"/>
              <w:jc w:val="center"/>
            </w:pPr>
            <w:r>
              <w:rPr>
                <w:rFonts w:ascii="Calibri" w:hAnsi="Calibri"/>
                <w:b w:val="0"/>
                <w:i w:val="0"/>
                <w:color w:val="222222"/>
                <w:sz w:val="20"/>
              </w:rPr>
              <w:t>0.742</w:t>
            </w:r>
          </w:p>
        </w:tc>
        <w:tc>
          <w:tcPr>
            <w:tcW w:type="dxa" w:w="1092"/>
            <w:shd w:val="clear" w:color="auto" w:fill="FFFFFF"/>
            <w:vAlign w:val="center"/>
          </w:tcPr>
          <w:p>
            <w:pPr>
              <w:keepNext/>
              <w:spacing w:after="0"/>
              <w:jc w:val="center"/>
            </w:pPr>
            <w:r>
              <w:rPr>
                <w:rFonts w:ascii="Calibri" w:hAnsi="Calibri"/>
                <w:b w:val="0"/>
                <w:i w:val="0"/>
                <w:color w:val="222222"/>
                <w:sz w:val="20"/>
              </w:rPr>
              <w:t>0.473</w:t>
            </w:r>
          </w:p>
        </w:tc>
      </w:tr>
      <w:tr>
        <w:trPr>
          <w:cantSplit/>
        </w:trPr>
        <w:tc>
          <w:tcPr>
            <w:tcW w:type="dxa" w:w="2618"/>
            <w:shd w:val="clear" w:color="auto" w:fill="F7F9FB"/>
            <w:vAlign w:val="center"/>
          </w:tcPr>
          <w:p>
            <w:pPr>
              <w:keepNext/>
              <w:spacing w:after="0"/>
            </w:pPr>
            <w:r>
              <w:rPr>
                <w:rFonts w:ascii="Consolas" w:hAnsi="Consolas"/>
                <w:b/>
                <w:i w:val="0"/>
                <w:color w:val="222222"/>
                <w:sz w:val="18"/>
              </w:rPr>
              <w:t>ampa_scale</w:t>
            </w:r>
          </w:p>
        </w:tc>
        <w:tc>
          <w:tcPr>
            <w:tcW w:type="dxa" w:w="1392"/>
            <w:shd w:val="clear" w:color="auto" w:fill="F7F9FB"/>
            <w:vAlign w:val="center"/>
          </w:tcPr>
          <w:p>
            <w:pPr>
              <w:keepNext/>
              <w:spacing w:after="0"/>
              <w:jc w:val="center"/>
            </w:pPr>
            <w:r>
              <w:rPr>
                <w:rFonts w:ascii="Calibri" w:hAnsi="Calibri"/>
                <w:b w:val="0"/>
                <w:i w:val="0"/>
                <w:color w:val="222222"/>
                <w:sz w:val="20"/>
              </w:rPr>
              <w:t>0.0345</w:t>
            </w:r>
          </w:p>
        </w:tc>
        <w:tc>
          <w:tcPr>
            <w:tcW w:type="dxa" w:w="874"/>
            <w:shd w:val="clear" w:color="auto" w:fill="F7F9FB"/>
            <w:vAlign w:val="center"/>
          </w:tcPr>
          <w:p>
            <w:pPr>
              <w:keepNext/>
              <w:spacing w:after="0"/>
              <w:jc w:val="center"/>
            </w:pPr>
            <w:r>
              <w:rPr>
                <w:rFonts w:ascii="Calibri" w:hAnsi="Calibri"/>
                <w:b w:val="0"/>
                <w:i w:val="0"/>
                <w:color w:val="222222"/>
                <w:sz w:val="20"/>
              </w:rPr>
              <w:t>0.1726</w:t>
            </w:r>
          </w:p>
        </w:tc>
        <w:tc>
          <w:tcPr>
            <w:tcW w:type="dxa" w:w="1166"/>
            <w:shd w:val="clear" w:color="auto" w:fill="F7F9FB"/>
            <w:vAlign w:val="center"/>
          </w:tcPr>
          <w:p>
            <w:pPr>
              <w:keepNext/>
              <w:spacing w:after="0"/>
              <w:jc w:val="center"/>
            </w:pPr>
            <w:r>
              <w:rPr>
                <w:rFonts w:ascii="Calibri" w:hAnsi="Calibri"/>
                <w:b w:val="0"/>
                <w:i w:val="0"/>
                <w:color w:val="222222"/>
                <w:sz w:val="20"/>
              </w:rPr>
              <w:t>0.3485</w:t>
            </w:r>
          </w:p>
        </w:tc>
        <w:tc>
          <w:tcPr>
            <w:tcW w:type="dxa" w:w="1353"/>
            <w:shd w:val="clear" w:color="auto" w:fill="F7F9FB"/>
            <w:vAlign w:val="center"/>
          </w:tcPr>
          <w:p>
            <w:pPr>
              <w:keepNext/>
              <w:spacing w:after="0"/>
              <w:jc w:val="center"/>
            </w:pPr>
            <w:r>
              <w:rPr>
                <w:rFonts w:ascii="Calibri" w:hAnsi="Calibri"/>
                <w:b w:val="0"/>
                <w:i w:val="0"/>
                <w:color w:val="222222"/>
                <w:sz w:val="20"/>
              </w:rPr>
              <w:t>0.663</w:t>
            </w:r>
          </w:p>
        </w:tc>
        <w:tc>
          <w:tcPr>
            <w:tcW w:type="dxa" w:w="1092"/>
            <w:shd w:val="clear" w:color="auto" w:fill="F7F9FB"/>
            <w:vAlign w:val="center"/>
          </w:tcPr>
          <w:p>
            <w:pPr>
              <w:keepNext/>
              <w:spacing w:after="0"/>
              <w:jc w:val="center"/>
            </w:pPr>
            <w:r>
              <w:rPr>
                <w:rFonts w:ascii="Calibri" w:hAnsi="Calibri"/>
                <w:b w:val="0"/>
                <w:i w:val="0"/>
                <w:color w:val="222222"/>
                <w:sz w:val="20"/>
              </w:rPr>
              <w:t>0.446</w:t>
            </w:r>
          </w:p>
        </w:tc>
      </w:tr>
      <w:tr>
        <w:trPr>
          <w:cantSplit/>
        </w:trPr>
        <w:tc>
          <w:tcPr>
            <w:tcW w:type="dxa" w:w="2618"/>
            <w:shd w:val="clear" w:color="auto" w:fill="FFFFFF"/>
            <w:vAlign w:val="center"/>
          </w:tcPr>
          <w:p>
            <w:pPr>
              <w:keepNext/>
              <w:spacing w:after="0"/>
            </w:pPr>
            <w:r>
              <w:rPr>
                <w:rFonts w:ascii="Consolas" w:hAnsi="Consolas"/>
                <w:b/>
                <w:i w:val="0"/>
                <w:color w:val="222222"/>
                <w:sz w:val="18"/>
              </w:rPr>
              <w:t>log10_forward_ratio</w:t>
            </w:r>
          </w:p>
        </w:tc>
        <w:tc>
          <w:tcPr>
            <w:tcW w:type="dxa" w:w="1392"/>
            <w:shd w:val="clear" w:color="auto" w:fill="FFFFFF"/>
            <w:vAlign w:val="center"/>
          </w:tcPr>
          <w:p>
            <w:pPr>
              <w:keepNext/>
              <w:spacing w:after="0"/>
              <w:jc w:val="center"/>
            </w:pPr>
            <w:r>
              <w:rPr>
                <w:rFonts w:ascii="Calibri" w:hAnsi="Calibri"/>
                <w:b w:val="0"/>
                <w:i w:val="0"/>
                <w:color w:val="222222"/>
                <w:sz w:val="20"/>
              </w:rPr>
              <w:t>0.0037</w:t>
            </w:r>
          </w:p>
        </w:tc>
        <w:tc>
          <w:tcPr>
            <w:tcW w:type="dxa" w:w="874"/>
            <w:shd w:val="clear" w:color="auto" w:fill="FFFFFF"/>
            <w:vAlign w:val="center"/>
          </w:tcPr>
          <w:p>
            <w:pPr>
              <w:keepNext/>
              <w:spacing w:after="0"/>
              <w:jc w:val="center"/>
            </w:pPr>
            <w:r>
              <w:rPr>
                <w:rFonts w:ascii="Calibri" w:hAnsi="Calibri"/>
                <w:b w:val="0"/>
                <w:i w:val="0"/>
                <w:color w:val="222222"/>
                <w:sz w:val="20"/>
              </w:rPr>
              <w:t>0.0874</w:t>
            </w:r>
          </w:p>
        </w:tc>
        <w:tc>
          <w:tcPr>
            <w:tcW w:type="dxa" w:w="1166"/>
            <w:shd w:val="clear" w:color="auto" w:fill="FFFFFF"/>
            <w:vAlign w:val="center"/>
          </w:tcPr>
          <w:p>
            <w:pPr>
              <w:keepNext/>
              <w:spacing w:after="0"/>
              <w:jc w:val="center"/>
            </w:pPr>
            <w:r>
              <w:rPr>
                <w:rFonts w:ascii="Calibri" w:hAnsi="Calibri"/>
                <w:b w:val="0"/>
                <w:i w:val="0"/>
                <w:color w:val="222222"/>
                <w:sz w:val="20"/>
              </w:rPr>
              <w:t>0.065</w:t>
            </w:r>
          </w:p>
        </w:tc>
        <w:tc>
          <w:tcPr>
            <w:tcW w:type="dxa" w:w="1353"/>
            <w:shd w:val="clear" w:color="auto" w:fill="FFFFFF"/>
            <w:vAlign w:val="center"/>
          </w:tcPr>
          <w:p>
            <w:pPr>
              <w:keepNext/>
              <w:spacing w:after="0"/>
              <w:jc w:val="center"/>
            </w:pPr>
            <w:r>
              <w:rPr>
                <w:rFonts w:ascii="Calibri" w:hAnsi="Calibri"/>
                <w:b w:val="0"/>
                <w:i w:val="0"/>
                <w:color w:val="222222"/>
                <w:sz w:val="20"/>
              </w:rPr>
              <w:t>0.464</w:t>
            </w:r>
          </w:p>
        </w:tc>
        <w:tc>
          <w:tcPr>
            <w:tcW w:type="dxa" w:w="1092"/>
            <w:shd w:val="clear" w:color="auto" w:fill="FFFFFF"/>
            <w:vAlign w:val="center"/>
          </w:tcPr>
          <w:p>
            <w:pPr>
              <w:keepNext/>
              <w:spacing w:after="0"/>
              <w:jc w:val="center"/>
            </w:pPr>
            <w:r>
              <w:rPr>
                <w:rFonts w:ascii="Calibri" w:hAnsi="Calibri"/>
                <w:b w:val="0"/>
                <w:i w:val="0"/>
                <w:color w:val="222222"/>
                <w:sz w:val="20"/>
              </w:rPr>
              <w:t>0.441</w:t>
            </w:r>
          </w:p>
        </w:tc>
      </w:tr>
      <w:tr>
        <w:trPr>
          <w:cantSplit/>
        </w:trPr>
        <w:tc>
          <w:tcPr>
            <w:tcW w:type="dxa" w:w="2618"/>
            <w:shd w:val="clear" w:color="auto" w:fill="F7F9FB"/>
            <w:vAlign w:val="center"/>
          </w:tcPr>
          <w:p>
            <w:pPr>
              <w:keepNext/>
              <w:spacing w:after="0"/>
            </w:pPr>
            <w:r>
              <w:rPr>
                <w:rFonts w:ascii="Consolas" w:hAnsi="Consolas"/>
                <w:b/>
                <w:i w:val="0"/>
                <w:color w:val="222222"/>
                <w:sz w:val="18"/>
              </w:rPr>
              <w:t>gabaa_scale</w:t>
            </w:r>
          </w:p>
        </w:tc>
        <w:tc>
          <w:tcPr>
            <w:tcW w:type="dxa" w:w="1392"/>
            <w:shd w:val="clear" w:color="auto" w:fill="F7F9FB"/>
            <w:vAlign w:val="center"/>
          </w:tcPr>
          <w:p>
            <w:pPr>
              <w:keepNext/>
              <w:spacing w:after="0"/>
              <w:jc w:val="center"/>
            </w:pPr>
            <w:r>
              <w:rPr>
                <w:rFonts w:ascii="Calibri" w:hAnsi="Calibri"/>
                <w:b w:val="0"/>
                <w:i w:val="0"/>
                <w:color w:val="222222"/>
                <w:sz w:val="20"/>
              </w:rPr>
              <w:t>0.01</w:t>
            </w:r>
          </w:p>
        </w:tc>
        <w:tc>
          <w:tcPr>
            <w:tcW w:type="dxa" w:w="874"/>
            <w:shd w:val="clear" w:color="auto" w:fill="F7F9FB"/>
            <w:vAlign w:val="center"/>
          </w:tcPr>
          <w:p>
            <w:pPr>
              <w:keepNext/>
              <w:spacing w:after="0"/>
              <w:jc w:val="center"/>
            </w:pPr>
            <w:r>
              <w:rPr>
                <w:rFonts w:ascii="Calibri" w:hAnsi="Calibri"/>
                <w:b w:val="0"/>
                <w:i w:val="0"/>
                <w:color w:val="222222"/>
                <w:sz w:val="20"/>
              </w:rPr>
              <w:t>0.0025</w:t>
            </w:r>
          </w:p>
        </w:tc>
        <w:tc>
          <w:tcPr>
            <w:tcW w:type="dxa" w:w="1166"/>
            <w:shd w:val="clear" w:color="auto" w:fill="F7F9FB"/>
            <w:vAlign w:val="center"/>
          </w:tcPr>
          <w:p>
            <w:pPr>
              <w:keepNext/>
              <w:spacing w:after="0"/>
              <w:jc w:val="center"/>
            </w:pPr>
            <w:r>
              <w:rPr>
                <w:rFonts w:ascii="Calibri" w:hAnsi="Calibri"/>
                <w:b w:val="0"/>
                <w:i w:val="0"/>
                <w:color w:val="222222"/>
                <w:sz w:val="20"/>
              </w:rPr>
              <w:t>0.1726</w:t>
            </w:r>
          </w:p>
        </w:tc>
        <w:tc>
          <w:tcPr>
            <w:tcW w:type="dxa" w:w="1353"/>
            <w:shd w:val="clear" w:color="auto" w:fill="F7F9FB"/>
            <w:vAlign w:val="center"/>
          </w:tcPr>
          <w:p>
            <w:pPr>
              <w:keepNext/>
              <w:spacing w:after="0"/>
              <w:jc w:val="center"/>
            </w:pPr>
            <w:r>
              <w:rPr>
                <w:rFonts w:ascii="Calibri" w:hAnsi="Calibri"/>
                <w:b w:val="0"/>
                <w:i w:val="0"/>
                <w:color w:val="222222"/>
                <w:sz w:val="20"/>
              </w:rPr>
              <w:t>0.31</w:t>
            </w:r>
          </w:p>
        </w:tc>
        <w:tc>
          <w:tcPr>
            <w:tcW w:type="dxa" w:w="1092"/>
            <w:shd w:val="clear" w:color="auto" w:fill="F7F9FB"/>
            <w:vAlign w:val="center"/>
          </w:tcPr>
          <w:p>
            <w:pPr>
              <w:keepNext/>
              <w:spacing w:after="0"/>
              <w:jc w:val="center"/>
            </w:pPr>
            <w:r>
              <w:rPr>
                <w:rFonts w:ascii="Calibri" w:hAnsi="Calibri"/>
                <w:b w:val="0"/>
                <w:i w:val="0"/>
                <w:color w:val="222222"/>
                <w:sz w:val="20"/>
              </w:rPr>
              <w:t>0.424</w:t>
            </w:r>
          </w:p>
        </w:tc>
      </w:tr>
      <w:tr>
        <w:trPr>
          <w:cantSplit/>
        </w:trPr>
        <w:tc>
          <w:tcPr>
            <w:tcW w:type="dxa" w:w="2618"/>
            <w:shd w:val="clear" w:color="auto" w:fill="FFFFFF"/>
            <w:vAlign w:val="center"/>
          </w:tcPr>
          <w:p>
            <w:pPr>
              <w:keepNext w:val="0"/>
              <w:spacing w:after="0"/>
            </w:pPr>
            <w:r>
              <w:rPr>
                <w:rFonts w:ascii="Consolas" w:hAnsi="Consolas"/>
                <w:b/>
                <w:i w:val="0"/>
                <w:color w:val="222222"/>
                <w:sz w:val="18"/>
              </w:rPr>
              <w:t>inter_in_degree</w:t>
            </w:r>
          </w:p>
        </w:tc>
        <w:tc>
          <w:tcPr>
            <w:tcW w:type="dxa" w:w="1392"/>
            <w:shd w:val="clear" w:color="auto" w:fill="FFFFFF"/>
            <w:vAlign w:val="center"/>
          </w:tcPr>
          <w:p>
            <w:pPr>
              <w:keepNext w:val="0"/>
              <w:spacing w:after="0"/>
              <w:jc w:val="center"/>
            </w:pPr>
            <w:r>
              <w:rPr>
                <w:rFonts w:ascii="Calibri" w:hAnsi="Calibri"/>
                <w:b w:val="0"/>
                <w:i w:val="0"/>
                <w:color w:val="222222"/>
                <w:sz w:val="20"/>
              </w:rPr>
              <w:t>0.0001</w:t>
            </w:r>
          </w:p>
        </w:tc>
        <w:tc>
          <w:tcPr>
            <w:tcW w:type="dxa" w:w="874"/>
            <w:shd w:val="clear" w:color="auto" w:fill="FFFFFF"/>
            <w:vAlign w:val="center"/>
          </w:tcPr>
          <w:p>
            <w:pPr>
              <w:keepNext w:val="0"/>
              <w:spacing w:after="0"/>
              <w:jc w:val="center"/>
            </w:pPr>
            <w:r>
              <w:rPr>
                <w:rFonts w:ascii="Calibri" w:hAnsi="Calibri"/>
                <w:b w:val="0"/>
                <w:i w:val="0"/>
                <w:color w:val="222222"/>
                <w:sz w:val="20"/>
              </w:rPr>
              <w:t>0.0056</w:t>
            </w:r>
          </w:p>
        </w:tc>
        <w:tc>
          <w:tcPr>
            <w:tcW w:type="dxa" w:w="1166"/>
            <w:shd w:val="clear" w:color="auto" w:fill="FFFFFF"/>
            <w:vAlign w:val="center"/>
          </w:tcPr>
          <w:p>
            <w:pPr>
              <w:keepNext w:val="0"/>
              <w:spacing w:after="0"/>
              <w:jc w:val="center"/>
            </w:pPr>
            <w:r>
              <w:rPr>
                <w:rFonts w:ascii="Calibri" w:hAnsi="Calibri"/>
                <w:b w:val="0"/>
                <w:i w:val="0"/>
                <w:color w:val="222222"/>
                <w:sz w:val="20"/>
              </w:rPr>
              <w:t>0.0056</w:t>
            </w:r>
          </w:p>
        </w:tc>
        <w:tc>
          <w:tcPr>
            <w:tcW w:type="dxa" w:w="1353"/>
            <w:shd w:val="clear" w:color="auto" w:fill="FFFFFF"/>
            <w:vAlign w:val="center"/>
          </w:tcPr>
          <w:p>
            <w:pPr>
              <w:keepNext w:val="0"/>
              <w:spacing w:after="0"/>
              <w:jc w:val="center"/>
            </w:pPr>
            <w:r>
              <w:rPr>
                <w:rFonts w:ascii="Calibri" w:hAnsi="Calibri"/>
                <w:b w:val="0"/>
                <w:i w:val="0"/>
                <w:color w:val="222222"/>
                <w:sz w:val="20"/>
              </w:rPr>
              <w:t>0.306</w:t>
            </w:r>
          </w:p>
        </w:tc>
        <w:tc>
          <w:tcPr>
            <w:tcW w:type="dxa" w:w="1092"/>
            <w:shd w:val="clear" w:color="auto" w:fill="FFFFFF"/>
            <w:vAlign w:val="center"/>
          </w:tcPr>
          <w:p>
            <w:pPr>
              <w:keepNext w:val="0"/>
              <w:spacing w:after="0"/>
              <w:jc w:val="center"/>
            </w:pPr>
            <w:r>
              <w:rPr>
                <w:rFonts w:ascii="Calibri" w:hAnsi="Calibri"/>
                <w:b w:val="0"/>
                <w:i w:val="0"/>
                <w:color w:val="222222"/>
                <w:sz w:val="20"/>
              </w:rPr>
              <w:t>0.41</w:t>
            </w:r>
          </w:p>
        </w:tc>
      </w:tr>
    </w:tbl>
    <w:p>
      <w:pPr>
        <w:spacing w:after="80"/>
      </w:pPr>
    </w:p>
    <w:p>
      <w:pPr>
        <w:spacing w:after="120"/>
      </w:pPr>
      <w:r>
        <w:rPr>
          <w:rFonts w:ascii="Calibri" w:hAnsi="Calibri"/>
          <w:b w:val="0"/>
          <w:i w:val="0"/>
          <w:color w:val="222222"/>
          <w:sz w:val="21"/>
        </w:rPr>
        <w:t>Two of the seven predictions pass (2 of 7):</w:t>
      </w:r>
    </w:p>
    <w:p>
      <w:pPr>
        <w:spacing w:after="120"/>
        <w:ind w:left="432" w:hanging="259"/>
      </w:pPr>
      <w:r>
        <w:rPr>
          <w:rFonts w:ascii="Calibri" w:hAnsi="Calibri"/>
          <w:b w:val="0"/>
          <w:i w:val="0"/>
          <w:color w:val="222222"/>
          <w:sz w:val="21"/>
        </w:rPr>
        <w:t>•</w:t>
        <w:tab/>
      </w:r>
      <w:r>
        <w:rPr>
          <w:rFonts w:ascii="Calibri" w:hAnsi="Calibri"/>
          <w:b/>
          <w:i w:val="0"/>
          <w:color w:val="156082"/>
          <w:sz w:val="21"/>
        </w:rPr>
        <w:t>The first-round failure replicates (passes), and more.</w:t>
      </w:r>
      <w:r>
        <w:rPr>
          <w:rFonts w:ascii="Calibri" w:hAnsi="Calibri"/>
          <w:b w:val="0"/>
          <w:i w:val="0"/>
          <w:color w:val="222222"/>
          <w:sz w:val="21"/>
        </w:rPr>
        <w:t xml:space="preserve"> On fresh simulations the first-round flow fails all five parameters, not two. It was not a changed simulator: six of its own training runs, re-simulated today, came out identical (6 of 6, a check added after the result). Nor was it our evaluation code: run on the first-round held-out set, it reproduces the first-round pattern, </w:t>
      </w:r>
      <w:r>
        <w:rPr>
          <w:rFonts w:ascii="Consolas" w:hAnsi="Consolas"/>
          <w:b w:val="0"/>
          <w:i w:val="0"/>
          <w:color w:val="222222"/>
          <w:sz w:val="19"/>
        </w:rPr>
        <w:t>threshold_scale</w:t>
      </w:r>
      <w:r>
        <w:rPr>
          <w:rFonts w:ascii="Calibri" w:hAnsi="Calibri"/>
          <w:b w:val="0"/>
          <w:i w:val="0"/>
          <w:color w:val="222222"/>
          <w:sz w:val="21"/>
        </w:rPr>
        <w:t xml:space="preserve"> passing at 0.7551 and </w:t>
      </w:r>
      <w:r>
        <w:rPr>
          <w:rFonts w:ascii="Consolas" w:hAnsi="Consolas"/>
          <w:b w:val="0"/>
          <w:i w:val="0"/>
          <w:color w:val="222222"/>
          <w:sz w:val="19"/>
        </w:rPr>
        <w:t>inter_in_degree</w:t>
      </w:r>
      <w:r>
        <w:rPr>
          <w:rFonts w:ascii="Calibri" w:hAnsi="Calibri"/>
          <w:b w:val="0"/>
          <w:i w:val="0"/>
          <w:color w:val="222222"/>
          <w:sz w:val="21"/>
        </w:rPr>
        <w:t xml:space="preserve"> failing at 0.0037. What the first-round test missed, coverage shows: even on that set, the first-round flow's 50% intervals held the true value 0.3933 to 0.47 of the time. Three hundred runs are too few for a rank test to see an over-confidence of this size reliably, so the first-round passes were partly luck (post hoc reading).</w:t>
      </w:r>
    </w:p>
    <w:p>
      <w:pPr>
        <w:spacing w:after="120"/>
        <w:ind w:left="432" w:hanging="259"/>
      </w:pPr>
      <w:r>
        <w:rPr>
          <w:rFonts w:ascii="Calibri" w:hAnsi="Calibri"/>
          <w:b w:val="0"/>
          <w:i w:val="0"/>
          <w:color w:val="222222"/>
          <w:sz w:val="21"/>
        </w:rPr>
        <w:t>•</w:t>
        <w:tab/>
      </w:r>
      <w:r>
        <w:rPr>
          <w:rFonts w:ascii="Calibri" w:hAnsi="Calibri"/>
          <w:b/>
          <w:i w:val="0"/>
          <w:color w:val="156082"/>
          <w:sz w:val="21"/>
        </w:rPr>
        <w:t>The ensemble does not calibrate all five (three predictions fail).</w:t>
      </w:r>
      <w:r>
        <w:rPr>
          <w:rFonts w:ascii="Calibri" w:hAnsi="Calibri"/>
          <w:b w:val="0"/>
          <w:i w:val="0"/>
          <w:color w:val="222222"/>
          <w:sz w:val="21"/>
        </w:rPr>
        <w:t xml:space="preserve"> On the primary test it passes four parameters and fails </w:t>
      </w:r>
      <w:r>
        <w:rPr>
          <w:rFonts w:ascii="Consolas" w:hAnsi="Consolas"/>
          <w:b w:val="0"/>
          <w:i w:val="0"/>
          <w:color w:val="222222"/>
          <w:sz w:val="19"/>
        </w:rPr>
        <w:t>inter_in_degree</w:t>
      </w:r>
      <w:r>
        <w:rPr>
          <w:rFonts w:ascii="Calibri" w:hAnsi="Calibri"/>
          <w:b w:val="0"/>
          <w:i w:val="0"/>
          <w:color w:val="222222"/>
          <w:sz w:val="21"/>
        </w:rPr>
        <w:t xml:space="preserve">; on the full held-out set it fails four of five (only </w:t>
      </w:r>
      <w:r>
        <w:rPr>
          <w:rFonts w:ascii="Consolas" w:hAnsi="Consolas"/>
          <w:b w:val="0"/>
          <w:i w:val="0"/>
          <w:color w:val="222222"/>
          <w:sz w:val="19"/>
        </w:rPr>
        <w:t>threshold_scale</w:t>
      </w:r>
      <w:r>
        <w:rPr>
          <w:rFonts w:ascii="Calibri" w:hAnsi="Calibri"/>
          <w:b w:val="0"/>
          <w:i w:val="0"/>
          <w:color w:val="222222"/>
          <w:sz w:val="21"/>
        </w:rPr>
        <w:t>, p = 0.1935, passes), and its intervals are still too narrow for four parameters (coverage check fails).</w:t>
      </w:r>
    </w:p>
    <w:p>
      <w:pPr>
        <w:spacing w:after="120"/>
        <w:ind w:left="432" w:hanging="259"/>
      </w:pPr>
      <w:r>
        <w:rPr>
          <w:rFonts w:ascii="Calibri" w:hAnsi="Calibri"/>
          <w:b w:val="0"/>
          <w:i w:val="0"/>
          <w:color w:val="222222"/>
          <w:sz w:val="21"/>
        </w:rPr>
        <w:t>•</w:t>
        <w:tab/>
      </w:r>
      <w:r>
        <w:rPr>
          <w:rFonts w:ascii="Calibri" w:hAnsi="Calibri"/>
          <w:b/>
          <w:i w:val="0"/>
          <w:color w:val="156082"/>
          <w:sz w:val="21"/>
        </w:rPr>
        <w:t>No contraction is lost (passes).</w:t>
      </w:r>
      <w:r>
        <w:rPr>
          <w:rFonts w:ascii="Calibri" w:hAnsi="Calibri"/>
          <w:b w:val="0"/>
          <w:i w:val="0"/>
          <w:color w:val="222222"/>
          <w:sz w:val="21"/>
        </w:rPr>
        <w:t xml:space="preserve"> Every parameter's contraction is at or above the first-round flow's on the same runs, less the registered margin of 0.05.</w:t>
      </w:r>
    </w:p>
    <w:p>
      <w:pPr>
        <w:spacing w:after="120"/>
        <w:ind w:left="432" w:hanging="259"/>
      </w:pPr>
      <w:r>
        <w:rPr>
          <w:rFonts w:ascii="Calibri" w:hAnsi="Calibri"/>
          <w:b w:val="0"/>
          <w:i w:val="0"/>
          <w:color w:val="222222"/>
          <w:sz w:val="21"/>
        </w:rPr>
        <w:t>•</w:t>
        <w:tab/>
      </w:r>
      <w:r>
        <w:rPr>
          <w:rFonts w:ascii="Calibri" w:hAnsi="Calibri"/>
          <w:b/>
          <w:i w:val="0"/>
          <w:color w:val="156082"/>
          <w:sz w:val="21"/>
        </w:rPr>
        <w:t>It costs more per posterior (fails).</w:t>
      </w:r>
      <w:r>
        <w:rPr>
          <w:rFonts w:ascii="Calibri" w:hAnsi="Calibri"/>
          <w:b w:val="0"/>
          <w:i w:val="0"/>
          <w:color w:val="222222"/>
          <w:sz w:val="21"/>
        </w:rPr>
        <w:t xml:space="preserve"> The ensemble takes 1.953 s for 1,000 draws against 0.3286 s for the first-round flow in the same process; the registered limit was 1 s. Each member is sampled separately, so the cost scales with the number of members.</w:t>
      </w:r>
    </w:p>
    <w:p>
      <w:pPr>
        <w:spacing w:after="120"/>
        <w:ind w:left="432" w:hanging="259"/>
      </w:pPr>
      <w:r>
        <w:rPr>
          <w:rFonts w:ascii="Calibri" w:hAnsi="Calibri"/>
          <w:b w:val="0"/>
          <w:i w:val="0"/>
          <w:color w:val="222222"/>
          <w:sz w:val="21"/>
        </w:rPr>
        <w:t>•</w:t>
        <w:tab/>
      </w:r>
      <w:r>
        <w:rPr>
          <w:rFonts w:ascii="Calibri" w:hAnsi="Calibri"/>
          <w:b/>
          <w:i w:val="0"/>
          <w:color w:val="156082"/>
          <w:sz w:val="21"/>
        </w:rPr>
        <w:t>Budget alone does not fix the two (fails).</w:t>
      </w:r>
      <w:r>
        <w:rPr>
          <w:rFonts w:ascii="Calibri" w:hAnsi="Calibri"/>
          <w:b w:val="0"/>
          <w:i w:val="0"/>
          <w:color w:val="222222"/>
          <w:sz w:val="21"/>
        </w:rPr>
        <w:t xml:space="preserve"> The first-round flow retrained on 15,750 runs is sharper but still fails </w:t>
      </w:r>
      <w:r>
        <w:rPr>
          <w:rFonts w:ascii="Consolas" w:hAnsi="Consolas"/>
          <w:b w:val="0"/>
          <w:i w:val="0"/>
          <w:color w:val="222222"/>
          <w:sz w:val="19"/>
        </w:rPr>
        <w:t>gabaa_scale</w:t>
      </w:r>
      <w:r>
        <w:rPr>
          <w:rFonts w:ascii="Calibri" w:hAnsi="Calibri"/>
          <w:b w:val="0"/>
          <w:i w:val="0"/>
          <w:color w:val="222222"/>
          <w:sz w:val="21"/>
        </w:rPr>
        <w:t xml:space="preserve"> (p = 0.0025) and </w:t>
      </w:r>
      <w:r>
        <w:rPr>
          <w:rFonts w:ascii="Consolas" w:hAnsi="Consolas"/>
          <w:b w:val="0"/>
          <w:i w:val="0"/>
          <w:color w:val="222222"/>
          <w:sz w:val="19"/>
        </w:rPr>
        <w:t>inter_in_degree</w:t>
      </w:r>
      <w:r>
        <w:rPr>
          <w:rFonts w:ascii="Calibri" w:hAnsi="Calibri"/>
          <w:b w:val="0"/>
          <w:i w:val="0"/>
          <w:color w:val="222222"/>
          <w:sz w:val="21"/>
        </w:rPr>
        <w:t xml:space="preserve">. The five-flow ensemble on the first-round training set alone fails all five on the primary test. Only budget and averaging together moved </w:t>
      </w:r>
      <w:r>
        <w:rPr>
          <w:rFonts w:ascii="Consolas" w:hAnsi="Consolas"/>
          <w:b w:val="0"/>
          <w:i w:val="0"/>
          <w:color w:val="222222"/>
          <w:sz w:val="19"/>
        </w:rPr>
        <w:t>gabaa_scale</w:t>
      </w:r>
      <w:r>
        <w:rPr>
          <w:rFonts w:ascii="Calibri" w:hAnsi="Calibri"/>
          <w:b w:val="0"/>
          <w:i w:val="0"/>
          <w:color w:val="222222"/>
          <w:sz w:val="21"/>
        </w:rPr>
        <w:t xml:space="preserve"> past the threshold on the 300-run test, and on the full held-out set it fails there too (exploratory comparison).</w:t>
      </w:r>
    </w:p>
    <w:p>
      <w:pPr>
        <w:spacing w:after="120"/>
      </w:pPr>
      <w:r>
        <w:rPr>
          <w:rFonts w:ascii="Calibri" w:hAnsi="Calibri"/>
          <w:b w:val="0"/>
          <w:i w:val="0"/>
          <w:color w:val="222222"/>
          <w:sz w:val="21"/>
        </w:rPr>
        <w:t xml:space="preserve">The registered check near the real recordings also fails: on the 300 held-out runs closest to the 113 real two-chamber recordings, the ensemble fails </w:t>
      </w:r>
      <w:r>
        <w:rPr>
          <w:rFonts w:ascii="Consolas" w:hAnsi="Consolas"/>
          <w:b w:val="0"/>
          <w:i w:val="0"/>
          <w:color w:val="222222"/>
          <w:sz w:val="19"/>
        </w:rPr>
        <w:t>ampa_scale</w:t>
      </w:r>
      <w:r>
        <w:rPr>
          <w:rFonts w:ascii="Calibri" w:hAnsi="Calibri"/>
          <w:b w:val="0"/>
          <w:i w:val="0"/>
          <w:color w:val="222222"/>
          <w:sz w:val="21"/>
        </w:rPr>
        <w:t xml:space="preserve"> (p = 0.0121). Those runs are not very close: the median real recording lies 2.661 standard units from its nearest simulation, where a simulation lies 0.541 from its nearest neighbour.</w:t>
      </w:r>
    </w:p>
    <w:p>
      <w:pPr>
        <w:spacing w:after="120"/>
      </w:pPr>
      <w:r>
        <w:rPr>
          <w:rFonts w:ascii="Calibri" w:hAnsi="Calibri"/>
          <w:b w:val="0"/>
          <w:i w:val="0"/>
          <w:color w:val="222222"/>
          <w:sz w:val="21"/>
        </w:rPr>
        <w:t xml:space="preserve">Under the rule registered for the slide, the ensemble may be quoted for </w:t>
      </w:r>
      <w:r>
        <w:rPr>
          <w:rFonts w:ascii="Consolas" w:hAnsi="Consolas"/>
          <w:b w:val="0"/>
          <w:i w:val="0"/>
          <w:color w:val="222222"/>
          <w:sz w:val="19"/>
        </w:rPr>
        <w:t>threshold_scale</w:t>
      </w:r>
      <w:r>
        <w:rPr>
          <w:rFonts w:ascii="Calibri" w:hAnsi="Calibri"/>
          <w:b w:val="0"/>
          <w:i w:val="0"/>
          <w:color w:val="222222"/>
          <w:sz w:val="21"/>
        </w:rPr>
        <w:t xml:space="preserve"> only. The inhibitory knob our pharmacology sections lean on stays withheld, as do the other three. More simulations and averaging lower every parameter's rank-test statistic on the full held-out set (for </w:t>
      </w:r>
      <w:r>
        <w:rPr>
          <w:rFonts w:ascii="Consolas" w:hAnsi="Consolas"/>
          <w:b w:val="0"/>
          <w:i w:val="0"/>
          <w:color w:val="222222"/>
          <w:sz w:val="19"/>
        </w:rPr>
        <w:t>gabaa_scale</w:t>
      </w:r>
      <w:r>
        <w:rPr>
          <w:rFonts w:ascii="Calibri" w:hAnsi="Calibri"/>
          <w:b w:val="0"/>
          <w:i w:val="0"/>
          <w:color w:val="222222"/>
          <w:sz w:val="21"/>
        </w:rPr>
        <w:t xml:space="preserve"> from 0.11 to 0.077, for </w:t>
      </w:r>
      <w:r>
        <w:rPr>
          <w:rFonts w:ascii="Consolas" w:hAnsi="Consolas"/>
          <w:b w:val="0"/>
          <w:i w:val="0"/>
          <w:color w:val="222222"/>
          <w:sz w:val="19"/>
        </w:rPr>
        <w:t>inter_in_degree</w:t>
      </w:r>
      <w:r>
        <w:rPr>
          <w:rFonts w:ascii="Calibri" w:hAnsi="Calibri"/>
          <w:b w:val="0"/>
          <w:i w:val="0"/>
          <w:color w:val="222222"/>
          <w:sz w:val="21"/>
        </w:rPr>
        <w:t xml:space="preserve"> from 0.107 to 0.063) without costing sharpness, but not far enough, so the limit is not budget alone; whether it is the estimator family or what the 19 summaries carry is the next question, not one this test answers. The full record is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and the rank histograms and coverage are in Appendix G.</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6"/>
        <w:gridCol w:w="2155"/>
        <w:gridCol w:w="2512"/>
        <w:gridCol w:w="3523"/>
      </w:tblGrid>
      <w:tr>
        <w:trPr>
          <w:cantSplit/>
          <w:tblHeader/>
        </w:trPr>
        <w:tc>
          <w:tcPr>
            <w:tcW w:type="dxa" w:w="306"/>
            <w:shd w:val="clear" w:color="auto" w:fill="1F4E79"/>
            <w:vAlign w:val="center"/>
          </w:tcPr>
          <w:p>
            <w:pPr>
              <w:keepNext/>
              <w:spacing w:after="0"/>
              <w:jc w:val="center"/>
            </w:pPr>
            <w:r>
              <w:rPr>
                <w:rFonts w:ascii="Calibri" w:hAnsi="Calibri"/>
                <w:b/>
                <w:i w:val="0"/>
                <w:color w:val="FFFFFF"/>
                <w:sz w:val="20"/>
              </w:rPr>
              <w:t>#</w:t>
            </w:r>
          </w:p>
        </w:tc>
        <w:tc>
          <w:tcPr>
            <w:tcW w:type="dxa" w:w="2155"/>
            <w:shd w:val="clear" w:color="auto" w:fill="1F4E79"/>
            <w:vAlign w:val="center"/>
          </w:tcPr>
          <w:p>
            <w:pPr>
              <w:keepNext/>
              <w:spacing w:after="0"/>
            </w:pPr>
            <w:r>
              <w:rPr>
                <w:rFonts w:ascii="Calibri" w:hAnsi="Calibri"/>
                <w:b/>
                <w:i w:val="0"/>
                <w:color w:val="FFFFFF"/>
                <w:sz w:val="20"/>
              </w:rPr>
              <w:t>finding</w:t>
            </w:r>
          </w:p>
        </w:tc>
        <w:tc>
          <w:tcPr>
            <w:tcW w:type="dxa" w:w="2512"/>
            <w:shd w:val="clear" w:color="auto" w:fill="1F4E79"/>
            <w:vAlign w:val="center"/>
          </w:tcPr>
          <w:p>
            <w:pPr>
              <w:keepNext/>
              <w:spacing w:after="0"/>
            </w:pPr>
            <w:r>
              <w:rPr>
                <w:rFonts w:ascii="Calibri" w:hAnsi="Calibri"/>
                <w:b/>
                <w:i w:val="0"/>
                <w:color w:val="FFFFFF"/>
                <w:sz w:val="20"/>
              </w:rPr>
              <w:t>evidence</w:t>
            </w:r>
          </w:p>
        </w:tc>
        <w:tc>
          <w:tcPr>
            <w:tcW w:type="dxa" w:w="3523"/>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1</w:t>
            </w:r>
          </w:p>
        </w:tc>
        <w:tc>
          <w:tcPr>
            <w:tcW w:type="dxa" w:w="2155"/>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512"/>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523"/>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2</w:t>
            </w:r>
          </w:p>
        </w:tc>
        <w:tc>
          <w:tcPr>
            <w:tcW w:type="dxa" w:w="2155"/>
            <w:shd w:val="clear" w:color="auto" w:fill="F7F9FB"/>
            <w:vAlign w:val="center"/>
          </w:tcPr>
          <w:p>
            <w:pPr>
              <w:keepNext/>
              <w:spacing w:after="0"/>
            </w:pPr>
            <w:r>
              <w:rPr>
                <w:rFonts w:ascii="Calibri" w:hAnsi="Calibri"/>
                <w:b w:val="0"/>
                <w:i w:val="0"/>
                <w:color w:val="222222"/>
                <w:sz w:val="20"/>
              </w:rPr>
              <w:t>chamber readouts miss direction</w:t>
            </w:r>
          </w:p>
        </w:tc>
        <w:tc>
          <w:tcPr>
            <w:tcW w:type="dxa" w:w="2512"/>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523"/>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3</w:t>
            </w:r>
          </w:p>
        </w:tc>
        <w:tc>
          <w:tcPr>
            <w:tcW w:type="dxa" w:w="2155"/>
            <w:shd w:val="clear" w:color="auto" w:fill="FFFFFF"/>
            <w:vAlign w:val="center"/>
          </w:tcPr>
          <w:p>
            <w:pPr>
              <w:keepNext/>
              <w:spacing w:after="0"/>
            </w:pPr>
            <w:r>
              <w:rPr>
                <w:rFonts w:ascii="Calibri" w:hAnsi="Calibri"/>
                <w:b w:val="0"/>
                <w:i w:val="0"/>
                <w:color w:val="222222"/>
                <w:sz w:val="20"/>
              </w:rPr>
              <w:t>no cross-laboratory transfer</w:t>
            </w:r>
          </w:p>
        </w:tc>
        <w:tc>
          <w:tcPr>
            <w:tcW w:type="dxa" w:w="2512"/>
            <w:shd w:val="clear" w:color="auto" w:fill="FFFFFF"/>
            <w:vAlign w:val="center"/>
          </w:tcPr>
          <w:p>
            <w:pPr>
              <w:keepNext/>
              <w:spacing w:after="0"/>
            </w:pPr>
            <w:r>
              <w:rPr>
                <w:rFonts w:ascii="Calibri" w:hAnsi="Calibri"/>
                <w:b w:val="0"/>
                <w:i w:val="0"/>
                <w:color w:val="222222"/>
                <w:sz w:val="20"/>
              </w:rPr>
              <w:t>0.3482 against 0.3333 chance</w:t>
            </w:r>
          </w:p>
        </w:tc>
        <w:tc>
          <w:tcPr>
            <w:tcW w:type="dxa" w:w="3523"/>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4</w:t>
            </w:r>
          </w:p>
        </w:tc>
        <w:tc>
          <w:tcPr>
            <w:tcW w:type="dxa" w:w="2155"/>
            <w:shd w:val="clear" w:color="auto" w:fill="F7F9FB"/>
            <w:vAlign w:val="center"/>
          </w:tcPr>
          <w:p>
            <w:pPr>
              <w:keepNext/>
              <w:spacing w:after="0"/>
            </w:pPr>
            <w:r>
              <w:rPr>
                <w:rFonts w:ascii="Calibri" w:hAnsi="Calibri"/>
                <w:b w:val="0"/>
                <w:i w:val="0"/>
                <w:color w:val="222222"/>
                <w:sz w:val="20"/>
              </w:rPr>
              <w:t>domain adaptation backfires</w:t>
            </w:r>
          </w:p>
        </w:tc>
        <w:tc>
          <w:tcPr>
            <w:tcW w:type="dxa" w:w="2512"/>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523"/>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5</w:t>
            </w:r>
          </w:p>
        </w:tc>
        <w:tc>
          <w:tcPr>
            <w:tcW w:type="dxa" w:w="2155"/>
            <w:shd w:val="clear" w:color="auto" w:fill="FFFFFF"/>
            <w:vAlign w:val="center"/>
          </w:tcPr>
          <w:p>
            <w:pPr>
              <w:keepNext/>
              <w:spacing w:after="0"/>
            </w:pPr>
            <w:r>
              <w:rPr>
                <w:rFonts w:ascii="Calibri" w:hAnsi="Calibri"/>
                <w:b w:val="0"/>
                <w:i w:val="0"/>
                <w:color w:val="222222"/>
                <w:sz w:val="20"/>
              </w:rPr>
              <w:t>synchrony was an artifact</w:t>
            </w:r>
          </w:p>
        </w:tc>
        <w:tc>
          <w:tcPr>
            <w:tcW w:type="dxa" w:w="2512"/>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523"/>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6</w:t>
            </w:r>
          </w:p>
        </w:tc>
        <w:tc>
          <w:tcPr>
            <w:tcW w:type="dxa" w:w="2155"/>
            <w:shd w:val="clear" w:color="auto" w:fill="F7F9FB"/>
            <w:vAlign w:val="center"/>
          </w:tcPr>
          <w:p>
            <w:pPr>
              <w:keepNext/>
              <w:spacing w:after="0"/>
            </w:pPr>
            <w:r>
              <w:rPr>
                <w:rFonts w:ascii="Calibri" w:hAnsi="Calibri"/>
                <w:b w:val="0"/>
                <w:i w:val="0"/>
                <w:color w:val="222222"/>
                <w:sz w:val="20"/>
              </w:rPr>
              <w:t>posterior over-confidence</w:t>
            </w:r>
          </w:p>
        </w:tc>
        <w:tc>
          <w:tcPr>
            <w:tcW w:type="dxa" w:w="2512"/>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 since round 1, on fresh simulations all five parameters fail, and a five-flow ensemble on 15,750 simulations leaves four over-confident (§16)</w:t>
            </w:r>
          </w:p>
        </w:tc>
        <w:tc>
          <w:tcPr>
            <w:tcW w:type="dxa" w:w="3523"/>
            <w:shd w:val="clear" w:color="auto" w:fill="F7F9FB"/>
            <w:vAlign w:val="center"/>
          </w:tcPr>
          <w:p>
            <w:pPr>
              <w:keepNext/>
              <w:spacing w:after="0"/>
            </w:pPr>
            <w:r>
              <w:rPr>
                <w:rFonts w:ascii="Calibri" w:hAnsi="Calibri"/>
                <w:b w:val="0"/>
                <w:i w:val="0"/>
                <w:color w:val="222222"/>
                <w:sz w:val="20"/>
              </w:rPr>
              <w:t>check rank uniformity and interval coverage on fresh simulations before quoting an interval; quote only parameters that pass both</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7</w:t>
            </w:r>
          </w:p>
        </w:tc>
        <w:tc>
          <w:tcPr>
            <w:tcW w:type="dxa" w:w="2155"/>
            <w:shd w:val="clear" w:color="auto" w:fill="FFFFFF"/>
            <w:vAlign w:val="center"/>
          </w:tcPr>
          <w:p>
            <w:pPr>
              <w:keepNext/>
              <w:spacing w:after="0"/>
            </w:pPr>
            <w:r>
              <w:rPr>
                <w:rFonts w:ascii="Calibri" w:hAnsi="Calibri"/>
                <w:b w:val="0"/>
                <w:i w:val="0"/>
                <w:color w:val="222222"/>
                <w:sz w:val="20"/>
              </w:rPr>
              <w:t>baseline read as drug effect</w:t>
            </w:r>
          </w:p>
        </w:tc>
        <w:tc>
          <w:tcPr>
            <w:tcW w:type="dxa" w:w="2512"/>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523"/>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8</w:t>
            </w:r>
          </w:p>
        </w:tc>
        <w:tc>
          <w:tcPr>
            <w:tcW w:type="dxa" w:w="2155"/>
            <w:shd w:val="clear" w:color="auto" w:fill="F7F9FB"/>
            <w:vAlign w:val="center"/>
          </w:tcPr>
          <w:p>
            <w:pPr>
              <w:keepNext/>
              <w:spacing w:after="0"/>
            </w:pPr>
            <w:r>
              <w:rPr>
                <w:rFonts w:ascii="Calibri" w:hAnsi="Calibri"/>
                <w:b w:val="0"/>
                <w:i w:val="0"/>
                <w:color w:val="222222"/>
                <w:sz w:val="20"/>
              </w:rPr>
              <w:t>support rejection</w:t>
            </w:r>
          </w:p>
        </w:tc>
        <w:tc>
          <w:tcPr>
            <w:tcW w:type="dxa" w:w="2512"/>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523"/>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6"/>
            <w:shd w:val="clear" w:color="auto" w:fill="FFFFFF"/>
            <w:vAlign w:val="center"/>
          </w:tcPr>
          <w:p>
            <w:pPr>
              <w:keepNext w:val="0"/>
              <w:spacing w:after="0"/>
              <w:jc w:val="center"/>
            </w:pPr>
            <w:r>
              <w:rPr>
                <w:rFonts w:ascii="Calibri" w:hAnsi="Calibri"/>
                <w:b/>
                <w:i w:val="0"/>
                <w:color w:val="222222"/>
                <w:sz w:val="20"/>
              </w:rPr>
              <w:t>9</w:t>
            </w:r>
          </w:p>
        </w:tc>
        <w:tc>
          <w:tcPr>
            <w:tcW w:type="dxa" w:w="2155"/>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512"/>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523"/>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 Since round 1: in the EPA's rat cortical wells, GABA-A antagonists raise firing rate as the twin does (§33), so the real direction differs between laboratories</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5" name="Picture 15"/>
            <wp:cNvGraphicFramePr>
              <a:graphicFrameLocks noChangeAspect="1"/>
            </wp:cNvGraphicFramePr>
            <a:graphic>
              <a:graphicData uri="http://schemas.openxmlformats.org/drawingml/2006/picture">
                <pic:pic>
                  <pic:nvPicPr>
                    <pic:cNvPr id="0" name="depression_under_block_simulated.png"/>
                    <pic:cNvPicPr/>
                  </pic:nvPicPr>
                  <pic:blipFill>
                    <a:blip r:embed="rId27"/>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six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spacing w:after="120"/>
      </w:pPr>
      <w:r>
        <w:rPr>
          <w:rFonts w:ascii="Calibri" w:hAnsi="Calibri"/>
          <w:b/>
          <w:i w:val="0"/>
          <w:color w:val="156082"/>
          <w:sz w:val="21"/>
        </w:rPr>
        <w:t>6. Sample size and plate layout, from real untreated wells (Act IX, added after the first round).</w:t>
      </w:r>
      <w:r>
        <w:rPr>
          <w:rFonts w:ascii="Calibri" w:hAnsi="Calibri"/>
          <w:b w:val="0"/>
          <w:i w:val="0"/>
          <w:color w:val="222222"/>
          <w:sz w:val="21"/>
        </w:rPr>
        <w:t xml:space="preserve"> Before a lab runs a chip screen it needs to know how many wells a given change takes and how to lay them out. The EPA's own vehicle wells answer that for each of 15 readouts (§32). Untreated firing rate falls by a median of −32% over the exposure window, and the exposure day carries 0.42 of the variance, so every reading must be made against vehicle wells from the same day: against a historical reference no number of wells from one day sees a halving of firing rate, while 4 treated and 4 vehicle wells on that day do. Burst-shape and synchrony readouts are several times quieter than firing rate and need far fewer wells for the same relative change. §34 turns this into three quality-control rules.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76"/>
        <w:gridCol w:w="4519"/>
        <w:gridCol w:w="2301"/>
      </w:tblGrid>
      <w:tr>
        <w:trPr>
          <w:cantSplit/>
          <w:tblHeader/>
        </w:trPr>
        <w:tc>
          <w:tcPr>
            <w:tcW w:type="dxa" w:w="1676"/>
            <w:shd w:val="clear" w:color="auto" w:fill="1F4E79"/>
            <w:vAlign w:val="center"/>
          </w:tcPr>
          <w:p>
            <w:pPr>
              <w:keepNext/>
              <w:spacing w:after="0"/>
            </w:pPr>
            <w:r>
              <w:rPr>
                <w:rFonts w:ascii="Calibri" w:hAnsi="Calibri"/>
                <w:b/>
                <w:i w:val="0"/>
                <w:color w:val="FFFFFF"/>
                <w:sz w:val="20"/>
              </w:rPr>
              <w:t>step</w:t>
            </w:r>
          </w:p>
        </w:tc>
        <w:tc>
          <w:tcPr>
            <w:tcW w:type="dxa" w:w="4519"/>
            <w:shd w:val="clear" w:color="auto" w:fill="1F4E79"/>
            <w:vAlign w:val="center"/>
          </w:tcPr>
          <w:p>
            <w:pPr>
              <w:keepNext/>
              <w:spacing w:after="0"/>
            </w:pPr>
            <w:r>
              <w:rPr>
                <w:rFonts w:ascii="Calibri" w:hAnsi="Calibri"/>
                <w:b/>
                <w:i w:val="0"/>
                <w:color w:val="FFFFFF"/>
                <w:sz w:val="20"/>
              </w:rPr>
              <w:t>command</w:t>
            </w:r>
          </w:p>
        </w:tc>
        <w:tc>
          <w:tcPr>
            <w:tcW w:type="dxa" w:w="2301"/>
            <w:shd w:val="clear" w:color="auto" w:fill="1F4E79"/>
            <w:vAlign w:val="center"/>
          </w:tcPr>
          <w:p>
            <w:pPr>
              <w:keepNext/>
              <w:spacing w:after="0"/>
            </w:pPr>
            <w:r>
              <w:rPr>
                <w:rFonts w:ascii="Calibri" w:hAnsi="Calibri"/>
                <w:b/>
                <w:i w:val="0"/>
                <w:color w:val="FFFFFF"/>
                <w:sz w:val="20"/>
              </w:rPr>
              <w:t>what it does</w:t>
            </w:r>
          </w:p>
        </w:tc>
      </w:tr>
      <w:tr>
        <w:trPr>
          <w:cantSplit/>
        </w:trPr>
        <w:tc>
          <w:tcPr>
            <w:tcW w:type="dxa" w:w="1676"/>
            <w:shd w:val="clear" w:color="auto" w:fill="FFFFFF"/>
            <w:vAlign w:val="center"/>
          </w:tcPr>
          <w:p>
            <w:pPr>
              <w:keepNext/>
              <w:spacing w:after="0"/>
            </w:pPr>
            <w:r>
              <w:rPr>
                <w:rFonts w:ascii="Calibri" w:hAnsi="Calibri"/>
                <w:b/>
                <w:i w:val="0"/>
                <w:color w:val="222222"/>
                <w:sz w:val="20"/>
              </w:rPr>
              <w:t>1. get the code</w:t>
            </w:r>
          </w:p>
        </w:tc>
        <w:tc>
          <w:tcPr>
            <w:tcW w:type="dxa" w:w="451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301"/>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676"/>
            <w:shd w:val="clear" w:color="auto" w:fill="F7F9FB"/>
            <w:vAlign w:val="center"/>
          </w:tcPr>
          <w:p>
            <w:pPr>
              <w:keepNext/>
              <w:spacing w:after="0"/>
            </w:pPr>
            <w:r>
              <w:rPr>
                <w:rFonts w:ascii="Calibri" w:hAnsi="Calibri"/>
                <w:b/>
                <w:i w:val="0"/>
                <w:color w:val="222222"/>
                <w:sz w:val="20"/>
              </w:rPr>
              <w:t>2. create the environment</w:t>
            </w:r>
          </w:p>
        </w:tc>
        <w:tc>
          <w:tcPr>
            <w:tcW w:type="dxa" w:w="451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301"/>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676"/>
            <w:shd w:val="clear" w:color="auto" w:fill="FFFFFF"/>
            <w:vAlign w:val="center"/>
          </w:tcPr>
          <w:p>
            <w:pPr>
              <w:keepNext/>
              <w:spacing w:after="0"/>
            </w:pPr>
            <w:r>
              <w:rPr>
                <w:rFonts w:ascii="Calibri" w:hAnsi="Calibri"/>
                <w:b/>
                <w:i w:val="0"/>
                <w:color w:val="222222"/>
                <w:sz w:val="20"/>
              </w:rPr>
              <w:t>3. install</w:t>
            </w:r>
          </w:p>
        </w:tc>
        <w:tc>
          <w:tcPr>
            <w:tcW w:type="dxa" w:w="451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301"/>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676"/>
            <w:shd w:val="clear" w:color="auto" w:fill="F7F9FB"/>
            <w:vAlign w:val="center"/>
          </w:tcPr>
          <w:p>
            <w:pPr>
              <w:keepNext/>
              <w:spacing w:after="0"/>
            </w:pPr>
            <w:r>
              <w:rPr>
                <w:rFonts w:ascii="Calibri" w:hAnsi="Calibri"/>
                <w:b/>
                <w:i w:val="0"/>
                <w:color w:val="222222"/>
                <w:sz w:val="20"/>
              </w:rPr>
              <w:t>4. quick run</w:t>
            </w:r>
          </w:p>
        </w:tc>
        <w:tc>
          <w:tcPr>
            <w:tcW w:type="dxa" w:w="4519"/>
            <w:shd w:val="clear" w:color="auto" w:fill="F7F9FB"/>
            <w:vAlign w:val="center"/>
          </w:tcPr>
          <w:p>
            <w:pPr>
              <w:keepNext/>
              <w:spacing w:after="0"/>
            </w:pPr>
            <w:r>
              <w:rPr>
                <w:rFonts w:ascii="Consolas" w:hAnsi="Consolas"/>
                <w:b w:val="0"/>
                <w:i w:val="0"/>
                <w:color w:val="222222"/>
                <w:sz w:val="18"/>
              </w:rPr>
              <w:t>.venv/bin/python run_all.py --quick</w:t>
            </w:r>
          </w:p>
        </w:tc>
        <w:tc>
          <w:tcPr>
            <w:tcW w:type="dxa" w:w="2301"/>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676"/>
            <w:shd w:val="clear" w:color="auto" w:fill="FFFFFF"/>
            <w:vAlign w:val="center"/>
          </w:tcPr>
          <w:p>
            <w:pPr>
              <w:keepNext/>
              <w:spacing w:after="0"/>
            </w:pPr>
            <w:r>
              <w:rPr>
                <w:rFonts w:ascii="Calibri" w:hAnsi="Calibri"/>
                <w:b/>
                <w:i w:val="0"/>
                <w:color w:val="222222"/>
                <w:sz w:val="20"/>
              </w:rPr>
              <w:t>5. full run</w:t>
            </w:r>
          </w:p>
        </w:tc>
        <w:tc>
          <w:tcPr>
            <w:tcW w:type="dxa" w:w="4519"/>
            <w:shd w:val="clear" w:color="auto" w:fill="FFFFFF"/>
            <w:vAlign w:val="center"/>
          </w:tcPr>
          <w:p>
            <w:pPr>
              <w:keepNext/>
              <w:spacing w:after="0"/>
            </w:pPr>
            <w:r>
              <w:rPr>
                <w:rFonts w:ascii="Consolas" w:hAnsi="Consolas"/>
                <w:b w:val="0"/>
                <w:i w:val="0"/>
                <w:color w:val="222222"/>
                <w:sz w:val="18"/>
              </w:rPr>
              <w:t>.venv/bin/python run_all.py</w:t>
            </w:r>
          </w:p>
        </w:tc>
        <w:tc>
          <w:tcPr>
            <w:tcW w:type="dxa" w:w="2301"/>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676"/>
            <w:shd w:val="clear" w:color="auto" w:fill="F7F9FB"/>
            <w:vAlign w:val="center"/>
          </w:tcPr>
          <w:p>
            <w:pPr>
              <w:keepNext/>
              <w:spacing w:after="0"/>
            </w:pPr>
            <w:r>
              <w:rPr>
                <w:rFonts w:ascii="Calibri" w:hAnsi="Calibri"/>
                <w:b/>
                <w:i w:val="0"/>
                <w:color w:val="222222"/>
                <w:sz w:val="20"/>
              </w:rPr>
              <w:t>6. check the numbers</w:t>
            </w:r>
          </w:p>
        </w:tc>
        <w:tc>
          <w:tcPr>
            <w:tcW w:type="dxa" w:w="451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301"/>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676"/>
            <w:shd w:val="clear" w:color="auto" w:fill="FFFFFF"/>
            <w:vAlign w:val="center"/>
          </w:tcPr>
          <w:p>
            <w:pPr>
              <w:keepNext/>
              <w:spacing w:after="0"/>
            </w:pPr>
            <w:r>
              <w:rPr>
                <w:rFonts w:ascii="Calibri" w:hAnsi="Calibri"/>
                <w:b/>
                <w:i w:val="0"/>
                <w:color w:val="222222"/>
                <w:sz w:val="20"/>
              </w:rPr>
              <w:t>7. check the registrations</w:t>
            </w:r>
          </w:p>
        </w:tc>
        <w:tc>
          <w:tcPr>
            <w:tcW w:type="dxa" w:w="4519"/>
            <w:shd w:val="clear" w:color="auto" w:fill="FFFFFF"/>
            <w:vAlign w:val="center"/>
          </w:tcPr>
          <w:p>
            <w:pPr>
              <w:keepNext/>
              <w:spacing w:after="0"/>
            </w:pPr>
            <w:r>
              <w:rPr>
                <w:rFonts w:ascii="Consolas" w:hAnsi="Consolas"/>
                <w:b w:val="0"/>
                <w:i w:val="0"/>
                <w:color w:val="222222"/>
                <w:sz w:val="18"/>
              </w:rPr>
              <w:t>.venv/bin/python -m neuromps.report.timestamps</w:t>
            </w:r>
          </w:p>
        </w:tc>
        <w:tc>
          <w:tcPr>
            <w:tcW w:type="dxa" w:w="2301"/>
            <w:shd w:val="clear" w:color="auto" w:fill="FFFFFF"/>
            <w:vAlign w:val="center"/>
          </w:tcPr>
          <w:p>
            <w:pPr>
              <w:keepNext/>
              <w:spacing w:after="0"/>
            </w:pPr>
            <w:r>
              <w:rPr>
                <w:rFonts w:ascii="Calibri" w:hAnsi="Calibri"/>
                <w:b w:val="0"/>
                <w:i w:val="0"/>
                <w:color w:val="222222"/>
                <w:sz w:val="20"/>
              </w:rPr>
              <w:t>hash-chains every registration and checks that each was committed before its results (needs the full git history, not a shallow clone)</w:t>
            </w:r>
          </w:p>
        </w:tc>
      </w:tr>
      <w:tr>
        <w:trPr>
          <w:cantSplit/>
        </w:trPr>
        <w:tc>
          <w:tcPr>
            <w:tcW w:type="dxa" w:w="1676"/>
            <w:shd w:val="clear" w:color="auto" w:fill="F7F9FB"/>
            <w:vAlign w:val="center"/>
          </w:tcPr>
          <w:p>
            <w:pPr>
              <w:keepNext w:val="0"/>
              <w:spacing w:after="0"/>
            </w:pPr>
            <w:r>
              <w:rPr>
                <w:rFonts w:ascii="Calibri" w:hAnsi="Calibri"/>
                <w:b/>
                <w:i w:val="0"/>
                <w:color w:val="222222"/>
                <w:sz w:val="20"/>
              </w:rPr>
              <w:t>8. open the demo</w:t>
            </w:r>
          </w:p>
        </w:tc>
        <w:tc>
          <w:tcPr>
            <w:tcW w:type="dxa" w:w="4519"/>
            <w:shd w:val="clear" w:color="auto" w:fill="F7F9FB"/>
            <w:vAlign w:val="center"/>
          </w:tcPr>
          <w:p>
            <w:pPr>
              <w:keepNext w:val="0"/>
              <w:spacing w:after="0"/>
            </w:pPr>
            <w:r>
              <w:rPr>
                <w:rFonts w:ascii="Consolas" w:hAnsi="Consolas"/>
                <w:b w:val="0"/>
                <w:i w:val="0"/>
                <w:color w:val="222222"/>
                <w:sz w:val="18"/>
              </w:rPr>
              <w:t>.venv/bin/streamlit run app/app.py</w:t>
            </w:r>
          </w:p>
        </w:tc>
        <w:tc>
          <w:tcPr>
            <w:tcW w:type="dxa" w:w="2301"/>
            <w:shd w:val="clear" w:color="auto" w:fill="F7F9FB"/>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spacing w:after="120"/>
      </w:pPr>
      <w:r>
        <w:rPr>
          <w:rFonts w:ascii="Calibri" w:hAnsi="Calibri"/>
          <w:b w:val="0"/>
          <w:i w:val="0"/>
          <w:color w:val="222222"/>
          <w:sz w:val="21"/>
        </w:rPr>
        <w:t xml:space="preserve">The registrations are checked the same way. Every study that registered its predictions in </w:t>
      </w:r>
      <w:r>
        <w:rPr>
          <w:rFonts w:ascii="Consolas" w:hAnsi="Consolas"/>
          <w:b w:val="0"/>
          <w:i w:val="0"/>
          <w:color w:val="222222"/>
          <w:sz w:val="19"/>
        </w:rPr>
        <w:t>preregistration/</w:t>
      </w:r>
      <w:r>
        <w:rPr>
          <w:rFonts w:ascii="Calibri" w:hAnsi="Calibri"/>
          <w:b w:val="0"/>
          <w:i w:val="0"/>
          <w:color w:val="222222"/>
          <w:sz w:val="21"/>
        </w:rPr>
        <w:t xml:space="preserve"> records each prediction's outcome, and </w:t>
      </w:r>
      <w:r>
        <w:rPr>
          <w:rFonts w:ascii="Consolas" w:hAnsi="Consolas"/>
          <w:b w:val="0"/>
          <w:i w:val="0"/>
          <w:color w:val="222222"/>
          <w:sz w:val="19"/>
        </w:rPr>
        <w:t>neuromps.report.audit</w:t>
      </w:r>
      <w:r>
        <w:rPr>
          <w:rFonts w:ascii="Calibri" w:hAnsi="Calibri"/>
          <w:b w:val="0"/>
          <w:i w:val="0"/>
          <w:color w:val="222222"/>
          <w:sz w:val="21"/>
        </w:rPr>
        <w:t xml:space="preserve"> (run at the end of every </w:t>
      </w:r>
      <w:r>
        <w:rPr>
          <w:rFonts w:ascii="Consolas" w:hAnsi="Consolas"/>
          <w:b w:val="0"/>
          <w:i w:val="0"/>
          <w:color w:val="222222"/>
          <w:sz w:val="19"/>
        </w:rPr>
        <w:t>run_all</w:t>
      </w:r>
      <w:r>
        <w:rPr>
          <w:rFonts w:ascii="Calibri" w:hAnsi="Calibri"/>
          <w:b w:val="0"/>
          <w:i w:val="0"/>
          <w:color w:val="222222"/>
          <w:sz w:val="21"/>
        </w:rPr>
        <w:t xml:space="preserve">) counts them: 44 studies made 226 registered predictions, of which 101 passed, 86 failed and 38 were uninterpretable. The audit names any study whose predictions carry no outcome, so that none is left out unnoticed (none is now; </w:t>
      </w:r>
      <w:r>
        <w:rPr>
          <w:rFonts w:ascii="Consolas" w:hAnsi="Consolas"/>
          <w:b w:val="0"/>
          <w:i w:val="0"/>
          <w:color w:val="222222"/>
          <w:sz w:val="19"/>
        </w:rPr>
        <w:t>registration_audit.unrecognised</w:t>
      </w:r>
      <w:r>
        <w:rPr>
          <w:rFonts w:ascii="Calibri" w:hAnsi="Calibri"/>
          <w:b w:val="0"/>
          <w:i w:val="0"/>
          <w:color w:val="222222"/>
          <w:sz w:val="21"/>
        </w:rPr>
        <w:t xml:space="preserve">), and it leaves out the rhythm audit, which re-reads predictions already counted under their own stages.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the commit that first added it, a hash chain over them in commit order, and, for every result file that names its registration, whether the registration's commit came first. Of 43 registrations, 39 result files were checked and 0 came before their registration. The check cannot see the 4 registrations whose results do not name them (the twin's depression test, its prior classifier, the ToxCast noise floors and the inverse-model recalibration, whose results are recorded only in </w:t>
      </w:r>
      <w:r>
        <w:rPr>
          <w:rFonts w:ascii="Consolas" w:hAnsi="Consolas"/>
          <w:b w:val="0"/>
          <w:i w:val="0"/>
          <w:color w:val="222222"/>
          <w:sz w:val="19"/>
        </w:rPr>
        <w:t>metrics.json</w:t>
      </w:r>
      <w:r>
        <w:rPr>
          <w:rFonts w:ascii="Calibri" w:hAnsi="Calibri"/>
          <w:b w:val="0"/>
          <w:i w:val="0"/>
          <w:color w:val="222222"/>
          <w:sz w:val="21"/>
        </w:rPr>
        <w:t>), and it rests on this repository's own history, not on a third-party timestamp. The two manuscripts in preparation register their studies the same way in a separate, private repository.</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6" name="Picture 16"/>
            <wp:cNvGraphicFramePr>
              <a:graphicFrameLocks noChangeAspect="1"/>
            </wp:cNvGraphicFramePr>
            <a:graphic>
              <a:graphicData uri="http://schemas.openxmlformats.org/drawingml/2006/picture">
                <pic:pic>
                  <pic:nvPicPr>
                    <pic:cNvPr id="0" name="fly_chip_to_animal_dose_SIMULATED.png"/>
                    <pic:cNvPicPr/>
                  </pic:nvPicPr>
                  <pic:blipFill>
                    <a:blip r:embed="rId28"/>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7" name="Picture 17"/>
            <wp:cNvGraphicFramePr>
              <a:graphicFrameLocks noChangeAspect="1"/>
            </wp:cNvGraphicFramePr>
            <a:graphic>
              <a:graphicData uri="http://schemas.openxmlformats.org/drawingml/2006/picture">
                <pic:pic>
                  <pic:nvPicPr>
                    <pic:cNvPr id="0" name="fly_sentinel_ladder_SIMULATED.png"/>
                    <pic:cNvPicPr/>
                  </pic:nvPicPr>
                  <pic:blipFill>
                    <a:blip r:embed="rId29"/>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8" name="Picture 18"/>
            <wp:cNvGraphicFramePr>
              <a:graphicFrameLocks noChangeAspect="1"/>
            </wp:cNvGraphicFramePr>
            <a:graphic>
              <a:graphicData uri="http://schemas.openxmlformats.org/drawingml/2006/picture">
                <pic:pic>
                  <pic:nvPicPr>
                    <pic:cNvPr id="0" name="fly_output_tract_SIMULATED.png"/>
                    <pic:cNvPicPr/>
                  </pic:nvPicPr>
                  <pic:blipFill>
                    <a:blip r:embed="rId30"/>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19" name="Picture 19"/>
            <wp:cNvGraphicFramePr>
              <a:graphicFrameLocks noChangeAspect="1"/>
            </wp:cNvGraphicFramePr>
            <a:graphic>
              <a:graphicData uri="http://schemas.openxmlformats.org/drawingml/2006/picture">
                <pic:pic>
                  <pic:nvPicPr>
                    <pic:cNvPr id="0" name="fly_direction_SIMULATED.png"/>
                    <pic:cNvPicPr/>
                  </pic:nvPicPr>
                  <pic:blipFill>
                    <a:blip r:embed="rId31"/>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20" name="Picture 20"/>
            <wp:cNvGraphicFramePr>
              <a:graphicFrameLocks noChangeAspect="1"/>
            </wp:cNvGraphicFramePr>
            <a:graphic>
              <a:graphicData uri="http://schemas.openxmlformats.org/drawingml/2006/picture">
                <pic:pic>
                  <pic:nvPicPr>
                    <pic:cNvPr id="0" name="fly_motor_onsets_SIMULATED.png"/>
                    <pic:cNvPicPr/>
                  </pic:nvPicPr>
                  <pic:blipFill>
                    <a:blip r:embed="rId32"/>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1" name="Picture 21"/>
            <wp:cNvGraphicFramePr>
              <a:graphicFrameLocks noChangeAspect="1"/>
            </wp:cNvGraphicFramePr>
            <a:graphic>
              <a:graphicData uri="http://schemas.openxmlformats.org/drawingml/2006/picture">
                <pic:pic>
                  <pic:nvPicPr>
                    <pic:cNvPr id="0" name="fly_motor_tie_break_SIMULATED.png"/>
                    <pic:cNvPicPr/>
                  </pic:nvPicPr>
                  <pic:blipFill>
                    <a:blip r:embed="rId33"/>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 registered check finds no rhythm when the volumes are shuffled across neurons, so the rhythm needs the identified neurons' own volumes. A promotor-remotor offset seen once did not replicate reliably,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Read through a fictive walking rhythm alone, GABA-A and GluCl block break it well before the chip flags them; whether acetylcholine block is caught first depends on how the rhythm is scored (a registered retest counts its low-dose rise in rhythm as a change at 0.2), so it is not claimed.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360" w:after="120"/>
      </w:pPr>
      <w:r>
        <w:rPr>
          <w:rFonts w:ascii="Calibri" w:hAnsi="Calibri"/>
          <w:b/>
          <w:i w:val="0"/>
          <w:color w:val="2F5597"/>
          <w:sz w:val="27"/>
        </w:rPr>
        <w:t>ACT IX: What a real screen's untreated wells say (after round 1)</w:t>
      </w:r>
    </w:p>
    <w:p>
      <w:pPr>
        <w:spacing w:after="120"/>
      </w:pPr>
      <w:r>
        <w:rPr>
          <w:rFonts w:ascii="Calibri" w:hAnsi="Calibri"/>
          <w:b w:val="0"/>
          <w:i/>
          <w:color w:val="222222"/>
          <w:sz w:val="21"/>
        </w:rPr>
        <w:t xml:space="preserve">Added after the first-round deadline (`report/POST_SUBMISSION_CHANGES.md`, entry 42). Unlike Acts VII and VIII, the measurements in this act are </w:t>
      </w:r>
      <w:r>
        <w:rPr>
          <w:rFonts w:ascii="Calibri" w:hAnsi="Calibri"/>
          <w:b w:val="0"/>
          <w:i/>
          <w:color w:val="222222"/>
          <w:sz w:val="21"/>
        </w:rPr>
        <w:t>real</w:t>
      </w:r>
      <w:r>
        <w:rPr>
          <w:rFonts w:ascii="Calibri" w:hAnsi="Calibri"/>
          <w:b w:val="0"/>
          <w:i/>
          <w:color w:val="222222"/>
          <w:sz w:val="21"/>
        </w:rPr>
        <w:t>: well-level recordings from the EPA's acute MEA screen. The twin's side of §33 and §35 is simulated and labelled so. All three analyses were registered before any response statistic was computed (`preregistration/toxcast_noise_floors.json`, `preregistration/twin_toxcast_positive_controls.json`, `preregistration/twin_toxcast_dose_response.json`). This is research decision support about measurement design; nothing here is a claim about any compound's effect.</w:t>
      </w:r>
    </w:p>
    <w:p>
      <w:pPr>
        <w:keepNext/>
        <w:spacing w:before="240" w:after="60"/>
      </w:pPr>
      <w:r>
        <w:rPr>
          <w:rFonts w:ascii="Calibri" w:hAnsi="Calibri"/>
          <w:b/>
          <w:i w:val="0"/>
          <w:color w:val="1F4E79"/>
          <w:sz w:val="23"/>
        </w:rPr>
        <w:t>32. How large a change can a chip see? The noise floor, per feature</w:t>
      </w:r>
    </w:p>
    <w:p>
      <w:pPr>
        <w:spacing w:after="120"/>
      </w:pPr>
      <w:r>
        <w:rPr>
          <w:rFonts w:ascii="Calibri" w:hAnsi="Calibri"/>
          <w:b w:val="0"/>
          <w:i w:val="0"/>
          <w:color w:val="222222"/>
          <w:sz w:val="21"/>
        </w:rPr>
        <w:t xml:space="preserve">A lab that wants to use a neural chip has to answer a plain question before any modelling: how many wells does it take to see a fall of a fifth, and in which readout? The answer depends on how much an </w:t>
      </w:r>
      <w:r>
        <w:rPr>
          <w:rFonts w:ascii="Calibri" w:hAnsi="Calibri"/>
          <w:b w:val="0"/>
          <w:i/>
          <w:color w:val="222222"/>
          <w:sz w:val="21"/>
        </w:rPr>
        <w:t>untreated</w:t>
      </w:r>
      <w:r>
        <w:rPr>
          <w:rFonts w:ascii="Calibri" w:hAnsi="Calibri"/>
          <w:b w:val="0"/>
          <w:i w:val="0"/>
          <w:color w:val="222222"/>
          <w:sz w:val="21"/>
        </w:rPr>
        <w:t xml:space="preserve"> well moves on its own, and on whether that movement is shared by wells recorded on the same day. Neither number is in the published curve fits we used in round 1. Both are in the EPA's raw database.</w:t>
      </w:r>
    </w:p>
    <w:p>
      <w:pPr>
        <w:keepNext/>
        <w:spacing w:after="120"/>
      </w:pPr>
      <w:r>
        <w:rPr>
          <w:rFonts w:ascii="Calibri" w:hAnsi="Calibri"/>
          <w:b/>
          <w:i w:val="0"/>
          <w:color w:val="156082"/>
          <w:sz w:val="21"/>
        </w:rPr>
        <w:t>The data.</w:t>
      </w:r>
      <w:r>
        <w:rPr>
          <w:rFonts w:ascii="Calibri" w:hAnsi="Calibri"/>
          <w:b w:val="0"/>
          <w:i w:val="0"/>
          <w:color w:val="222222"/>
          <w:sz w:val="21"/>
        </w:rPr>
        <w:t xml:space="preserve"> The EPA's ToxCast database (invitrodb, CC0) holds every well of its acute MEA screen: rat cortical cultures on 48-well plates, each well recorded 40 minutes before and 40 minutes after exposure, stored as the percent change from its own baseline. We read its full MySQL dump as text, never executing it, and extracted the 15 electrophysiology readouts (</w:t>
      </w:r>
      <w:r>
        <w:rPr>
          <w:rFonts w:ascii="Consolas" w:hAnsi="Consolas"/>
          <w:b w:val="0"/>
          <w:i w:val="0"/>
          <w:color w:val="222222"/>
          <w:sz w:val="19"/>
        </w:rPr>
        <w:t>neuromps.etl.toxcast_wells</w:t>
      </w:r>
      <w:r>
        <w:rPr>
          <w:rFonts w:ascii="Calibri" w:hAnsi="Calibri"/>
          <w:b w:val="0"/>
          <w:i w:val="0"/>
          <w:color w:val="222222"/>
          <w:sz w:val="21"/>
        </w:rPr>
        <w:t>). Seven of these readouts, firing rate among them, have no well rows in the public dump; we recovered them from the dump's own row numbering and checked the recovery against values the database stores independently: concentrations agree on every row and each exposure date's stored baseline is reproduced on every date (</w:t>
      </w:r>
      <w:r>
        <w:rPr>
          <w:rFonts w:ascii="Consolas" w:hAnsi="Consolas"/>
          <w:b w:val="0"/>
          <w:i w:val="0"/>
          <w:color w:val="222222"/>
          <w:sz w:val="19"/>
        </w:rPr>
        <w:t>neuromps.etl.toxcast_recover</w:t>
      </w:r>
      <w:r>
        <w:rPr>
          <w:rFonts w:ascii="Calibri" w:hAnsi="Calibri"/>
          <w:b w:val="0"/>
          <w:i w:val="0"/>
          <w:color w:val="222222"/>
          <w:sz w:val="21"/>
        </w:rPr>
        <w:t xml:space="preserve">; checks in </w:t>
      </w:r>
      <w:r>
        <w:rPr>
          <w:rFonts w:ascii="Consolas" w:hAnsi="Consolas"/>
          <w:b w:val="0"/>
          <w:i w:val="0"/>
          <w:color w:val="222222"/>
          <w:sz w:val="19"/>
        </w:rPr>
        <w:t>data/interim/toxcast_mea/recovery_checks.json</w:t>
      </w:r>
      <w:r>
        <w:rPr>
          <w:rFonts w:ascii="Calibri" w:hAnsi="Calibri"/>
          <w:b w:val="0"/>
          <w:i w:val="0"/>
          <w:color w:val="222222"/>
          <w:sz w:val="21"/>
        </w:rPr>
        <w:t>). The vehicle wells (DMSO or water) are the untreated reference: 714 wells on 97 exposure dates and 274 physical plates.</w:t>
      </w:r>
    </w:p>
    <w:p>
      <w:pPr>
        <w:keepNext/>
        <w:spacing w:before="120" w:after="40"/>
        <w:jc w:val="center"/>
      </w:pPr>
      <w:r>
        <w:drawing>
          <wp:inline xmlns:a="http://schemas.openxmlformats.org/drawingml/2006/main" xmlns:pic="http://schemas.openxmlformats.org/drawingml/2006/picture">
            <wp:extent cx="5394960" cy="2062560"/>
            <wp:docPr id="22" name="Picture 22"/>
            <wp:cNvGraphicFramePr>
              <a:graphicFrameLocks noChangeAspect="1"/>
            </wp:cNvGraphicFramePr>
            <a:graphic>
              <a:graphicData uri="http://schemas.openxmlformats.org/drawingml/2006/picture">
                <pic:pic>
                  <pic:nvPicPr>
                    <pic:cNvPr id="0" name="toxcast_noise_floors_real.png"/>
                    <pic:cNvPicPr/>
                  </pic:nvPicPr>
                  <pic:blipFill>
                    <a:blip r:embed="rId34"/>
                    <a:stretch>
                      <a:fillRect/>
                    </a:stretch>
                  </pic:blipFill>
                  <pic:spPr>
                    <a:xfrm>
                      <a:off x="0" y="0"/>
                      <a:ext cx="5394960" cy="2062560"/>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REAL ToxCast acute MEA vehicle wells. Left: each untreated well's change from its own baseline, 5th to 95th percentile (bar) and median (dot), per readout. Middle: the share of that variance carried by the exposure date, with a 95% interval from resampling dates. Right: the firing-rate fall detectable at 5% false alarms with 80% power against the number of wells, for three designs.</w:t>
      </w:r>
    </w:p>
    <w:p>
      <w:pPr>
        <w:spacing w:after="120"/>
      </w:pPr>
      <w:r>
        <w:rPr>
          <w:rFonts w:ascii="Calibri" w:hAnsi="Calibri"/>
          <w:b/>
          <w:i w:val="0"/>
          <w:color w:val="156082"/>
          <w:sz w:val="21"/>
        </w:rPr>
        <w:t>Three findings a chip user needs.</w:t>
      </w:r>
    </w:p>
    <w:p>
      <w:pPr>
        <w:spacing w:after="120"/>
        <w:ind w:left="432" w:hanging="259"/>
      </w:pPr>
      <w:r>
        <w:rPr>
          <w:rFonts w:ascii="Calibri" w:hAnsi="Calibri"/>
          <w:b w:val="0"/>
          <w:i w:val="0"/>
          <w:color w:val="222222"/>
          <w:sz w:val="21"/>
        </w:rPr>
        <w:t>1.</w:t>
        <w:tab/>
      </w:r>
      <w:r>
        <w:rPr>
          <w:rFonts w:ascii="Calibri" w:hAnsi="Calibri"/>
          <w:b/>
          <w:i w:val="0"/>
          <w:color w:val="156082"/>
          <w:sz w:val="21"/>
        </w:rPr>
        <w:t>Untreated wells drift, and by a lot.</w:t>
      </w:r>
      <w:r>
        <w:rPr>
          <w:rFonts w:ascii="Calibri" w:hAnsi="Calibri"/>
          <w:b w:val="0"/>
          <w:i w:val="0"/>
          <w:color w:val="222222"/>
          <w:sz w:val="21"/>
        </w:rPr>
        <w:t xml:space="preserve"> Over the 40-minute exposure window an untreated well's firing rate falls by a median of −32%, and one well in twenty falls by more than −69%. A treated well read only against its own baseline would show a large "effect" with no drug at all. Every change must be read against vehicle wells. Burst counts and cross-correlation drift the same way; burst shape, synchrony and network-burst readouts barely drift.</w:t>
      </w:r>
    </w:p>
    <w:p>
      <w:pPr>
        <w:spacing w:after="120"/>
        <w:ind w:left="432" w:hanging="259"/>
      </w:pPr>
      <w:r>
        <w:rPr>
          <w:rFonts w:ascii="Calibri" w:hAnsi="Calibri"/>
          <w:b w:val="0"/>
          <w:i w:val="0"/>
          <w:color w:val="222222"/>
          <w:sz w:val="21"/>
        </w:rPr>
        <w:t>2.</w:t>
        <w:tab/>
      </w:r>
      <w:r>
        <w:rPr>
          <w:rFonts w:ascii="Calibri" w:hAnsi="Calibri"/>
          <w:b/>
          <w:i w:val="0"/>
          <w:color w:val="156082"/>
          <w:sz w:val="21"/>
        </w:rPr>
        <w:t>Much of the noise is the day, not the well.</w:t>
      </w:r>
      <w:r>
        <w:rPr>
          <w:rFonts w:ascii="Calibri" w:hAnsi="Calibri"/>
          <w:b w:val="0"/>
          <w:i w:val="0"/>
          <w:color w:val="222222"/>
          <w:sz w:val="21"/>
        </w:rPr>
        <w:t xml:space="preserve"> The exposure date carries 0.42 of the variance in vehicle firing rate (95% interval 0.31 to 0.54, resampling dates); the physical plate adds almost nothing beyond it (plate share 0.40). Wells recorded on one day share that day's offset, so adding more of them does not average it away.</w:t>
      </w:r>
    </w:p>
    <w:p>
      <w:pPr>
        <w:spacing w:after="120"/>
        <w:ind w:left="432" w:hanging="259"/>
      </w:pPr>
      <w:r>
        <w:rPr>
          <w:rFonts w:ascii="Calibri" w:hAnsi="Calibri"/>
          <w:b w:val="0"/>
          <w:i w:val="0"/>
          <w:color w:val="222222"/>
          <w:sz w:val="21"/>
        </w:rPr>
        <w:t>3.</w:t>
        <w:tab/>
      </w:r>
      <w:r>
        <w:rPr>
          <w:rFonts w:ascii="Calibri" w:hAnsi="Calibri"/>
          <w:b/>
          <w:i w:val="0"/>
          <w:color w:val="156082"/>
          <w:sz w:val="21"/>
        </w:rPr>
        <w:t>So the design matters more than the well count.</w:t>
      </w:r>
      <w:r>
        <w:rPr>
          <w:rFonts w:ascii="Calibri" w:hAnsi="Calibri"/>
          <w:b w:val="0"/>
          <w:i w:val="0"/>
          <w:color w:val="222222"/>
          <w:sz w:val="21"/>
        </w:rPr>
        <w:t xml:space="preserve"> For a 20% fall in firing rate: 32 wells spread over independent dates suffice; the same number from one date, judged against the screen's historical vehicle mean, never does (more than 96 wells; even a 50% fall stays out of reach, since 96 wells from one date detect only a 52% fall); and wells from one date judged against the same number of vehicle wells from that date need 32 of each. For a 50% fall the counts are 3 independent wells, or 4 treated and 4 vehicle wells on one date. A single well detects only a fall of 68% or more, and rises are harder to see than falls of the same percentage (a 20% rise needs 48 independent wells).</w:t>
      </w:r>
    </w:p>
    <w:p>
      <w:pPr>
        <w:keepNext/>
        <w:spacing w:after="120"/>
      </w:pPr>
      <w:r>
        <w:rPr>
          <w:rFonts w:ascii="Calibri" w:hAnsi="Calibri"/>
          <w:b/>
          <w:i w:val="0"/>
          <w:color w:val="156082"/>
          <w:sz w:val="21"/>
        </w:rPr>
        <w:t>Wells needed to detect a fall, per readout</w:t>
      </w:r>
      <w:r>
        <w:rPr>
          <w:rFonts w:ascii="Calibri" w:hAnsi="Calibri"/>
          <w:b w:val="0"/>
          <w:i w:val="0"/>
          <w:color w:val="222222"/>
          <w:sz w:val="21"/>
        </w:rPr>
        <w:t xml:space="preserve"> (two-sided false alarms at 5% per test, power 80%; smallest count on the grid 1 to 96; A: wells spread over independent dates; B: all wells from one date against the historical vehicle mean; C: that many treated </w:t>
      </w:r>
      <w:r>
        <w:rPr>
          <w:rFonts w:ascii="Calibri" w:hAnsi="Calibri"/>
          <w:b w:val="0"/>
          <w:i/>
          <w:color w:val="222222"/>
          <w:sz w:val="21"/>
        </w:rPr>
        <w:t>and</w:t>
      </w:r>
      <w:r>
        <w:rPr>
          <w:rFonts w:ascii="Calibri" w:hAnsi="Calibri"/>
          <w:b w:val="0"/>
          <w:i w:val="0"/>
          <w:color w:val="222222"/>
          <w:sz w:val="21"/>
        </w:rPr>
        <w:t xml:space="preserve"> that many vehicle wells on one date; sorted by noise floor; every vehicle well of the screen, DMSO and water):</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43"/>
        <w:gridCol w:w="1898"/>
        <w:gridCol w:w="1079"/>
        <w:gridCol w:w="887"/>
        <w:gridCol w:w="1294"/>
        <w:gridCol w:w="1294"/>
      </w:tblGrid>
      <w:tr>
        <w:trPr>
          <w:cantSplit/>
          <w:tblHeader/>
        </w:trPr>
        <w:tc>
          <w:tcPr>
            <w:tcW w:type="dxa" w:w="2043"/>
            <w:shd w:val="clear" w:color="auto" w:fill="1F4E79"/>
            <w:vAlign w:val="center"/>
          </w:tcPr>
          <w:p>
            <w:pPr>
              <w:keepNext/>
              <w:spacing w:after="0"/>
            </w:pPr>
            <w:r>
              <w:rPr>
                <w:rFonts w:ascii="Calibri" w:hAnsi="Calibri"/>
                <w:b/>
                <w:i w:val="0"/>
                <w:color w:val="FFFFFF"/>
                <w:sz w:val="20"/>
              </w:rPr>
              <w:t>readout</w:t>
            </w:r>
          </w:p>
        </w:tc>
        <w:tc>
          <w:tcPr>
            <w:tcW w:type="dxa" w:w="1898"/>
            <w:shd w:val="clear" w:color="auto" w:fill="1F4E79"/>
            <w:vAlign w:val="center"/>
          </w:tcPr>
          <w:p>
            <w:pPr>
              <w:keepNext/>
              <w:spacing w:after="0"/>
            </w:pPr>
            <w:r>
              <w:rPr>
                <w:rFonts w:ascii="Calibri" w:hAnsi="Calibri"/>
                <w:b/>
                <w:i w:val="0"/>
                <w:color w:val="FFFFFF"/>
                <w:sz w:val="20"/>
              </w:rPr>
              <w:t>untreated change, median (5th to 95th pct.)</w:t>
            </w:r>
          </w:p>
        </w:tc>
        <w:tc>
          <w:tcPr>
            <w:tcW w:type="dxa" w:w="1079"/>
            <w:shd w:val="clear" w:color="auto" w:fill="1F4E79"/>
            <w:vAlign w:val="center"/>
          </w:tcPr>
          <w:p>
            <w:pPr>
              <w:keepNext/>
              <w:spacing w:after="0"/>
              <w:jc w:val="center"/>
            </w:pPr>
            <w:r>
              <w:rPr>
                <w:rFonts w:ascii="Calibri" w:hAnsi="Calibri"/>
                <w:b/>
                <w:i w:val="0"/>
                <w:color w:val="FFFFFF"/>
                <w:sz w:val="20"/>
              </w:rPr>
              <w:t>abs. q95 (log2)</w:t>
            </w:r>
          </w:p>
        </w:tc>
        <w:tc>
          <w:tcPr>
            <w:tcW w:type="dxa" w:w="887"/>
            <w:shd w:val="clear" w:color="auto" w:fill="1F4E79"/>
            <w:vAlign w:val="center"/>
          </w:tcPr>
          <w:p>
            <w:pPr>
              <w:keepNext/>
              <w:spacing w:after="0"/>
              <w:jc w:val="center"/>
            </w:pPr>
            <w:r>
              <w:rPr>
                <w:rFonts w:ascii="Calibri" w:hAnsi="Calibri"/>
                <w:b/>
                <w:i w:val="0"/>
                <w:color w:val="FFFFFF"/>
                <w:sz w:val="20"/>
              </w:rPr>
              <w:t>date share</w:t>
            </w:r>
          </w:p>
        </w:tc>
        <w:tc>
          <w:tcPr>
            <w:tcW w:type="dxa" w:w="1294"/>
            <w:shd w:val="clear" w:color="auto" w:fill="1F4E79"/>
            <w:vAlign w:val="center"/>
          </w:tcPr>
          <w:p>
            <w:pPr>
              <w:keepNext/>
              <w:spacing w:after="0"/>
            </w:pPr>
            <w:r>
              <w:rPr>
                <w:rFonts w:ascii="Calibri" w:hAnsi="Calibri"/>
                <w:b/>
                <w:i w:val="0"/>
                <w:color w:val="FFFFFF"/>
                <w:sz w:val="20"/>
              </w:rPr>
              <w:t>wells for a 20% fall (A / B / C)</w:t>
            </w:r>
          </w:p>
        </w:tc>
        <w:tc>
          <w:tcPr>
            <w:tcW w:type="dxa" w:w="1294"/>
            <w:shd w:val="clear" w:color="auto" w:fill="1F4E79"/>
            <w:vAlign w:val="center"/>
          </w:tcPr>
          <w:p>
            <w:pPr>
              <w:keepNext/>
              <w:spacing w:after="0"/>
            </w:pPr>
            <w:r>
              <w:rPr>
                <w:rFonts w:ascii="Calibri" w:hAnsi="Calibri"/>
                <w:b/>
                <w:i w:val="0"/>
                <w:color w:val="FFFFFF"/>
                <w:sz w:val="20"/>
              </w:rPr>
              <w:t>wells for a 50% fall (A / B / C)</w:t>
            </w:r>
          </w:p>
        </w:tc>
      </w:tr>
      <w:tr>
        <w:trPr>
          <w:cantSplit/>
        </w:trPr>
        <w:tc>
          <w:tcPr>
            <w:tcW w:type="dxa" w:w="2043"/>
            <w:shd w:val="clear" w:color="auto" w:fill="FFFFFF"/>
            <w:vAlign w:val="center"/>
          </w:tcPr>
          <w:p>
            <w:pPr>
              <w:keepNext/>
              <w:spacing w:after="0"/>
            </w:pPr>
            <w:r>
              <w:rPr>
                <w:rFonts w:ascii="Calibri" w:hAnsi="Calibri"/>
                <w:b/>
                <w:i w:val="0"/>
                <w:color w:val="222222"/>
                <w:sz w:val="20"/>
              </w:rPr>
              <w:t>network burst percentage</w:t>
            </w:r>
          </w:p>
        </w:tc>
        <w:tc>
          <w:tcPr>
            <w:tcW w:type="dxa" w:w="1898"/>
            <w:shd w:val="clear" w:color="auto" w:fill="FFFFFF"/>
            <w:vAlign w:val="center"/>
          </w:tcPr>
          <w:p>
            <w:pPr>
              <w:keepNext/>
              <w:spacing w:after="0"/>
            </w:pPr>
            <w:r>
              <w:rPr>
                <w:rFonts w:ascii="Calibri" w:hAnsi="Calibri"/>
                <w:b w:val="0"/>
                <w:i w:val="0"/>
                <w:color w:val="222222"/>
                <w:sz w:val="20"/>
              </w:rPr>
              <w:t>−1% (−12% to +2%)</w:t>
            </w:r>
          </w:p>
        </w:tc>
        <w:tc>
          <w:tcPr>
            <w:tcW w:type="dxa" w:w="1079"/>
            <w:shd w:val="clear" w:color="auto" w:fill="FFFFFF"/>
            <w:vAlign w:val="center"/>
          </w:tcPr>
          <w:p>
            <w:pPr>
              <w:keepNext/>
              <w:spacing w:after="0"/>
              <w:jc w:val="center"/>
            </w:pPr>
            <w:r>
              <w:rPr>
                <w:rFonts w:ascii="Calibri" w:hAnsi="Calibri"/>
                <w:b w:val="0"/>
                <w:i w:val="0"/>
                <w:color w:val="222222"/>
                <w:sz w:val="20"/>
              </w:rPr>
              <w:t>0.20</w:t>
            </w:r>
          </w:p>
        </w:tc>
        <w:tc>
          <w:tcPr>
            <w:tcW w:type="dxa" w:w="887"/>
            <w:shd w:val="clear" w:color="auto" w:fill="FFFFFF"/>
            <w:vAlign w:val="center"/>
          </w:tcPr>
          <w:p>
            <w:pPr>
              <w:keepNext/>
              <w:spacing w:after="0"/>
              <w:jc w:val="center"/>
            </w:pPr>
            <w:r>
              <w:rPr>
                <w:rFonts w:ascii="Calibri" w:hAnsi="Calibri"/>
                <w:b w:val="0"/>
                <w:i w:val="0"/>
                <w:color w:val="222222"/>
                <w:sz w:val="20"/>
              </w:rPr>
              <w:t>0.18</w:t>
            </w:r>
          </w:p>
        </w:tc>
        <w:tc>
          <w:tcPr>
            <w:tcW w:type="dxa" w:w="1294"/>
            <w:shd w:val="clear" w:color="auto" w:fill="FFFFFF"/>
            <w:vAlign w:val="center"/>
          </w:tcPr>
          <w:p>
            <w:pPr>
              <w:keepNext/>
              <w:spacing w:after="0"/>
              <w:jc w:val="center"/>
            </w:pPr>
            <w:r>
              <w:rPr>
                <w:rFonts w:ascii="Calibri" w:hAnsi="Calibri"/>
                <w:b w:val="0"/>
                <w:i w:val="0"/>
                <w:color w:val="222222"/>
                <w:sz w:val="20"/>
              </w:rPr>
              <w:t>3 / 8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synchrony index</w:t>
            </w:r>
          </w:p>
        </w:tc>
        <w:tc>
          <w:tcPr>
            <w:tcW w:type="dxa" w:w="1898"/>
            <w:shd w:val="clear" w:color="auto" w:fill="F7F9FB"/>
            <w:vAlign w:val="center"/>
          </w:tcPr>
          <w:p>
            <w:pPr>
              <w:keepNext/>
              <w:spacing w:after="0"/>
            </w:pPr>
            <w:r>
              <w:rPr>
                <w:rFonts w:ascii="Calibri" w:hAnsi="Calibri"/>
                <w:b w:val="0"/>
                <w:i w:val="0"/>
                <w:color w:val="222222"/>
                <w:sz w:val="20"/>
              </w:rPr>
              <w:t>−4% (−16% to +3%)</w:t>
            </w:r>
          </w:p>
        </w:tc>
        <w:tc>
          <w:tcPr>
            <w:tcW w:type="dxa" w:w="1079"/>
            <w:shd w:val="clear" w:color="auto" w:fill="F7F9FB"/>
            <w:vAlign w:val="center"/>
          </w:tcPr>
          <w:p>
            <w:pPr>
              <w:keepNext/>
              <w:spacing w:after="0"/>
              <w:jc w:val="center"/>
            </w:pPr>
            <w:r>
              <w:rPr>
                <w:rFonts w:ascii="Calibri" w:hAnsi="Calibri"/>
                <w:b w:val="0"/>
                <w:i w:val="0"/>
                <w:color w:val="222222"/>
                <w:sz w:val="20"/>
              </w:rPr>
              <w:t>0.26</w:t>
            </w:r>
          </w:p>
        </w:tc>
        <w:tc>
          <w:tcPr>
            <w:tcW w:type="dxa" w:w="887"/>
            <w:shd w:val="clear" w:color="auto" w:fill="F7F9FB"/>
            <w:vAlign w:val="center"/>
          </w:tcPr>
          <w:p>
            <w:pPr>
              <w:keepNext/>
              <w:spacing w:after="0"/>
              <w:jc w:val="center"/>
            </w:pPr>
            <w:r>
              <w:rPr>
                <w:rFonts w:ascii="Calibri" w:hAnsi="Calibri"/>
                <w:b w:val="0"/>
                <w:i w:val="0"/>
                <w:color w:val="222222"/>
                <w:sz w:val="20"/>
              </w:rPr>
              <w:t>0.32</w:t>
            </w:r>
          </w:p>
        </w:tc>
        <w:tc>
          <w:tcPr>
            <w:tcW w:type="dxa" w:w="1294"/>
            <w:shd w:val="clear" w:color="auto" w:fill="F7F9FB"/>
            <w:vAlign w:val="center"/>
          </w:tcPr>
          <w:p>
            <w:pPr>
              <w:keepNext/>
              <w:spacing w:after="0"/>
              <w:jc w:val="center"/>
            </w:pPr>
            <w:r>
              <w:rPr>
                <w:rFonts w:ascii="Calibri" w:hAnsi="Calibri"/>
                <w:b w:val="0"/>
                <w:i w:val="0"/>
                <w:color w:val="222222"/>
                <w:sz w:val="20"/>
              </w:rPr>
              <w:t>6 / 12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electrodes number mean</w:t>
            </w:r>
          </w:p>
        </w:tc>
        <w:tc>
          <w:tcPr>
            <w:tcW w:type="dxa" w:w="1898"/>
            <w:shd w:val="clear" w:color="auto" w:fill="FFFFFF"/>
            <w:vAlign w:val="center"/>
          </w:tcPr>
          <w:p>
            <w:pPr>
              <w:keepNext/>
              <w:spacing w:after="0"/>
            </w:pPr>
            <w:r>
              <w:rPr>
                <w:rFonts w:ascii="Calibri" w:hAnsi="Calibri"/>
                <w:b w:val="0"/>
                <w:i w:val="0"/>
                <w:color w:val="222222"/>
                <w:sz w:val="20"/>
              </w:rPr>
              <w:t>−6% (−21% to +10%)</w:t>
            </w:r>
          </w:p>
        </w:tc>
        <w:tc>
          <w:tcPr>
            <w:tcW w:type="dxa" w:w="1079"/>
            <w:shd w:val="clear" w:color="auto" w:fill="FFFFFF"/>
            <w:vAlign w:val="center"/>
          </w:tcPr>
          <w:p>
            <w:pPr>
              <w:keepNext/>
              <w:spacing w:after="0"/>
              <w:jc w:val="center"/>
            </w:pPr>
            <w:r>
              <w:rPr>
                <w:rFonts w:ascii="Calibri" w:hAnsi="Calibri"/>
                <w:b w:val="0"/>
                <w:i w:val="0"/>
                <w:color w:val="222222"/>
                <w:sz w:val="20"/>
              </w:rPr>
              <w:t>0.40</w:t>
            </w:r>
          </w:p>
        </w:tc>
        <w:tc>
          <w:tcPr>
            <w:tcW w:type="dxa" w:w="887"/>
            <w:shd w:val="clear" w:color="auto" w:fill="FFFFFF"/>
            <w:vAlign w:val="center"/>
          </w:tcPr>
          <w:p>
            <w:pPr>
              <w:keepNext/>
              <w:spacing w:after="0"/>
              <w:jc w:val="center"/>
            </w:pPr>
            <w:r>
              <w:rPr>
                <w:rFonts w:ascii="Calibri" w:hAnsi="Calibri"/>
                <w:b w:val="0"/>
                <w:i w:val="0"/>
                <w:color w:val="222222"/>
                <w:sz w:val="20"/>
              </w:rPr>
              <w:t>0.25</w:t>
            </w:r>
          </w:p>
        </w:tc>
        <w:tc>
          <w:tcPr>
            <w:tcW w:type="dxa" w:w="1294"/>
            <w:shd w:val="clear" w:color="auto" w:fill="FFFFFF"/>
            <w:vAlign w:val="center"/>
          </w:tcPr>
          <w:p>
            <w:pPr>
              <w:keepNext/>
              <w:spacing w:after="0"/>
              <w:jc w:val="center"/>
            </w:pPr>
            <w:r>
              <w:rPr>
                <w:rFonts w:ascii="Calibri" w:hAnsi="Calibri"/>
                <w:b w:val="0"/>
                <w:i w:val="0"/>
                <w:color w:val="222222"/>
                <w:sz w:val="20"/>
              </w:rPr>
              <w:t>3 / 4 / 4</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mean</w:t>
            </w:r>
          </w:p>
        </w:tc>
        <w:tc>
          <w:tcPr>
            <w:tcW w:type="dxa" w:w="1898"/>
            <w:shd w:val="clear" w:color="auto" w:fill="F7F9FB"/>
            <w:vAlign w:val="center"/>
          </w:tcPr>
          <w:p>
            <w:pPr>
              <w:keepNext/>
              <w:spacing w:after="0"/>
            </w:pPr>
            <w:r>
              <w:rPr>
                <w:rFonts w:ascii="Calibri" w:hAnsi="Calibri"/>
                <w:b w:val="0"/>
                <w:i w:val="0"/>
                <w:color w:val="222222"/>
                <w:sz w:val="20"/>
              </w:rPr>
              <w:t>−6% (−24% to +3%)</w:t>
            </w:r>
          </w:p>
        </w:tc>
        <w:tc>
          <w:tcPr>
            <w:tcW w:type="dxa" w:w="1079"/>
            <w:shd w:val="clear" w:color="auto" w:fill="F7F9FB"/>
            <w:vAlign w:val="center"/>
          </w:tcPr>
          <w:p>
            <w:pPr>
              <w:keepNext/>
              <w:spacing w:after="0"/>
              <w:jc w:val="center"/>
            </w:pPr>
            <w:r>
              <w:rPr>
                <w:rFonts w:ascii="Calibri" w:hAnsi="Calibri"/>
                <w:b w:val="0"/>
                <w:i w:val="0"/>
                <w:color w:val="222222"/>
                <w:sz w:val="20"/>
              </w:rPr>
              <w:t>0.40</w:t>
            </w:r>
          </w:p>
        </w:tc>
        <w:tc>
          <w:tcPr>
            <w:tcW w:type="dxa" w:w="887"/>
            <w:shd w:val="clear" w:color="auto" w:fill="F7F9FB"/>
            <w:vAlign w:val="center"/>
          </w:tcPr>
          <w:p>
            <w:pPr>
              <w:keepNext/>
              <w:spacing w:after="0"/>
              <w:jc w:val="center"/>
            </w:pPr>
            <w:r>
              <w:rPr>
                <w:rFonts w:ascii="Calibri" w:hAnsi="Calibri"/>
                <w:b w:val="0"/>
                <w:i w:val="0"/>
                <w:color w:val="222222"/>
                <w:sz w:val="20"/>
              </w:rPr>
              <w:t>0.39</w:t>
            </w:r>
          </w:p>
        </w:tc>
        <w:tc>
          <w:tcPr>
            <w:tcW w:type="dxa" w:w="1294"/>
            <w:shd w:val="clear" w:color="auto" w:fill="F7F9FB"/>
            <w:vAlign w:val="center"/>
          </w:tcPr>
          <w:p>
            <w:pPr>
              <w:keepNext/>
              <w:spacing w:after="0"/>
              <w:jc w:val="center"/>
            </w:pPr>
            <w:r>
              <w:rPr>
                <w:rFonts w:ascii="Calibri" w:hAnsi="Calibri"/>
                <w:b w:val="0"/>
                <w:i w:val="0"/>
                <w:color w:val="222222"/>
                <w:sz w:val="20"/>
              </w:rPr>
              <w:t>3 / 16 / 8</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burst spike number mean</w:t>
            </w:r>
          </w:p>
        </w:tc>
        <w:tc>
          <w:tcPr>
            <w:tcW w:type="dxa" w:w="1898"/>
            <w:shd w:val="clear" w:color="auto" w:fill="FFFFFF"/>
            <w:vAlign w:val="center"/>
          </w:tcPr>
          <w:p>
            <w:pPr>
              <w:keepNext/>
              <w:spacing w:after="0"/>
            </w:pPr>
            <w:r>
              <w:rPr>
                <w:rFonts w:ascii="Calibri" w:hAnsi="Calibri"/>
                <w:b w:val="0"/>
                <w:i w:val="0"/>
                <w:color w:val="222222"/>
                <w:sz w:val="20"/>
              </w:rPr>
              <w:t>−5% (−23% to +22%)</w:t>
            </w:r>
          </w:p>
        </w:tc>
        <w:tc>
          <w:tcPr>
            <w:tcW w:type="dxa" w:w="1079"/>
            <w:shd w:val="clear" w:color="auto" w:fill="FFFFFF"/>
            <w:vAlign w:val="center"/>
          </w:tcPr>
          <w:p>
            <w:pPr>
              <w:keepNext/>
              <w:spacing w:after="0"/>
              <w:jc w:val="center"/>
            </w:pPr>
            <w:r>
              <w:rPr>
                <w:rFonts w:ascii="Calibri" w:hAnsi="Calibri"/>
                <w:b w:val="0"/>
                <w:i w:val="0"/>
                <w:color w:val="222222"/>
                <w:sz w:val="20"/>
              </w:rPr>
              <w:t>0.43</w:t>
            </w:r>
          </w:p>
        </w:tc>
        <w:tc>
          <w:tcPr>
            <w:tcW w:type="dxa" w:w="887"/>
            <w:shd w:val="clear" w:color="auto" w:fill="FFFFFF"/>
            <w:vAlign w:val="center"/>
          </w:tcPr>
          <w:p>
            <w:pPr>
              <w:keepNext/>
              <w:spacing w:after="0"/>
              <w:jc w:val="center"/>
            </w:pPr>
            <w:r>
              <w:rPr>
                <w:rFonts w:ascii="Calibri" w:hAnsi="Calibri"/>
                <w:b w:val="0"/>
                <w:i w:val="0"/>
                <w:color w:val="222222"/>
                <w:sz w:val="20"/>
              </w:rPr>
              <w:t>0.33</w:t>
            </w:r>
          </w:p>
        </w:tc>
        <w:tc>
          <w:tcPr>
            <w:tcW w:type="dxa" w:w="1294"/>
            <w:shd w:val="clear" w:color="auto" w:fill="FFFFFF"/>
            <w:vAlign w:val="center"/>
          </w:tcPr>
          <w:p>
            <w:pPr>
              <w:keepNext/>
              <w:spacing w:after="0"/>
            </w:pPr>
            <w:r>
              <w:rPr>
                <w:rFonts w:ascii="Calibri" w:hAnsi="Calibri"/>
                <w:b w:val="0"/>
                <w:i w:val="0"/>
                <w:color w:val="222222"/>
                <w:sz w:val="20"/>
              </w:rPr>
              <w:t>4 / &gt;96 / 6</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cross correlation HWHM</w:t>
            </w:r>
          </w:p>
        </w:tc>
        <w:tc>
          <w:tcPr>
            <w:tcW w:type="dxa" w:w="1898"/>
            <w:shd w:val="clear" w:color="auto" w:fill="F7F9FB"/>
            <w:vAlign w:val="center"/>
          </w:tcPr>
          <w:p>
            <w:pPr>
              <w:keepNext/>
              <w:spacing w:after="0"/>
            </w:pPr>
            <w:r>
              <w:rPr>
                <w:rFonts w:ascii="Calibri" w:hAnsi="Calibri"/>
                <w:b w:val="0"/>
                <w:i w:val="0"/>
                <w:color w:val="222222"/>
                <w:sz w:val="20"/>
              </w:rPr>
              <w:t>+1% (−26% to +23%)</w:t>
            </w:r>
          </w:p>
        </w:tc>
        <w:tc>
          <w:tcPr>
            <w:tcW w:type="dxa" w:w="1079"/>
            <w:shd w:val="clear" w:color="auto" w:fill="F7F9FB"/>
            <w:vAlign w:val="center"/>
          </w:tcPr>
          <w:p>
            <w:pPr>
              <w:keepNext/>
              <w:spacing w:after="0"/>
              <w:jc w:val="center"/>
            </w:pPr>
            <w:r>
              <w:rPr>
                <w:rFonts w:ascii="Calibri" w:hAnsi="Calibri"/>
                <w:b w:val="0"/>
                <w:i w:val="0"/>
                <w:color w:val="222222"/>
                <w:sz w:val="20"/>
              </w:rPr>
              <w:t>0.49</w:t>
            </w:r>
          </w:p>
        </w:tc>
        <w:tc>
          <w:tcPr>
            <w:tcW w:type="dxa" w:w="887"/>
            <w:shd w:val="clear" w:color="auto" w:fill="F7F9FB"/>
            <w:vAlign w:val="center"/>
          </w:tcPr>
          <w:p>
            <w:pPr>
              <w:keepNext/>
              <w:spacing w:after="0"/>
              <w:jc w:val="center"/>
            </w:pPr>
            <w:r>
              <w:rPr>
                <w:rFonts w:ascii="Calibri" w:hAnsi="Calibri"/>
                <w:b w:val="0"/>
                <w:i w:val="0"/>
                <w:color w:val="222222"/>
                <w:sz w:val="20"/>
              </w:rPr>
              <w:t>0.33</w:t>
            </w:r>
          </w:p>
        </w:tc>
        <w:tc>
          <w:tcPr>
            <w:tcW w:type="dxa" w:w="1294"/>
            <w:shd w:val="clear" w:color="auto" w:fill="F7F9FB"/>
            <w:vAlign w:val="center"/>
          </w:tcPr>
          <w:p>
            <w:pPr>
              <w:keepNext/>
              <w:spacing w:after="0"/>
            </w:pPr>
            <w:r>
              <w:rPr>
                <w:rFonts w:ascii="Calibri" w:hAnsi="Calibri"/>
                <w:b w:val="0"/>
                <w:i w:val="0"/>
                <w:color w:val="222222"/>
                <w:sz w:val="20"/>
              </w:rPr>
              <w:t>6 / &gt;96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burst duration mean</w:t>
            </w:r>
          </w:p>
        </w:tc>
        <w:tc>
          <w:tcPr>
            <w:tcW w:type="dxa" w:w="1898"/>
            <w:shd w:val="clear" w:color="auto" w:fill="FFFFFF"/>
            <w:vAlign w:val="center"/>
          </w:tcPr>
          <w:p>
            <w:pPr>
              <w:keepNext/>
              <w:spacing w:after="0"/>
            </w:pPr>
            <w:r>
              <w:rPr>
                <w:rFonts w:ascii="Calibri" w:hAnsi="Calibri"/>
                <w:b w:val="0"/>
                <w:i w:val="0"/>
                <w:color w:val="222222"/>
                <w:sz w:val="20"/>
              </w:rPr>
              <w:t>+4% (−20% to +43%)</w:t>
            </w:r>
          </w:p>
        </w:tc>
        <w:tc>
          <w:tcPr>
            <w:tcW w:type="dxa" w:w="1079"/>
            <w:shd w:val="clear" w:color="auto" w:fill="FFFFFF"/>
            <w:vAlign w:val="center"/>
          </w:tcPr>
          <w:p>
            <w:pPr>
              <w:keepNext/>
              <w:spacing w:after="0"/>
              <w:jc w:val="center"/>
            </w:pPr>
            <w:r>
              <w:rPr>
                <w:rFonts w:ascii="Calibri" w:hAnsi="Calibri"/>
                <w:b w:val="0"/>
                <w:i w:val="0"/>
                <w:color w:val="222222"/>
                <w:sz w:val="20"/>
              </w:rPr>
              <w:t>0.54</w:t>
            </w:r>
          </w:p>
        </w:tc>
        <w:tc>
          <w:tcPr>
            <w:tcW w:type="dxa" w:w="887"/>
            <w:shd w:val="clear" w:color="auto" w:fill="FFFFFF"/>
            <w:vAlign w:val="center"/>
          </w:tcPr>
          <w:p>
            <w:pPr>
              <w:keepNext/>
              <w:spacing w:after="0"/>
              <w:jc w:val="center"/>
            </w:pPr>
            <w:r>
              <w:rPr>
                <w:rFonts w:ascii="Calibri" w:hAnsi="Calibri"/>
                <w:b w:val="0"/>
                <w:i w:val="0"/>
                <w:color w:val="222222"/>
                <w:sz w:val="20"/>
              </w:rPr>
              <w:t>0.36</w:t>
            </w:r>
          </w:p>
        </w:tc>
        <w:tc>
          <w:tcPr>
            <w:tcW w:type="dxa" w:w="1294"/>
            <w:shd w:val="clear" w:color="auto" w:fill="FFFFFF"/>
            <w:vAlign w:val="center"/>
          </w:tcPr>
          <w:p>
            <w:pPr>
              <w:keepNext/>
              <w:spacing w:after="0"/>
            </w:pPr>
            <w:r>
              <w:rPr>
                <w:rFonts w:ascii="Calibri" w:hAnsi="Calibri"/>
                <w:b w:val="0"/>
                <w:i w:val="0"/>
                <w:color w:val="222222"/>
                <w:sz w:val="20"/>
              </w:rPr>
              <w:t>5 / &gt;96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per network burst spike number std</w:t>
            </w:r>
          </w:p>
        </w:tc>
        <w:tc>
          <w:tcPr>
            <w:tcW w:type="dxa" w:w="1898"/>
            <w:shd w:val="clear" w:color="auto" w:fill="F7F9FB"/>
            <w:vAlign w:val="center"/>
          </w:tcPr>
          <w:p>
            <w:pPr>
              <w:keepNext/>
              <w:spacing w:after="0"/>
            </w:pPr>
            <w:r>
              <w:rPr>
                <w:rFonts w:ascii="Calibri" w:hAnsi="Calibri"/>
                <w:b w:val="0"/>
                <w:i w:val="0"/>
                <w:color w:val="222222"/>
                <w:sz w:val="20"/>
              </w:rPr>
              <w:t>+2% (−31% to +56%)</w:t>
            </w:r>
          </w:p>
        </w:tc>
        <w:tc>
          <w:tcPr>
            <w:tcW w:type="dxa" w:w="1079"/>
            <w:shd w:val="clear" w:color="auto" w:fill="F7F9FB"/>
            <w:vAlign w:val="center"/>
          </w:tcPr>
          <w:p>
            <w:pPr>
              <w:keepNext/>
              <w:spacing w:after="0"/>
              <w:jc w:val="center"/>
            </w:pPr>
            <w:r>
              <w:rPr>
                <w:rFonts w:ascii="Calibri" w:hAnsi="Calibri"/>
                <w:b w:val="0"/>
                <w:i w:val="0"/>
                <w:color w:val="222222"/>
                <w:sz w:val="20"/>
              </w:rPr>
              <w:t>0.80</w:t>
            </w:r>
          </w:p>
        </w:tc>
        <w:tc>
          <w:tcPr>
            <w:tcW w:type="dxa" w:w="887"/>
            <w:shd w:val="clear" w:color="auto" w:fill="F7F9FB"/>
            <w:vAlign w:val="center"/>
          </w:tcPr>
          <w:p>
            <w:pPr>
              <w:keepNext/>
              <w:spacing w:after="0"/>
              <w:jc w:val="center"/>
            </w:pPr>
            <w:r>
              <w:rPr>
                <w:rFonts w:ascii="Calibri" w:hAnsi="Calibri"/>
                <w:b w:val="0"/>
                <w:i w:val="0"/>
                <w:color w:val="222222"/>
                <w:sz w:val="20"/>
              </w:rPr>
              <w:t>0.38</w:t>
            </w:r>
          </w:p>
        </w:tc>
        <w:tc>
          <w:tcPr>
            <w:tcW w:type="dxa" w:w="1294"/>
            <w:shd w:val="clear" w:color="auto" w:fill="F7F9FB"/>
            <w:vAlign w:val="center"/>
          </w:tcPr>
          <w:p>
            <w:pPr>
              <w:keepNext/>
              <w:spacing w:after="0"/>
            </w:pPr>
            <w:r>
              <w:rPr>
                <w:rFonts w:ascii="Calibri" w:hAnsi="Calibri"/>
                <w:b w:val="0"/>
                <w:i w:val="0"/>
                <w:color w:val="222222"/>
                <w:sz w:val="20"/>
              </w:rPr>
              <w:t>16 / &gt;96 / 20</w:t>
            </w:r>
          </w:p>
        </w:tc>
        <w:tc>
          <w:tcPr>
            <w:tcW w:type="dxa" w:w="1294"/>
            <w:shd w:val="clear" w:color="auto" w:fill="F7F9FB"/>
            <w:vAlign w:val="center"/>
          </w:tcPr>
          <w:p>
            <w:pPr>
              <w:keepNext/>
              <w:spacing w:after="0"/>
              <w:jc w:val="center"/>
            </w:pPr>
            <w:r>
              <w:rPr>
                <w:rFonts w:ascii="Calibri" w:hAnsi="Calibri"/>
                <w:b w:val="0"/>
                <w:i w:val="0"/>
                <w:color w:val="222222"/>
                <w:sz w:val="20"/>
              </w:rPr>
              <w:t>2 / 2 / 2</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spike number mean</w:t>
            </w:r>
          </w:p>
        </w:tc>
        <w:tc>
          <w:tcPr>
            <w:tcW w:type="dxa" w:w="1898"/>
            <w:shd w:val="clear" w:color="auto" w:fill="FFFFFF"/>
            <w:vAlign w:val="center"/>
          </w:tcPr>
          <w:p>
            <w:pPr>
              <w:keepNext/>
              <w:spacing w:after="0"/>
            </w:pPr>
            <w:r>
              <w:rPr>
                <w:rFonts w:ascii="Calibri" w:hAnsi="Calibri"/>
                <w:b w:val="0"/>
                <w:i w:val="0"/>
                <w:color w:val="222222"/>
                <w:sz w:val="20"/>
              </w:rPr>
              <w:t>−25% (−52% to +40%)</w:t>
            </w:r>
          </w:p>
        </w:tc>
        <w:tc>
          <w:tcPr>
            <w:tcW w:type="dxa" w:w="1079"/>
            <w:shd w:val="clear" w:color="auto" w:fill="FFFFFF"/>
            <w:vAlign w:val="center"/>
          </w:tcPr>
          <w:p>
            <w:pPr>
              <w:keepNext/>
              <w:spacing w:after="0"/>
              <w:jc w:val="center"/>
            </w:pPr>
            <w:r>
              <w:rPr>
                <w:rFonts w:ascii="Calibri" w:hAnsi="Calibri"/>
                <w:b w:val="0"/>
                <w:i w:val="0"/>
                <w:color w:val="222222"/>
                <w:sz w:val="20"/>
              </w:rPr>
              <w:t>1.11</w:t>
            </w:r>
          </w:p>
        </w:tc>
        <w:tc>
          <w:tcPr>
            <w:tcW w:type="dxa" w:w="887"/>
            <w:shd w:val="clear" w:color="auto" w:fill="FFFFFF"/>
            <w:vAlign w:val="center"/>
          </w:tcPr>
          <w:p>
            <w:pPr>
              <w:keepNext/>
              <w:spacing w:after="0"/>
              <w:jc w:val="center"/>
            </w:pPr>
            <w:r>
              <w:rPr>
                <w:rFonts w:ascii="Calibri" w:hAnsi="Calibri"/>
                <w:b w:val="0"/>
                <w:i w:val="0"/>
                <w:color w:val="222222"/>
                <w:sz w:val="20"/>
              </w:rPr>
              <w:t>0.31</w:t>
            </w:r>
          </w:p>
        </w:tc>
        <w:tc>
          <w:tcPr>
            <w:tcW w:type="dxa" w:w="1294"/>
            <w:shd w:val="clear" w:color="auto" w:fill="FFFFFF"/>
            <w:vAlign w:val="center"/>
          </w:tcPr>
          <w:p>
            <w:pPr>
              <w:keepNext/>
              <w:spacing w:after="0"/>
            </w:pPr>
            <w:r>
              <w:rPr>
                <w:rFonts w:ascii="Calibri" w:hAnsi="Calibri"/>
                <w:b w:val="0"/>
                <w:i w:val="0"/>
                <w:color w:val="222222"/>
                <w:sz w:val="20"/>
              </w:rPr>
              <w:t>20 / &gt;96 / 32</w:t>
            </w:r>
          </w:p>
        </w:tc>
        <w:tc>
          <w:tcPr>
            <w:tcW w:type="dxa" w:w="1294"/>
            <w:shd w:val="clear" w:color="auto" w:fill="FFFFFF"/>
            <w:vAlign w:val="center"/>
          </w:tcPr>
          <w:p>
            <w:pPr>
              <w:keepNext/>
              <w:spacing w:after="0"/>
              <w:jc w:val="center"/>
            </w:pPr>
            <w:r>
              <w:rPr>
                <w:rFonts w:ascii="Calibri" w:hAnsi="Calibri"/>
                <w:b w:val="0"/>
                <w:i w:val="0"/>
                <w:color w:val="222222"/>
                <w:sz w:val="20"/>
              </w:rPr>
              <w:t>2 / 3 / 3</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std</w:t>
            </w:r>
          </w:p>
        </w:tc>
        <w:tc>
          <w:tcPr>
            <w:tcW w:type="dxa" w:w="1898"/>
            <w:shd w:val="clear" w:color="auto" w:fill="F7F9FB"/>
            <w:vAlign w:val="center"/>
          </w:tcPr>
          <w:p>
            <w:pPr>
              <w:keepNext/>
              <w:spacing w:after="0"/>
            </w:pPr>
            <w:r>
              <w:rPr>
                <w:rFonts w:ascii="Calibri" w:hAnsi="Calibri"/>
                <w:b w:val="0"/>
                <w:i w:val="0"/>
                <w:color w:val="222222"/>
                <w:sz w:val="20"/>
              </w:rPr>
              <w:t>+2% (−29% to +121%)</w:t>
            </w:r>
          </w:p>
        </w:tc>
        <w:tc>
          <w:tcPr>
            <w:tcW w:type="dxa" w:w="1079"/>
            <w:shd w:val="clear" w:color="auto" w:fill="F7F9FB"/>
            <w:vAlign w:val="center"/>
          </w:tcPr>
          <w:p>
            <w:pPr>
              <w:keepNext/>
              <w:spacing w:after="0"/>
              <w:jc w:val="center"/>
            </w:pPr>
            <w:r>
              <w:rPr>
                <w:rFonts w:ascii="Calibri" w:hAnsi="Calibri"/>
                <w:b w:val="0"/>
                <w:i w:val="0"/>
                <w:color w:val="222222"/>
                <w:sz w:val="20"/>
              </w:rPr>
              <w:t>1.20</w:t>
            </w:r>
          </w:p>
        </w:tc>
        <w:tc>
          <w:tcPr>
            <w:tcW w:type="dxa" w:w="887"/>
            <w:shd w:val="clear" w:color="auto" w:fill="F7F9FB"/>
            <w:vAlign w:val="center"/>
          </w:tcPr>
          <w:p>
            <w:pPr>
              <w:keepNext/>
              <w:spacing w:after="0"/>
              <w:jc w:val="center"/>
            </w:pPr>
            <w:r>
              <w:rPr>
                <w:rFonts w:ascii="Calibri" w:hAnsi="Calibri"/>
                <w:b w:val="0"/>
                <w:i w:val="0"/>
                <w:color w:val="222222"/>
                <w:sz w:val="20"/>
              </w:rPr>
              <w:t>0.19</w:t>
            </w:r>
          </w:p>
        </w:tc>
        <w:tc>
          <w:tcPr>
            <w:tcW w:type="dxa" w:w="1294"/>
            <w:shd w:val="clear" w:color="auto" w:fill="F7F9FB"/>
            <w:vAlign w:val="center"/>
          </w:tcPr>
          <w:p>
            <w:pPr>
              <w:keepNext/>
              <w:spacing w:after="0"/>
            </w:pPr>
            <w:r>
              <w:rPr>
                <w:rFonts w:ascii="Calibri" w:hAnsi="Calibri"/>
                <w:b w:val="0"/>
                <w:i w:val="0"/>
                <w:color w:val="222222"/>
                <w:sz w:val="20"/>
              </w:rPr>
              <w:t>24 / &gt;96 / 48</w:t>
            </w:r>
          </w:p>
        </w:tc>
        <w:tc>
          <w:tcPr>
            <w:tcW w:type="dxa" w:w="1294"/>
            <w:shd w:val="clear" w:color="auto" w:fill="F7F9FB"/>
            <w:vAlign w:val="center"/>
          </w:tcPr>
          <w:p>
            <w:pPr>
              <w:keepNext/>
              <w:spacing w:after="0"/>
              <w:jc w:val="center"/>
            </w:pPr>
            <w:r>
              <w:rPr>
                <w:rFonts w:ascii="Calibri" w:hAnsi="Calibri"/>
                <w:b w:val="0"/>
                <w:i w:val="0"/>
                <w:color w:val="222222"/>
                <w:sz w:val="20"/>
              </w:rPr>
              <w:t>3 / 4 / 4</w:t>
            </w:r>
          </w:p>
        </w:tc>
      </w:tr>
      <w:tr>
        <w:trPr>
          <w:cantSplit/>
        </w:trPr>
        <w:tc>
          <w:tcPr>
            <w:tcW w:type="dxa" w:w="2043"/>
            <w:shd w:val="clear" w:color="auto" w:fill="FFFFFF"/>
            <w:vAlign w:val="center"/>
          </w:tcPr>
          <w:p>
            <w:pPr>
              <w:keepNext/>
              <w:spacing w:after="0"/>
            </w:pPr>
            <w:r>
              <w:rPr>
                <w:rFonts w:ascii="Calibri" w:hAnsi="Calibri"/>
                <w:b/>
                <w:i w:val="0"/>
                <w:color w:val="222222"/>
                <w:sz w:val="20"/>
              </w:rPr>
              <w:t>spike number</w:t>
            </w:r>
          </w:p>
        </w:tc>
        <w:tc>
          <w:tcPr>
            <w:tcW w:type="dxa" w:w="1898"/>
            <w:shd w:val="clear" w:color="auto" w:fill="FFFFFF"/>
            <w:vAlign w:val="center"/>
          </w:tcPr>
          <w:p>
            <w:pPr>
              <w:keepNext/>
              <w:spacing w:after="0"/>
            </w:pPr>
            <w:r>
              <w:rPr>
                <w:rFonts w:ascii="Calibri" w:hAnsi="Calibri"/>
                <w:b w:val="0"/>
                <w:i w:val="0"/>
                <w:color w:val="222222"/>
                <w:sz w:val="20"/>
              </w:rPr>
              <w:t>−32% (−69% to +5%)</w:t>
            </w:r>
          </w:p>
        </w:tc>
        <w:tc>
          <w:tcPr>
            <w:tcW w:type="dxa" w:w="1079"/>
            <w:shd w:val="clear" w:color="auto" w:fill="FFFFFF"/>
            <w:vAlign w:val="center"/>
          </w:tcPr>
          <w:p>
            <w:pPr>
              <w:keepNext/>
              <w:spacing w:after="0"/>
              <w:jc w:val="center"/>
            </w:pPr>
            <w:r>
              <w:rPr>
                <w:rFonts w:ascii="Calibri" w:hAnsi="Calibri"/>
                <w:b w:val="0"/>
                <w:i w:val="0"/>
                <w:color w:val="222222"/>
                <w:sz w:val="20"/>
              </w:rPr>
              <w:t>1.71</w:t>
            </w:r>
          </w:p>
        </w:tc>
        <w:tc>
          <w:tcPr>
            <w:tcW w:type="dxa" w:w="887"/>
            <w:shd w:val="clear" w:color="auto" w:fill="FFFFFF"/>
            <w:vAlign w:val="center"/>
          </w:tcPr>
          <w:p>
            <w:pPr>
              <w:keepNext/>
              <w:spacing w:after="0"/>
              <w:jc w:val="center"/>
            </w:pPr>
            <w:r>
              <w:rPr>
                <w:rFonts w:ascii="Calibri" w:hAnsi="Calibri"/>
                <w:b w:val="0"/>
                <w:i w:val="0"/>
                <w:color w:val="222222"/>
                <w:sz w:val="20"/>
              </w:rPr>
              <w:t>0.42</w:t>
            </w:r>
          </w:p>
        </w:tc>
        <w:tc>
          <w:tcPr>
            <w:tcW w:type="dxa" w:w="1294"/>
            <w:shd w:val="clear" w:color="auto" w:fill="FFFFFF"/>
            <w:vAlign w:val="center"/>
          </w:tcPr>
          <w:p>
            <w:pPr>
              <w:keepNext/>
              <w:spacing w:after="0"/>
            </w:pPr>
            <w:r>
              <w:rPr>
                <w:rFonts w:ascii="Calibri" w:hAnsi="Calibri"/>
                <w:b w:val="0"/>
                <w:i w:val="0"/>
                <w:color w:val="222222"/>
                <w:sz w:val="20"/>
              </w:rPr>
              <w:t>32 / &gt;96 / 48</w:t>
            </w:r>
          </w:p>
        </w:tc>
        <w:tc>
          <w:tcPr>
            <w:tcW w:type="dxa" w:w="1294"/>
            <w:shd w:val="clear" w:color="auto" w:fill="FFFFFF"/>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7F9FB"/>
            <w:vAlign w:val="center"/>
          </w:tcPr>
          <w:p>
            <w:pPr>
              <w:keepNext/>
              <w:spacing w:after="0"/>
            </w:pPr>
            <w:r>
              <w:rPr>
                <w:rFonts w:ascii="Calibri" w:hAnsi="Calibri"/>
                <w:b/>
                <w:i w:val="0"/>
                <w:color w:val="222222"/>
                <w:sz w:val="20"/>
              </w:rPr>
              <w:t>firing rate mean</w:t>
            </w:r>
          </w:p>
        </w:tc>
        <w:tc>
          <w:tcPr>
            <w:tcW w:type="dxa" w:w="1898"/>
            <w:shd w:val="clear" w:color="auto" w:fill="F7F9FB"/>
            <w:vAlign w:val="center"/>
          </w:tcPr>
          <w:p>
            <w:pPr>
              <w:keepNext/>
              <w:spacing w:after="0"/>
            </w:pPr>
            <w:r>
              <w:rPr>
                <w:rFonts w:ascii="Calibri" w:hAnsi="Calibri"/>
                <w:b w:val="0"/>
                <w:i w:val="0"/>
                <w:color w:val="222222"/>
                <w:sz w:val="20"/>
              </w:rPr>
              <w:t>−32% (−69% to +5%)</w:t>
            </w:r>
          </w:p>
        </w:tc>
        <w:tc>
          <w:tcPr>
            <w:tcW w:type="dxa" w:w="1079"/>
            <w:shd w:val="clear" w:color="auto" w:fill="F7F9FB"/>
            <w:vAlign w:val="center"/>
          </w:tcPr>
          <w:p>
            <w:pPr>
              <w:keepNext/>
              <w:spacing w:after="0"/>
              <w:jc w:val="center"/>
            </w:pPr>
            <w:r>
              <w:rPr>
                <w:rFonts w:ascii="Calibri" w:hAnsi="Calibri"/>
                <w:b w:val="0"/>
                <w:i w:val="0"/>
                <w:color w:val="222222"/>
                <w:sz w:val="20"/>
              </w:rPr>
              <w:t>1.71</w:t>
            </w:r>
          </w:p>
        </w:tc>
        <w:tc>
          <w:tcPr>
            <w:tcW w:type="dxa" w:w="887"/>
            <w:shd w:val="clear" w:color="auto" w:fill="F7F9FB"/>
            <w:vAlign w:val="center"/>
          </w:tcPr>
          <w:p>
            <w:pPr>
              <w:keepNext/>
              <w:spacing w:after="0"/>
              <w:jc w:val="center"/>
            </w:pPr>
            <w:r>
              <w:rPr>
                <w:rFonts w:ascii="Calibri" w:hAnsi="Calibri"/>
                <w:b w:val="0"/>
                <w:i w:val="0"/>
                <w:color w:val="222222"/>
                <w:sz w:val="20"/>
              </w:rPr>
              <w:t>0.42</w:t>
            </w:r>
          </w:p>
        </w:tc>
        <w:tc>
          <w:tcPr>
            <w:tcW w:type="dxa" w:w="1294"/>
            <w:shd w:val="clear" w:color="auto" w:fill="F7F9FB"/>
            <w:vAlign w:val="center"/>
          </w:tcPr>
          <w:p>
            <w:pPr>
              <w:keepNext/>
              <w:spacing w:after="0"/>
            </w:pPr>
            <w:r>
              <w:rPr>
                <w:rFonts w:ascii="Calibri" w:hAnsi="Calibri"/>
                <w:b w:val="0"/>
                <w:i w:val="0"/>
                <w:color w:val="222222"/>
                <w:sz w:val="20"/>
              </w:rPr>
              <w:t>32 / &gt;96 / 32</w:t>
            </w:r>
          </w:p>
        </w:tc>
        <w:tc>
          <w:tcPr>
            <w:tcW w:type="dxa" w:w="1294"/>
            <w:shd w:val="clear" w:color="auto" w:fill="F7F9FB"/>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FFFFF"/>
            <w:vAlign w:val="center"/>
          </w:tcPr>
          <w:p>
            <w:pPr>
              <w:keepNext/>
              <w:spacing w:after="0"/>
            </w:pPr>
            <w:r>
              <w:rPr>
                <w:rFonts w:ascii="Calibri" w:hAnsi="Calibri"/>
                <w:b/>
                <w:i w:val="0"/>
                <w:color w:val="222222"/>
                <w:sz w:val="20"/>
              </w:rPr>
              <w:t>burst number</w:t>
            </w:r>
          </w:p>
        </w:tc>
        <w:tc>
          <w:tcPr>
            <w:tcW w:type="dxa" w:w="1898"/>
            <w:shd w:val="clear" w:color="auto" w:fill="FFFFFF"/>
            <w:vAlign w:val="center"/>
          </w:tcPr>
          <w:p>
            <w:pPr>
              <w:keepNext/>
              <w:spacing w:after="0"/>
            </w:pPr>
            <w:r>
              <w:rPr>
                <w:rFonts w:ascii="Calibri" w:hAnsi="Calibri"/>
                <w:b w:val="0"/>
                <w:i w:val="0"/>
                <w:color w:val="222222"/>
                <w:sz w:val="20"/>
              </w:rPr>
              <w:t>−35% (−73% to +4%)</w:t>
            </w:r>
          </w:p>
        </w:tc>
        <w:tc>
          <w:tcPr>
            <w:tcW w:type="dxa" w:w="1079"/>
            <w:shd w:val="clear" w:color="auto" w:fill="FFFFFF"/>
            <w:vAlign w:val="center"/>
          </w:tcPr>
          <w:p>
            <w:pPr>
              <w:keepNext/>
              <w:spacing w:after="0"/>
              <w:jc w:val="center"/>
            </w:pPr>
            <w:r>
              <w:rPr>
                <w:rFonts w:ascii="Calibri" w:hAnsi="Calibri"/>
                <w:b w:val="0"/>
                <w:i w:val="0"/>
                <w:color w:val="222222"/>
                <w:sz w:val="20"/>
              </w:rPr>
              <w:t>1.87</w:t>
            </w:r>
          </w:p>
        </w:tc>
        <w:tc>
          <w:tcPr>
            <w:tcW w:type="dxa" w:w="887"/>
            <w:shd w:val="clear" w:color="auto" w:fill="FFFFFF"/>
            <w:vAlign w:val="center"/>
          </w:tcPr>
          <w:p>
            <w:pPr>
              <w:keepNext/>
              <w:spacing w:after="0"/>
              <w:jc w:val="center"/>
            </w:pPr>
            <w:r>
              <w:rPr>
                <w:rFonts w:ascii="Calibri" w:hAnsi="Calibri"/>
                <w:b w:val="0"/>
                <w:i w:val="0"/>
                <w:color w:val="222222"/>
                <w:sz w:val="20"/>
              </w:rPr>
              <w:t>0.38</w:t>
            </w:r>
          </w:p>
        </w:tc>
        <w:tc>
          <w:tcPr>
            <w:tcW w:type="dxa" w:w="1294"/>
            <w:shd w:val="clear" w:color="auto" w:fill="FFFFFF"/>
            <w:vAlign w:val="center"/>
          </w:tcPr>
          <w:p>
            <w:pPr>
              <w:keepNext/>
              <w:spacing w:after="0"/>
            </w:pPr>
            <w:r>
              <w:rPr>
                <w:rFonts w:ascii="Calibri" w:hAnsi="Calibri"/>
                <w:b w:val="0"/>
                <w:i w:val="0"/>
                <w:color w:val="222222"/>
                <w:sz w:val="20"/>
              </w:rPr>
              <w:t>48 / &gt;96 / 48</w:t>
            </w:r>
          </w:p>
        </w:tc>
        <w:tc>
          <w:tcPr>
            <w:tcW w:type="dxa" w:w="1294"/>
            <w:shd w:val="clear" w:color="auto" w:fill="FFFFFF"/>
            <w:vAlign w:val="center"/>
          </w:tcPr>
          <w:p>
            <w:pPr>
              <w:keepNext/>
              <w:spacing w:after="0"/>
            </w:pPr>
            <w:r>
              <w:rPr>
                <w:rFonts w:ascii="Calibri" w:hAnsi="Calibri"/>
                <w:b w:val="0"/>
                <w:i w:val="0"/>
                <w:color w:val="222222"/>
                <w:sz w:val="20"/>
              </w:rPr>
              <w:t>4 / &gt;96 / 5</w:t>
            </w:r>
          </w:p>
        </w:tc>
      </w:tr>
      <w:tr>
        <w:trPr>
          <w:cantSplit/>
        </w:trPr>
        <w:tc>
          <w:tcPr>
            <w:tcW w:type="dxa" w:w="2043"/>
            <w:shd w:val="clear" w:color="auto" w:fill="F7F9FB"/>
            <w:vAlign w:val="center"/>
          </w:tcPr>
          <w:p>
            <w:pPr>
              <w:keepNext/>
              <w:spacing w:after="0"/>
            </w:pPr>
            <w:r>
              <w:rPr>
                <w:rFonts w:ascii="Calibri" w:hAnsi="Calibri"/>
                <w:b/>
                <w:i w:val="0"/>
                <w:color w:val="222222"/>
                <w:sz w:val="20"/>
              </w:rPr>
              <w:t>interburst interval mean</w:t>
            </w:r>
          </w:p>
        </w:tc>
        <w:tc>
          <w:tcPr>
            <w:tcW w:type="dxa" w:w="1898"/>
            <w:shd w:val="clear" w:color="auto" w:fill="F7F9FB"/>
            <w:vAlign w:val="center"/>
          </w:tcPr>
          <w:p>
            <w:pPr>
              <w:keepNext/>
              <w:spacing w:after="0"/>
            </w:pPr>
            <w:r>
              <w:rPr>
                <w:rFonts w:ascii="Calibri" w:hAnsi="Calibri"/>
                <w:b w:val="0"/>
                <w:i w:val="0"/>
                <w:color w:val="222222"/>
                <w:sz w:val="20"/>
              </w:rPr>
              <w:t>+61% (−15% to +327%)</w:t>
            </w:r>
          </w:p>
        </w:tc>
        <w:tc>
          <w:tcPr>
            <w:tcW w:type="dxa" w:w="1079"/>
            <w:shd w:val="clear" w:color="auto" w:fill="F7F9FB"/>
            <w:vAlign w:val="center"/>
          </w:tcPr>
          <w:p>
            <w:pPr>
              <w:keepNext/>
              <w:spacing w:after="0"/>
              <w:jc w:val="center"/>
            </w:pPr>
            <w:r>
              <w:rPr>
                <w:rFonts w:ascii="Calibri" w:hAnsi="Calibri"/>
                <w:b w:val="0"/>
                <w:i w:val="0"/>
                <w:color w:val="222222"/>
                <w:sz w:val="20"/>
              </w:rPr>
              <w:t>2.13</w:t>
            </w:r>
          </w:p>
        </w:tc>
        <w:tc>
          <w:tcPr>
            <w:tcW w:type="dxa" w:w="887"/>
            <w:shd w:val="clear" w:color="auto" w:fill="F7F9FB"/>
            <w:vAlign w:val="center"/>
          </w:tcPr>
          <w:p>
            <w:pPr>
              <w:keepNext/>
              <w:spacing w:after="0"/>
              <w:jc w:val="center"/>
            </w:pPr>
            <w:r>
              <w:rPr>
                <w:rFonts w:ascii="Calibri" w:hAnsi="Calibri"/>
                <w:b w:val="0"/>
                <w:i w:val="0"/>
                <w:color w:val="222222"/>
                <w:sz w:val="20"/>
              </w:rPr>
              <w:t>0.15</w:t>
            </w:r>
          </w:p>
        </w:tc>
        <w:tc>
          <w:tcPr>
            <w:tcW w:type="dxa" w:w="1294"/>
            <w:shd w:val="clear" w:color="auto" w:fill="F7F9FB"/>
            <w:vAlign w:val="center"/>
          </w:tcPr>
          <w:p>
            <w:pPr>
              <w:keepNext/>
              <w:spacing w:after="0"/>
            </w:pPr>
            <w:r>
              <w:rPr>
                <w:rFonts w:ascii="Calibri" w:hAnsi="Calibri"/>
                <w:b w:val="0"/>
                <w:i w:val="0"/>
                <w:color w:val="222222"/>
                <w:sz w:val="20"/>
              </w:rPr>
              <w:t>48 / &gt;96 / 96</w:t>
            </w:r>
          </w:p>
        </w:tc>
        <w:tc>
          <w:tcPr>
            <w:tcW w:type="dxa" w:w="1294"/>
            <w:shd w:val="clear" w:color="auto" w:fill="F7F9FB"/>
            <w:vAlign w:val="center"/>
          </w:tcPr>
          <w:p>
            <w:pPr>
              <w:keepNext/>
              <w:spacing w:after="0"/>
              <w:jc w:val="center"/>
            </w:pPr>
            <w:r>
              <w:rPr>
                <w:rFonts w:ascii="Calibri" w:hAnsi="Calibri"/>
                <w:b w:val="0"/>
                <w:i w:val="0"/>
                <w:color w:val="222222"/>
                <w:sz w:val="20"/>
              </w:rPr>
              <w:t>5 / 12 / 8</w:t>
            </w:r>
          </w:p>
        </w:tc>
      </w:tr>
      <w:tr>
        <w:trPr>
          <w:cantSplit/>
        </w:trPr>
        <w:tc>
          <w:tcPr>
            <w:tcW w:type="dxa" w:w="2043"/>
            <w:shd w:val="clear" w:color="auto" w:fill="FFFFFF"/>
            <w:vAlign w:val="center"/>
          </w:tcPr>
          <w:p>
            <w:pPr>
              <w:keepNext w:val="0"/>
              <w:spacing w:after="0"/>
            </w:pPr>
            <w:r>
              <w:rPr>
                <w:rFonts w:ascii="Calibri" w:hAnsi="Calibri"/>
                <w:b/>
                <w:i w:val="0"/>
                <w:color w:val="222222"/>
                <w:sz w:val="20"/>
              </w:rPr>
              <w:t>cross correlation area</w:t>
            </w:r>
          </w:p>
        </w:tc>
        <w:tc>
          <w:tcPr>
            <w:tcW w:type="dxa" w:w="1898"/>
            <w:shd w:val="clear" w:color="auto" w:fill="FFFFFF"/>
            <w:vAlign w:val="center"/>
          </w:tcPr>
          <w:p>
            <w:pPr>
              <w:keepNext w:val="0"/>
              <w:spacing w:after="0"/>
            </w:pPr>
            <w:r>
              <w:rPr>
                <w:rFonts w:ascii="Calibri" w:hAnsi="Calibri"/>
                <w:b w:val="0"/>
                <w:i w:val="0"/>
                <w:color w:val="222222"/>
                <w:sz w:val="20"/>
              </w:rPr>
              <w:t>−43% (−77% to +3%)</w:t>
            </w:r>
          </w:p>
        </w:tc>
        <w:tc>
          <w:tcPr>
            <w:tcW w:type="dxa" w:w="1079"/>
            <w:shd w:val="clear" w:color="auto" w:fill="FFFFFF"/>
            <w:vAlign w:val="center"/>
          </w:tcPr>
          <w:p>
            <w:pPr>
              <w:keepNext w:val="0"/>
              <w:spacing w:after="0"/>
              <w:jc w:val="center"/>
            </w:pPr>
            <w:r>
              <w:rPr>
                <w:rFonts w:ascii="Calibri" w:hAnsi="Calibri"/>
                <w:b w:val="0"/>
                <w:i w:val="0"/>
                <w:color w:val="222222"/>
                <w:sz w:val="20"/>
              </w:rPr>
              <w:t>2.15</w:t>
            </w:r>
          </w:p>
        </w:tc>
        <w:tc>
          <w:tcPr>
            <w:tcW w:type="dxa" w:w="887"/>
            <w:shd w:val="clear" w:color="auto" w:fill="FFFFFF"/>
            <w:vAlign w:val="center"/>
          </w:tcPr>
          <w:p>
            <w:pPr>
              <w:keepNext w:val="0"/>
              <w:spacing w:after="0"/>
              <w:jc w:val="center"/>
            </w:pPr>
            <w:r>
              <w:rPr>
                <w:rFonts w:ascii="Calibri" w:hAnsi="Calibri"/>
                <w:b w:val="0"/>
                <w:i w:val="0"/>
                <w:color w:val="222222"/>
                <w:sz w:val="20"/>
              </w:rPr>
              <w:t>0.44</w:t>
            </w:r>
          </w:p>
        </w:tc>
        <w:tc>
          <w:tcPr>
            <w:tcW w:type="dxa" w:w="1294"/>
            <w:shd w:val="clear" w:color="auto" w:fill="FFFFFF"/>
            <w:vAlign w:val="center"/>
          </w:tcPr>
          <w:p>
            <w:pPr>
              <w:keepNext w:val="0"/>
              <w:spacing w:after="0"/>
            </w:pPr>
            <w:r>
              <w:rPr>
                <w:rFonts w:ascii="Calibri" w:hAnsi="Calibri"/>
                <w:b w:val="0"/>
                <w:i w:val="0"/>
                <w:color w:val="222222"/>
                <w:sz w:val="20"/>
              </w:rPr>
              <w:t>48 / &gt;96 / 64</w:t>
            </w:r>
          </w:p>
        </w:tc>
        <w:tc>
          <w:tcPr>
            <w:tcW w:type="dxa" w:w="1294"/>
            <w:shd w:val="clear" w:color="auto" w:fill="FFFFFF"/>
            <w:vAlign w:val="center"/>
          </w:tcPr>
          <w:p>
            <w:pPr>
              <w:keepNext w:val="0"/>
              <w:spacing w:after="0"/>
            </w:pPr>
            <w:r>
              <w:rPr>
                <w:rFonts w:ascii="Calibri" w:hAnsi="Calibri"/>
                <w:b w:val="0"/>
                <w:i w:val="0"/>
                <w:color w:val="222222"/>
                <w:sz w:val="20"/>
              </w:rPr>
              <w:t>5 / &gt;96 / 6</w:t>
            </w:r>
          </w:p>
        </w:tc>
      </w:tr>
    </w:tbl>
    <w:p>
      <w:pPr>
        <w:spacing w:after="80"/>
      </w:pPr>
    </w:p>
    <w:p>
      <w:pPr>
        <w:spacing w:after="120"/>
      </w:pPr>
      <w:r>
        <w:rPr>
          <w:rFonts w:ascii="Calibri" w:hAnsi="Calibri"/>
          <w:b w:val="0"/>
          <w:i w:val="0"/>
          <w:color w:val="222222"/>
          <w:sz w:val="21"/>
        </w:rPr>
        <w:t>The same pattern holds across readouts. Burst shape (burst duration, spikes per burst, the share of spikes in bursts), synchrony and network-burst readouts are quiet: a handful of wells sees a fall of a fifth. Firing rate, spike and burst counts and cross-correlation area are several times noisier, and for them a one-date experiment against a historical reference cannot see even a halving.</w:t>
      </w:r>
    </w:p>
    <w:p>
      <w:pPr>
        <w:spacing w:after="120"/>
      </w:pPr>
      <w:r>
        <w:rPr>
          <w:rFonts w:ascii="Calibri" w:hAnsi="Calibri"/>
          <w:b/>
          <w:i w:val="0"/>
          <w:color w:val="156082"/>
          <w:sz w:val="21"/>
        </w:rPr>
        <w:t>How we checked the arithmetic.</w:t>
      </w:r>
      <w:r>
        <w:rPr>
          <w:rFonts w:ascii="Calibri" w:hAnsi="Calibri"/>
          <w:b w:val="0"/>
          <w:i w:val="0"/>
          <w:color w:val="222222"/>
          <w:sz w:val="21"/>
        </w:rPr>
        <w:t xml:space="preserve"> The counts come from resampling the vehicle wells through a two-level model (a shrunken effect per date plus a within-date residual), which is what lets us ask about 96 wells from one date when no date has more than a handful. Two assumptions could make it wrong, and both are checked in </w:t>
      </w:r>
      <w:r>
        <w:rPr>
          <w:rFonts w:ascii="Consolas" w:hAnsi="Consolas"/>
          <w:b w:val="0"/>
          <w:i w:val="0"/>
          <w:color w:val="222222"/>
          <w:sz w:val="19"/>
        </w:rPr>
        <w:t>toxcast_noise_floors.components.*.model_checks</w:t>
      </w:r>
      <w:r>
        <w:rPr>
          <w:rFonts w:ascii="Calibri" w:hAnsi="Calibri"/>
          <w:b w:val="0"/>
          <w:i w:val="0"/>
          <w:color w:val="222222"/>
          <w:sz w:val="21"/>
        </w:rPr>
        <w:t>. First, the model might misrepresent the real wells: for firing rate, plain resampling of real wells (and, up to six wells, of real wells from one real date) gives thresholds within −0.135 (relative) of the model's. For three quiet readouts with a single well at the floor (synchrony, burst percentage, network-burst percentage) the model is conservative by up to −0.598 (relative), so their counts are upper bounds. Second, the vehicle might matter: on DMSO wells alone (706), the date share of firing rate is 0.41 and the independent-well count for a 20% fall is unchanged at 32. The counts assume treated wells scatter around their shifted mean as vehicle wells scatter around theirs; a drug that also makes wells more variable needs more.</w:t>
      </w:r>
    </w:p>
    <w:p>
      <w:pPr>
        <w:keepNext/>
        <w:spacing w:before="240" w:after="60"/>
      </w:pPr>
      <w:r>
        <w:rPr>
          <w:rFonts w:ascii="Calibri" w:hAnsi="Calibri"/>
          <w:b/>
          <w:i w:val="0"/>
          <w:color w:val="1F4E79"/>
          <w:sz w:val="23"/>
        </w:rPr>
        <w:t>33. The twin meets a laboratory it has never seen</w:t>
      </w:r>
    </w:p>
    <w:p>
      <w:pPr>
        <w:keepNext/>
        <w:spacing w:after="120"/>
      </w:pPr>
      <w:r>
        <w:rPr>
          <w:rFonts w:ascii="Calibri" w:hAnsi="Calibri"/>
          <w:b w:val="0"/>
          <w:i w:val="0"/>
          <w:color w:val="222222"/>
          <w:sz w:val="21"/>
        </w:rPr>
        <w:t>The twin was calibrated on one laboratory's baselines (ScreenNeuroPharm's chambers), and its drug knobs were checked (§14) against recordings from that laboratory and two others. The EPA screen is one it has never seen: on almost every exposure date it runs three positive controls, bicuculline and picrotoxin (both remove GABA-A inhibition) and tetrodotoxin (blocks sodium channels), each at one concentration. The twin has a knob for each mechanism: the GABA-A block knob for the first two, the excitability knob for TTX. Before computing any real statistic we registered the six readouts the two share, the rule for reading a direction from the twin (eight simulated chips, each recorded untreated and treated, must agree), and the agreement test; then the twin computed and we committed its predictions (</w:t>
      </w:r>
      <w:r>
        <w:rPr>
          <w:rFonts w:ascii="Consolas" w:hAnsi="Consolas"/>
          <w:b w:val="0"/>
          <w:i w:val="0"/>
          <w:color w:val="222222"/>
          <w:sz w:val="19"/>
        </w:rPr>
        <w:t>outputs/twin/toxcast_positive_controls_predictions_simulated.json</w:t>
      </w:r>
      <w:r>
        <w:rPr>
          <w:rFonts w:ascii="Calibri" w:hAnsi="Calibri"/>
          <w:b w:val="0"/>
          <w:i w:val="0"/>
          <w:color w:val="222222"/>
          <w:sz w:val="21"/>
        </w:rPr>
        <w:t>). Each real change is a well's change from its own baseline minus the median of the same date's vehicle wells, the correction §32 says every reading needs.</w:t>
      </w:r>
    </w:p>
    <w:p>
      <w:pPr>
        <w:keepNext/>
        <w:spacing w:before="120" w:after="40"/>
        <w:jc w:val="center"/>
      </w:pPr>
      <w:r>
        <w:drawing>
          <wp:inline xmlns:a="http://schemas.openxmlformats.org/drawingml/2006/main" xmlns:pic="http://schemas.openxmlformats.org/drawingml/2006/picture">
            <wp:extent cx="5394960" cy="1758688"/>
            <wp:docPr id="23" name="Picture 23"/>
            <wp:cNvGraphicFramePr>
              <a:graphicFrameLocks noChangeAspect="1"/>
            </wp:cNvGraphicFramePr>
            <a:graphic>
              <a:graphicData uri="http://schemas.openxmlformats.org/drawingml/2006/picture">
                <pic:pic>
                  <pic:nvPicPr>
                    <pic:cNvPr id="0" name="twin_toxcast_positive_controls.png"/>
                    <pic:cNvPicPr/>
                  </pic:nvPicPr>
                  <pic:blipFill>
                    <a:blip r:embed="rId35"/>
                    <a:stretch>
                      <a:fillRect/>
                    </a:stretch>
                  </pic:blipFill>
                  <pic:spPr>
                    <a:xfrm>
                      <a:off x="0" y="0"/>
                      <a:ext cx="5394960" cy="1758688"/>
                    </a:xfrm>
                    <a:prstGeom prst="rect"/>
                  </pic:spPr>
                </pic:pic>
              </a:graphicData>
            </a:graphic>
          </wp:inline>
        </w:drawing>
      </w:r>
    </w:p>
    <w:p>
      <w:pPr>
        <w:spacing w:after="200"/>
        <w:jc w:val="center"/>
      </w:pPr>
      <w:r>
        <w:rPr>
          <w:rFonts w:ascii="Calibri" w:hAnsi="Calibri"/>
          <w:b/>
          <w:i/>
          <w:color w:val="222222"/>
          <w:sz w:val="17"/>
        </w:rPr>
        <w:t xml:space="preserve">Figure 23. </w:t>
      </w:r>
      <w:r>
        <w:rPr>
          <w:rFonts w:ascii="Calibri" w:hAnsi="Calibri"/>
          <w:b w:val="0"/>
          <w:i/>
          <w:color w:val="222222"/>
          <w:sz w:val="17"/>
        </w:rPr>
        <w:t>SIMULATED twin knob changes (squares) against REAL ToxCast positive-control changes (circles, median with a 95% interval from resampling dates), per shared readout. "agree" and "differ" are scored cells; "n/s" means the twin made no call or the real direction was not established.</w:t>
      </w:r>
    </w:p>
    <w:p>
      <w:pPr>
        <w:spacing w:after="120"/>
      </w:pPr>
      <w:r>
        <w:rPr>
          <w:rFonts w:ascii="Calibri" w:hAnsi="Calibri"/>
          <w:b/>
          <w:i w:val="0"/>
          <w:color w:val="156082"/>
          <w:sz w:val="21"/>
        </w:rPr>
        <w:t>Every scored direction agrees:</w:t>
      </w:r>
      <w:r>
        <w:rPr>
          <w:rFonts w:ascii="Calibri" w:hAnsi="Calibri"/>
          <w:b w:val="0"/>
          <w:i w:val="0"/>
          <w:color w:val="222222"/>
          <w:sz w:val="21"/>
        </w:rPr>
        <w:t xml:space="preserve"> 12 of 12, four per drug, so all four registered predictions pass. The one that matters most is firing rate under GABA-A block. The twin raises it (2.367 log2), and §18 (row 9) recorded that as the twin's one wrong direction, because the real GABA-A antagonist pairs in our asset, from two other laboratories, lower it (−0.335 log2). In the EPA's rat cortical wells, bicuculline raises it by 1.124 log2 over 348 wells and picrotoxin by 1.624 log2, and TTX lowers it by −4.034 log2 (silence) where the twin predicts −3.065. So the direction of firing rate under disinhibition differs between laboratories and platforms; it is not simply a defect of the twin.</w:t>
      </w:r>
    </w:p>
    <w:p>
      <w:pPr>
        <w:spacing w:after="120"/>
      </w:pPr>
      <w:r>
        <w:rPr>
          <w:rFonts w:ascii="Calibri" w:hAnsi="Calibri"/>
          <w:b/>
          <w:i w:val="0"/>
          <w:color w:val="156082"/>
          <w:sz w:val="21"/>
        </w:rPr>
        <w:t>Why this is a low bar, which we checked after seeing the result.</w:t>
      </w:r>
      <w:r>
        <w:rPr>
          <w:rFonts w:ascii="Calibri" w:hAnsi="Calibri"/>
          <w:b w:val="0"/>
          <w:i w:val="0"/>
          <w:color w:val="222222"/>
          <w:sz w:val="21"/>
        </w:rPr>
        <w:t xml:space="preserve"> At these strong doses nearly every readout moves with firing rate. A rule that knows only whether each drug raised or lowered firing rate, and predicts every other readout the same way, scores 11 of 11 on the same cells, where the twin, firing rate excluded, scores 9 of 9. The twin earns no credit beyond that rule, and where they differ the rule is right: burst rate rises under bicuculline (0.382 log2) and picrotoxin (0.899), while the twin leans the other way (−0.261, too inconsistent across chips to count as a call). Magnitudes do not transfer: the twin overstates the rise in spikes per burst under GABA-A block (2.907 log2 against 1.042 for bicuculline), as §14 found for the sodium knob. The fair summary: the twin is not wrong on an unseen laboratory's strongest controls, and that is all this test can show.</w:t>
      </w:r>
    </w:p>
    <w:p>
      <w:pPr>
        <w:keepNext/>
        <w:spacing w:before="240" w:after="60"/>
      </w:pPr>
      <w:r>
        <w:rPr>
          <w:rFonts w:ascii="Calibri" w:hAnsi="Calibri"/>
          <w:b/>
          <w:i w:val="0"/>
          <w:color w:val="1F4E79"/>
          <w:sz w:val="23"/>
        </w:rPr>
        <w:t>34. A quality-control rule for chip screens, from §32</w:t>
      </w:r>
    </w:p>
    <w:p>
      <w:pPr>
        <w:spacing w:after="120"/>
      </w:pPr>
      <w:r>
        <w:rPr>
          <w:rFonts w:ascii="Calibri" w:hAnsi="Calibri"/>
          <w:b w:val="0"/>
          <w:i w:val="0"/>
          <w:color w:val="222222"/>
          <w:sz w:val="21"/>
        </w:rPr>
        <w:t xml:space="preserve">Three rules follow from the vehicle wells. The computation in </w:t>
      </w:r>
      <w:r>
        <w:rPr>
          <w:rFonts w:ascii="Consolas" w:hAnsi="Consolas"/>
          <w:b w:val="0"/>
          <w:i w:val="0"/>
          <w:color w:val="222222"/>
          <w:sz w:val="19"/>
        </w:rPr>
        <w:t>neuromps.models.toxcast_noise_floors</w:t>
      </w:r>
      <w:r>
        <w:rPr>
          <w:rFonts w:ascii="Calibri" w:hAnsi="Calibri"/>
          <w:b w:val="0"/>
          <w:i w:val="0"/>
          <w:color w:val="222222"/>
          <w:sz w:val="21"/>
        </w:rPr>
        <w:t xml:space="preserve"> applies unchanged to any lab's own vehicle wells, given a date for each.</w:t>
      </w:r>
    </w:p>
    <w:p>
      <w:pPr>
        <w:spacing w:after="120"/>
        <w:ind w:left="432" w:hanging="259"/>
      </w:pPr>
      <w:r>
        <w:rPr>
          <w:rFonts w:ascii="Calibri" w:hAnsi="Calibri"/>
          <w:b w:val="0"/>
          <w:i w:val="0"/>
          <w:color w:val="222222"/>
          <w:sz w:val="21"/>
        </w:rPr>
        <w:t>•</w:t>
        <w:tab/>
      </w:r>
      <w:r>
        <w:rPr>
          <w:rFonts w:ascii="Calibri" w:hAnsi="Calibri"/>
          <w:b/>
          <w:i w:val="0"/>
          <w:color w:val="156082"/>
          <w:sz w:val="21"/>
        </w:rPr>
        <w:t>Judge every treated well against vehicle wells from the same day, never against its own baseline alone.</w:t>
      </w:r>
      <w:r>
        <w:rPr>
          <w:rFonts w:ascii="Calibri" w:hAnsi="Calibri"/>
          <w:b w:val="0"/>
          <w:i w:val="0"/>
          <w:color w:val="222222"/>
          <w:sz w:val="21"/>
        </w:rPr>
        <w:t xml:space="preserve"> The vehicle drift (a median −32% in firing rate) is larger than most effects a screen looks for.</w:t>
      </w:r>
    </w:p>
    <w:p>
      <w:pPr>
        <w:spacing w:after="120"/>
        <w:ind w:left="432" w:hanging="259"/>
      </w:pPr>
      <w:r>
        <w:rPr>
          <w:rFonts w:ascii="Calibri" w:hAnsi="Calibri"/>
          <w:b w:val="0"/>
          <w:i w:val="0"/>
          <w:color w:val="222222"/>
          <w:sz w:val="21"/>
        </w:rPr>
        <w:t>•</w:t>
        <w:tab/>
      </w:r>
      <w:r>
        <w:rPr>
          <w:rFonts w:ascii="Calibri" w:hAnsi="Calibri"/>
          <w:b/>
          <w:i w:val="0"/>
          <w:color w:val="156082"/>
          <w:sz w:val="21"/>
        </w:rPr>
        <w:t>Put vehicle wells on every exposure date, or spread replicates across dates.</w:t>
      </w:r>
      <w:r>
        <w:rPr>
          <w:rFonts w:ascii="Calibri" w:hAnsi="Calibri"/>
          <w:b w:val="0"/>
          <w:i w:val="0"/>
          <w:color w:val="222222"/>
          <w:sz w:val="21"/>
        </w:rPr>
        <w:t xml:space="preserve"> With about two-fifths of the variance shared by the day, a one-day experiment against a historical reference is blind to a 50% fall in firing rate however many wells it uses; the same wells against same-day vehicles see it with 4 of each. The EPA's own normalization already works per date; a smaller lab should copy it.</w:t>
      </w:r>
    </w:p>
    <w:p>
      <w:pPr>
        <w:spacing w:after="120"/>
        <w:ind w:left="432" w:hanging="259"/>
      </w:pPr>
      <w:r>
        <w:rPr>
          <w:rFonts w:ascii="Calibri" w:hAnsi="Calibri"/>
          <w:b w:val="0"/>
          <w:i w:val="0"/>
          <w:color w:val="222222"/>
          <w:sz w:val="21"/>
        </w:rPr>
        <w:t>•</w:t>
        <w:tab/>
      </w:r>
      <w:r>
        <w:rPr>
          <w:rFonts w:ascii="Calibri" w:hAnsi="Calibri"/>
          <w:b/>
          <w:i w:val="0"/>
          <w:color w:val="156082"/>
          <w:sz w:val="21"/>
        </w:rPr>
        <w:t>Choose readouts by their noise floor, not only by their meaning.</w:t>
      </w:r>
      <w:r>
        <w:rPr>
          <w:rFonts w:ascii="Calibri" w:hAnsi="Calibri"/>
          <w:b w:val="0"/>
          <w:i w:val="0"/>
          <w:color w:val="222222"/>
          <w:sz w:val="21"/>
        </w:rPr>
        <w:t xml:space="preserve"> For a fall of a fifth, burst-shape and synchrony readouts need a handful of wells where firing rate needs 32. This also sharpens §20's fly result: the 0.149 log2 firing-rate change at which the simulated fly's behaviour had already failed is below what even 96 independent real wells detect (a 0.167 log2 rise).</w:t>
      </w:r>
    </w:p>
    <w:p>
      <w:pPr>
        <w:spacing w:after="120"/>
      </w:pPr>
      <w:r>
        <w:rPr>
          <w:rFonts w:ascii="Calibri" w:hAnsi="Calibri"/>
          <w:b/>
          <w:i w:val="0"/>
          <w:color w:val="156082"/>
          <w:sz w:val="21"/>
        </w:rPr>
        <w:t>What this act does not show.</w:t>
      </w:r>
      <w:r>
        <w:rPr>
          <w:rFonts w:ascii="Calibri" w:hAnsi="Calibri"/>
          <w:b w:val="0"/>
          <w:i w:val="0"/>
          <w:color w:val="222222"/>
          <w:sz w:val="21"/>
        </w:rPr>
        <w:t xml:space="preserve"> The noise floors are one laboratory's, on one rat cortical preparation and one platform; another lab's will differ and should be measured the same way. Seven of the fifteen readouts rest on recovered well assignments (§32); the checks that support them are exact, but they test dates and concentrations, not a well's position on its plate. The positive controls are single, saturating concentrations, so §33 tests directions at the extremes; §35 puts the dose response itself to the test.</w:t>
      </w:r>
    </w:p>
    <w:p>
      <w:pPr>
        <w:keepNext/>
        <w:spacing w:before="240" w:after="60"/>
      </w:pPr>
      <w:r>
        <w:rPr>
          <w:rFonts w:ascii="Calibri" w:hAnsi="Calibri"/>
          <w:b/>
          <w:i w:val="0"/>
          <w:color w:val="1F4E79"/>
          <w:sz w:val="23"/>
        </w:rPr>
        <w:t>35. The dose response: the twin's knob grid against real concentration-response curves</w:t>
      </w:r>
    </w:p>
    <w:p>
      <w:pPr>
        <w:spacing w:after="120"/>
      </w:pPr>
      <w:r>
        <w:rPr>
          <w:rFonts w:ascii="Calibri" w:hAnsi="Calibri"/>
          <w:b w:val="0"/>
          <w:i w:val="0"/>
          <w:color w:val="222222"/>
          <w:sz w:val="21"/>
        </w:rPr>
        <w:t xml:space="preserve">§33 left the obvious question open. The screen's positive controls are run at one saturating concentration, so they say nothing about whether the twin's knobs move the readouts </w:t>
      </w:r>
      <w:r>
        <w:rPr>
          <w:rFonts w:ascii="Calibri" w:hAnsi="Calibri"/>
          <w:b w:val="0"/>
          <w:i/>
          <w:color w:val="222222"/>
          <w:sz w:val="21"/>
        </w:rPr>
        <w:t>in the order</w:t>
      </w:r>
      <w:r>
        <w:rPr>
          <w:rFonts w:ascii="Calibri" w:hAnsi="Calibri"/>
          <w:b w:val="0"/>
          <w:i w:val="0"/>
          <w:color w:val="222222"/>
          <w:sz w:val="21"/>
        </w:rPr>
        <w:t xml:space="preserve"> a rising concentration does. The screen also runs about five hundred compounds over seven concentrations each, and for some of them the primary target is one of the twin's four knobs.</w:t>
      </w:r>
    </w:p>
    <w:p>
      <w:pPr>
        <w:keepNext/>
        <w:spacing w:after="120"/>
      </w:pPr>
      <w:r>
        <w:rPr>
          <w:rFonts w:ascii="Calibri" w:hAnsi="Calibri"/>
          <w:b w:val="0"/>
          <w:i w:val="0"/>
          <w:color w:val="222222"/>
          <w:sz w:val="21"/>
        </w:rPr>
        <w:t xml:space="preserve">Registered first (decision D30, </w:t>
      </w:r>
      <w:r>
        <w:rPr>
          <w:rFonts w:ascii="Consolas" w:hAnsi="Consolas"/>
          <w:b w:val="0"/>
          <w:i w:val="0"/>
          <w:color w:val="222222"/>
          <w:sz w:val="19"/>
        </w:rPr>
        <w:t>preregistration/twin_toxcast_dose_response.json</w:t>
      </w:r>
      <w:r>
        <w:rPr>
          <w:rFonts w:ascii="Calibri" w:hAnsi="Calibri"/>
          <w:b w:val="0"/>
          <w:i w:val="0"/>
          <w:color w:val="222222"/>
          <w:sz w:val="21"/>
        </w:rPr>
        <w:t xml:space="preserve">, committed before the twin ran): the compound list with one class label each, the knob grids, the rank rule matching a concentration to a knob level, the rule for which bins count as moving, an exclusion rule for the screen's own viability readout, and the predictions with their thresholds. Firing rate was declared already seen — an earlier private analysis had looked at it — and is reported here, never tested. The twin's curves (12 simulated chips, four knobs, seven levels each, every recording paired with its own chip untreated and run through the same </w:t>
      </w:r>
      <w:r>
        <w:rPr>
          <w:rFonts w:ascii="Consolas" w:hAnsi="Consolas"/>
          <w:b w:val="0"/>
          <w:i w:val="0"/>
          <w:color w:val="222222"/>
          <w:sz w:val="19"/>
        </w:rPr>
        <w:t>features/mea.py</w:t>
      </w:r>
      <w:r>
        <w:rPr>
          <w:rFonts w:ascii="Calibri" w:hAnsi="Calibri"/>
          <w:b w:val="0"/>
          <w:i w:val="0"/>
          <w:color w:val="222222"/>
          <w:sz w:val="21"/>
        </w:rPr>
        <w:t xml:space="preserve"> path) were committed before a single treated well was read. Concentrations are matched to knob levels by rank, because the two axes share no unit and every registered score is unchanged by a monotone map between them.</w:t>
      </w:r>
    </w:p>
    <w:p>
      <w:pPr>
        <w:keepNext/>
        <w:spacing w:before="120" w:after="40"/>
        <w:jc w:val="center"/>
      </w:pPr>
      <w:r>
        <w:drawing>
          <wp:inline xmlns:a="http://schemas.openxmlformats.org/drawingml/2006/main" xmlns:pic="http://schemas.openxmlformats.org/drawingml/2006/picture">
            <wp:extent cx="5394960" cy="3597471"/>
            <wp:docPr id="24" name="Picture 24"/>
            <wp:cNvGraphicFramePr>
              <a:graphicFrameLocks noChangeAspect="1"/>
            </wp:cNvGraphicFramePr>
            <a:graphic>
              <a:graphicData uri="http://schemas.openxmlformats.org/drawingml/2006/picture">
                <pic:pic>
                  <pic:nvPicPr>
                    <pic:cNvPr id="0" name="twin_toxcast_dose_response.png"/>
                    <pic:cNvPicPr/>
                  </pic:nvPicPr>
                  <pic:blipFill>
                    <a:blip r:embed="rId36"/>
                    <a:stretch>
                      <a:fillRect/>
                    </a:stretch>
                  </pic:blipFill>
                  <pic:spPr>
                    <a:xfrm>
                      <a:off x="0" y="0"/>
                      <a:ext cx="5394960" cy="3597471"/>
                    </a:xfrm>
                    <a:prstGeom prst="rect"/>
                  </pic:spPr>
                </pic:pic>
              </a:graphicData>
            </a:graphic>
          </wp:inline>
        </w:drawing>
      </w:r>
    </w:p>
    <w:p>
      <w:pPr>
        <w:spacing w:after="200"/>
        <w:jc w:val="center"/>
      </w:pPr>
      <w:r>
        <w:rPr>
          <w:rFonts w:ascii="Calibri" w:hAnsi="Calibri"/>
          <w:b/>
          <w:i/>
          <w:color w:val="222222"/>
          <w:sz w:val="17"/>
        </w:rPr>
        <w:t xml:space="preserve">Figure 24. </w:t>
      </w:r>
      <w:r>
        <w:rPr>
          <w:rFonts w:ascii="Calibri" w:hAnsi="Calibri"/>
          <w:b w:val="0"/>
          <w:i/>
          <w:color w:val="222222"/>
          <w:sz w:val="17"/>
        </w:rPr>
        <w:t>Left: Spearman correlation between the SIMULATED twin's matched curve and the REAL ToxCast curve, one bar per compound and readout, with the registered hit line and the two nulls' means. Right: the best-scoring pair, REAL wells (circles, median against same-date vehicle wells) against the SIMULATED twin's rank-matched knob curve (squares).</w:t>
      </w:r>
    </w:p>
    <w:p>
      <w:pPr>
        <w:spacing w:after="120"/>
      </w:pPr>
      <w:r>
        <w:rPr>
          <w:rFonts w:ascii="Calibri" w:hAnsi="Calibri"/>
          <w:b/>
          <w:i w:val="0"/>
          <w:color w:val="156082"/>
          <w:sz w:val="21"/>
        </w:rPr>
        <w:t>Two of the four registered predictions pass</w:t>
      </w:r>
      <w:r>
        <w:rPr>
          <w:rFonts w:ascii="Calibri" w:hAnsi="Calibri"/>
          <w:b w:val="0"/>
          <w:i w:val="0"/>
          <w:color w:val="222222"/>
          <w:sz w:val="21"/>
        </w:rPr>
        <w:t xml:space="preserve"> (2 of 4), over 13 compounds and 26 scored compound-readout pairs.</w:t>
      </w:r>
    </w:p>
    <w:p>
      <w:pPr>
        <w:spacing w:after="120"/>
        <w:ind w:left="432" w:hanging="259"/>
      </w:pPr>
      <w:r>
        <w:rPr>
          <w:rFonts w:ascii="Calibri" w:hAnsi="Calibri"/>
          <w:b w:val="0"/>
          <w:i w:val="0"/>
          <w:color w:val="222222"/>
          <w:sz w:val="21"/>
        </w:rPr>
        <w:t>•</w:t>
        <w:tab/>
      </w:r>
      <w:r>
        <w:rPr>
          <w:rFonts w:ascii="Calibri" w:hAnsi="Calibri"/>
          <w:b/>
          <w:i w:val="0"/>
          <w:color w:val="156082"/>
          <w:sz w:val="21"/>
        </w:rPr>
        <w:t>P1 (shape) fails.</w:t>
      </w:r>
      <w:r>
        <w:rPr>
          <w:rFonts w:ascii="Calibri" w:hAnsi="Calibri"/>
          <w:b w:val="0"/>
          <w:i w:val="0"/>
          <w:color w:val="222222"/>
          <w:sz w:val="21"/>
        </w:rPr>
        <w:t xml:space="preserve"> Only 10 of 26 pairs reach the registered correlation of 0.6, a hit rate of 0.38 against the 0.5 the registration required, at a mean Spearman of 0.34.</w:t>
      </w:r>
    </w:p>
    <w:p>
      <w:pPr>
        <w:spacing w:after="120"/>
        <w:ind w:left="432" w:hanging="259"/>
      </w:pPr>
      <w:r>
        <w:rPr>
          <w:rFonts w:ascii="Calibri" w:hAnsi="Calibri"/>
          <w:b w:val="0"/>
          <w:i w:val="0"/>
          <w:color w:val="222222"/>
          <w:sz w:val="21"/>
        </w:rPr>
        <w:t>•</w:t>
        <w:tab/>
      </w:r>
      <w:r>
        <w:rPr>
          <w:rFonts w:ascii="Calibri" w:hAnsi="Calibri"/>
          <w:b/>
          <w:i w:val="0"/>
          <w:color w:val="156082"/>
          <w:sz w:val="21"/>
        </w:rPr>
        <w:t>P2 (beat the follow-firing-rate rule) fails</w:t>
      </w:r>
      <w:r>
        <w:rPr>
          <w:rFonts w:ascii="Calibri" w:hAnsi="Calibri"/>
          <w:b w:val="0"/>
          <w:i w:val="0"/>
          <w:color w:val="222222"/>
          <w:sz w:val="21"/>
        </w:rPr>
        <w:t>, as in §33. Predicting every readout's curve from the compound's own real firing-rate curve scores 0.52, so the twin is behind by −0.18.</w:t>
      </w:r>
    </w:p>
    <w:p>
      <w:pPr>
        <w:spacing w:after="120"/>
        <w:ind w:left="432" w:hanging="259"/>
      </w:pPr>
      <w:r>
        <w:rPr>
          <w:rFonts w:ascii="Calibri" w:hAnsi="Calibri"/>
          <w:b w:val="0"/>
          <w:i w:val="0"/>
          <w:color w:val="222222"/>
          <w:sz w:val="21"/>
        </w:rPr>
        <w:t>•</w:t>
        <w:tab/>
      </w:r>
      <w:r>
        <w:rPr>
          <w:rFonts w:ascii="Calibri" w:hAnsi="Calibri"/>
          <w:b/>
          <w:i w:val="0"/>
          <w:color w:val="156082"/>
          <w:sz w:val="21"/>
        </w:rPr>
        <w:t>P3 (the mechanism label matters) passes, and not narrowly.</w:t>
      </w:r>
      <w:r>
        <w:rPr>
          <w:rFonts w:ascii="Calibri" w:hAnsi="Calibri"/>
          <w:b w:val="0"/>
          <w:i w:val="0"/>
          <w:color w:val="222222"/>
          <w:sz w:val="21"/>
        </w:rPr>
        <w:t xml:space="preserve"> Scored under a knob the compound is not labelled with, the same curves give −0.13 over 64 combinations, so the labelled knob leads by 0.47. Whatever the twin's curves carry, it is specific to the mechanism, not a shape any knob would produce.</w:t>
      </w:r>
    </w:p>
    <w:p>
      <w:pPr>
        <w:spacing w:after="120"/>
        <w:ind w:left="432" w:hanging="259"/>
      </w:pPr>
      <w:r>
        <w:rPr>
          <w:rFonts w:ascii="Calibri" w:hAnsi="Calibri"/>
          <w:b w:val="0"/>
          <w:i w:val="0"/>
          <w:color w:val="222222"/>
          <w:sz w:val="21"/>
        </w:rPr>
        <w:t>•</w:t>
        <w:tab/>
      </w:r>
      <w:r>
        <w:rPr>
          <w:rFonts w:ascii="Calibri" w:hAnsi="Calibri"/>
          <w:b/>
          <w:i w:val="0"/>
          <w:color w:val="156082"/>
          <w:sz w:val="21"/>
        </w:rPr>
        <w:t>P4 (which readout moves first) passes.</w:t>
      </w:r>
      <w:r>
        <w:rPr>
          <w:rFonts w:ascii="Calibri" w:hAnsi="Calibri"/>
          <w:b w:val="0"/>
          <w:i w:val="0"/>
          <w:color w:val="222222"/>
          <w:sz w:val="21"/>
        </w:rPr>
        <w:t xml:space="preserve"> The twin names the first-moving readout for 8 of 11 compounds where both sides make a call, a rate of 0.73; in almost every case that readout is spikes per burst, which the vehicle wells of §32 also showed to be among the quietest.</w:t>
      </w:r>
    </w:p>
    <w:p>
      <w:pPr>
        <w:spacing w:after="120"/>
        <w:ind w:left="432" w:hanging="259"/>
      </w:pPr>
      <w:r>
        <w:rPr>
          <w:rFonts w:ascii="Calibri" w:hAnsi="Calibri"/>
          <w:b w:val="0"/>
          <w:i w:val="0"/>
          <w:color w:val="222222"/>
          <w:sz w:val="21"/>
        </w:rPr>
        <w:t>•</w:t>
        <w:tab/>
      </w:r>
      <w:r>
        <w:rPr>
          <w:rFonts w:ascii="Calibri" w:hAnsi="Calibri"/>
          <w:b/>
          <w:i w:val="0"/>
          <w:color w:val="156082"/>
          <w:sz w:val="21"/>
        </w:rPr>
        <w:t>Firing rate (seen, so reported only).</w:t>
      </w:r>
      <w:r>
        <w:rPr>
          <w:rFonts w:ascii="Calibri" w:hAnsi="Calibri"/>
          <w:b w:val="0"/>
          <w:i w:val="0"/>
          <w:color w:val="222222"/>
          <w:sz w:val="21"/>
        </w:rPr>
        <w:t xml:space="preserve"> At each compound's highest retained concentration the twin's sign agrees with the real one for 9 of 13 compounds. Three of the four that differ are GABA-A antagonists whose real firing rate collapses at the top concentration where the twin's disinhibition knob raises it; the fourth is the one barbiturate, where the real change is small and the twin's knob is weak.</w:t>
      </w:r>
    </w:p>
    <w:p>
      <w:pPr>
        <w:spacing w:after="120"/>
      </w:pPr>
      <w:r>
        <w:rPr>
          <w:rFonts w:ascii="Calibri" w:hAnsi="Calibri"/>
          <w:b/>
          <w:i w:val="0"/>
          <w:color w:val="156082"/>
          <w:sz w:val="21"/>
        </w:rPr>
        <w:t>The assumption this rests on, and the check.</w:t>
      </w:r>
      <w:r>
        <w:rPr>
          <w:rFonts w:ascii="Calibri" w:hAnsi="Calibri"/>
          <w:b w:val="0"/>
          <w:i w:val="0"/>
          <w:color w:val="222222"/>
          <w:sz w:val="21"/>
        </w:rPr>
        <w:t xml:space="preserve"> The rank match assumes the screen's concentration range covers a comparable span of each mechanism to the knob grid. Rescoring with the grid's two strongest levels removed changes little (0.31 against 0.34), so the result does not hinge on where the grid ends.</w:t>
      </w:r>
    </w:p>
    <w:p>
      <w:pPr>
        <w:spacing w:after="120"/>
      </w:pPr>
      <w:r>
        <w:rPr>
          <w:rFonts w:ascii="Calibri" w:hAnsi="Calibri"/>
          <w:b/>
          <w:i w:val="0"/>
          <w:color w:val="156082"/>
          <w:sz w:val="21"/>
        </w:rPr>
        <w:t>Where the registered test broke, found after the fact.</w:t>
      </w:r>
      <w:r>
        <w:rPr>
          <w:rFonts w:ascii="Calibri" w:hAnsi="Calibri"/>
          <w:b w:val="0"/>
          <w:i w:val="0"/>
          <w:color w:val="222222"/>
          <w:sz w:val="21"/>
        </w:rPr>
        <w:t xml:space="preserve"> The registered exclusion rule — drop every concentration from the first one at which the plates' own viability readout falls below its vehicle noise floor — excluded nothing anywhere. In a forty-minute acute exposure that readout barely moves, and for two compounds some bins pooled more wells than any single exposure date's vehicle set can supply, so the rule had no power to judge them at all (</w:t>
      </w:r>
      <w:r>
        <w:rPr>
          <w:rFonts w:ascii="Consolas" w:hAnsi="Consolas"/>
          <w:b w:val="0"/>
          <w:i w:val="0"/>
          <w:color w:val="222222"/>
          <w:sz w:val="19"/>
        </w:rPr>
        <w:t>viability_untestable_bins</w:t>
      </w:r>
      <w:r>
        <w:rPr>
          <w:rFonts w:ascii="Calibri" w:hAnsi="Calibri"/>
          <w:b w:val="0"/>
          <w:i w:val="0"/>
          <w:color w:val="222222"/>
          <w:sz w:val="21"/>
        </w:rPr>
        <w:t xml:space="preserve">). The top concentration therefore stayed in every curve. </w:t>
      </w:r>
      <w:r>
        <w:rPr>
          <w:rFonts w:ascii="Calibri" w:hAnsi="Calibri"/>
          <w:b/>
          <w:i w:val="0"/>
          <w:color w:val="222222"/>
          <w:sz w:val="21"/>
        </w:rPr>
        <w:t>Post hoc</w:t>
      </w:r>
      <w:r>
        <w:rPr>
          <w:rFonts w:ascii="Calibri" w:hAnsi="Calibri"/>
          <w:b w:val="0"/>
          <w:i w:val="0"/>
          <w:color w:val="222222"/>
          <w:sz w:val="21"/>
        </w:rPr>
        <w:t xml:space="preserve">, dropping each compound's highest concentration lifts the twin to 0.65 mean Spearman and 17 of 22 pairs above the hit line, ahead of the firing-rate rule (0.45). Dropping any one bin would do that only if the curves were noise, so we checked: dropping the lowest concentration instead gives 0.22 and a middle one 0.32, both at or below the registered score. The failure is specific to the highest concentration, which is exactly where this screen cannot tell a mechanism apart from a general loss of activity. None of this changes the registered verdict: </w:t>
      </w:r>
      <w:r>
        <w:rPr>
          <w:rFonts w:ascii="Calibri" w:hAnsi="Calibri"/>
          <w:b/>
          <w:i w:val="0"/>
          <w:color w:val="222222"/>
          <w:sz w:val="21"/>
        </w:rPr>
        <w:t>P1 and P2 fail as registered.</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The twin's sodium and AMPA knobs are not dose-responsive at the grid used here: both abolish activity at their weakest level, so for them the match is a step, not a curve, and the one sodium-channel compound contributes no scored pair. A compound's wells are pooled across exposure dates while the null draws within one date, which makes the moving-bin rule slightly permissive for the few compounds run on more than one date. And the class labels are the compounds' established primary targets, not measurements made here; a compound that acts on something else as well will not match its knob however good the twin is.</w:t>
      </w:r>
    </w:p>
    <w:p>
      <w:pPr>
        <w:keepNext/>
        <w:spacing w:before="240" w:after="60"/>
      </w:pPr>
      <w:r>
        <w:rPr>
          <w:rFonts w:ascii="Calibri" w:hAnsi="Calibri"/>
          <w:b/>
          <w:i w:val="0"/>
          <w:color w:val="1F4E79"/>
          <w:sz w:val="23"/>
        </w:rPr>
        <w:t>36. Is a human iPSC chip noisier than a rat one? Split-half noise from one lab</w:t>
      </w:r>
    </w:p>
    <w:p>
      <w:pPr>
        <w:spacing w:after="120"/>
      </w:pPr>
      <w:r>
        <w:rPr>
          <w:rFonts w:ascii="Calibri" w:hAnsi="Calibri"/>
          <w:b w:val="0"/>
          <w:i w:val="0"/>
          <w:color w:val="222222"/>
          <w:sz w:val="21"/>
        </w:rPr>
        <w:t>§32 tells a lab how many wells a rat cortical chip needs. The obvious next question is about human iPSC-derived chips, and the public data we have cannot answer it the way §32 does: the Kapucu et al. 2022 deposit (Creative Commons Attribution licence) records human and rat cultures in one lab with one protocol, but has too few untreated wells recorded twice. What it does have is long untreated recordings in both species. So we cut each one in half and asked how much an untreated well's readouts move between the two halves of a single recording, per species.</w:t>
      </w:r>
    </w:p>
    <w:p>
      <w:pPr>
        <w:keepNext/>
        <w:spacing w:after="120"/>
      </w:pPr>
      <w:r>
        <w:rPr>
          <w:rFonts w:ascii="Calibri" w:hAnsi="Calibri"/>
          <w:b w:val="0"/>
          <w:i w:val="0"/>
          <w:color w:val="222222"/>
          <w:sz w:val="21"/>
        </w:rPr>
        <w:t xml:space="preserve">Registered first (decision D32, </w:t>
      </w:r>
      <w:r>
        <w:rPr>
          <w:rFonts w:ascii="Consolas" w:hAnsi="Consolas"/>
          <w:b w:val="0"/>
          <w:i w:val="0"/>
          <w:color w:val="222222"/>
          <w:sz w:val="19"/>
        </w:rPr>
        <w:t>preregistration/hpsc_split_half.json</w:t>
      </w:r>
      <w:r>
        <w:rPr>
          <w:rFonts w:ascii="Calibri" w:hAnsi="Calibri"/>
          <w:b w:val="0"/>
          <w:i w:val="0"/>
          <w:color w:val="222222"/>
          <w:sz w:val="21"/>
        </w:rPr>
        <w:t xml:space="preserve">, committed before any half-recording feature was computed; the code and its tests were committed before the first real-data run). Each well's recording is cut at half its duration and both halves go through the same </w:t>
      </w:r>
      <w:r>
        <w:rPr>
          <w:rFonts w:ascii="Consolas" w:hAnsi="Consolas"/>
          <w:b w:val="0"/>
          <w:i w:val="0"/>
          <w:color w:val="222222"/>
          <w:sz w:val="19"/>
        </w:rPr>
        <w:t>features/mea.py</w:t>
      </w:r>
      <w:r>
        <w:rPr>
          <w:rFonts w:ascii="Calibri" w:hAnsi="Calibri"/>
          <w:b w:val="0"/>
          <w:i w:val="0"/>
          <w:color w:val="222222"/>
          <w:sz w:val="21"/>
        </w:rPr>
        <w:t xml:space="preserve"> extractor as everything else. A well is usable if it is not excluded upstream and has at least 10 active electrodes in each half. The change in each feature is d = log2(second half / first half), with the ratio floored so that an abolished readout counts as a fixed large fall. The noise is the SD of d across wells, and R = SD human / SD rat, with a 95% interval from resampling wells within each species. The primary pool is the lab's two matched 48-well untreated baselines: human DIV29, 30 minutes, 24 usable wells of 48, the other half excluded upstream; rat DIV22, 30 minutes, 38 usable wells of 48. The replication pool is the lab's 12-well developmental plates, every 10-minute recording at DIV28 or later for human and DIV21 or later for rat: 144 usable recordings from 12 human wells, and 58 from 12 rat wells.</w:t>
      </w:r>
    </w:p>
    <w:p>
      <w:pPr>
        <w:keepNext/>
        <w:spacing w:before="120" w:after="40"/>
        <w:jc w:val="center"/>
      </w:pPr>
      <w:r>
        <w:drawing>
          <wp:inline xmlns:a="http://schemas.openxmlformats.org/drawingml/2006/main" xmlns:pic="http://schemas.openxmlformats.org/drawingml/2006/picture">
            <wp:extent cx="5394960" cy="1945561"/>
            <wp:docPr id="25" name="Picture 25"/>
            <wp:cNvGraphicFramePr>
              <a:graphicFrameLocks noChangeAspect="1"/>
            </wp:cNvGraphicFramePr>
            <a:graphic>
              <a:graphicData uri="http://schemas.openxmlformats.org/drawingml/2006/picture">
                <pic:pic>
                  <pic:nvPicPr>
                    <pic:cNvPr id="0" name="hpsc_split_half_real.png"/>
                    <pic:cNvPicPr/>
                  </pic:nvPicPr>
                  <pic:blipFill>
                    <a:blip r:embed="rId37"/>
                    <a:stretch>
                      <a:fillRect/>
                    </a:stretch>
                  </pic:blipFill>
                  <pic:spPr>
                    <a:xfrm>
                      <a:off x="0" y="0"/>
                      <a:ext cx="5394960" cy="1945561"/>
                    </a:xfrm>
                    <a:prstGeom prst="rect"/>
                  </pic:spPr>
                </pic:pic>
              </a:graphicData>
            </a:graphic>
          </wp:inline>
        </w:drawing>
      </w:r>
    </w:p>
    <w:p>
      <w:pPr>
        <w:spacing w:after="200"/>
        <w:jc w:val="center"/>
      </w:pPr>
      <w:r>
        <w:rPr>
          <w:rFonts w:ascii="Calibri" w:hAnsi="Calibri"/>
          <w:b/>
          <w:i/>
          <w:color w:val="222222"/>
          <w:sz w:val="17"/>
        </w:rPr>
        <w:t xml:space="preserve">Figure 25. </w:t>
      </w:r>
      <w:r>
        <w:rPr>
          <w:rFonts w:ascii="Calibri" w:hAnsi="Calibri"/>
          <w:b w:val="0"/>
          <w:i/>
          <w:color w:val="222222"/>
          <w:sz w:val="17"/>
        </w:rPr>
        <w:t>REAL data, Kapucu 2022, one lab. Left: R = SD human / SD rat of the split-half change for each readout, with its 95% interval, on the 48-well baselines (circles) and the 12-well developmental plates (squares); right of the dashed line, the human wells move more. Middle: each usable 48-well baseline well's firing-rate change between the halves. Right: the size of that change against the well's firing rate, with the band where the two species' firing rates overlap.</w:t>
      </w:r>
    </w:p>
    <w:p>
      <w:pPr>
        <w:spacing w:after="120"/>
      </w:pPr>
      <w:r>
        <w:rPr>
          <w:rFonts w:ascii="Calibri" w:hAnsi="Calibri"/>
          <w:b/>
          <w:i w:val="0"/>
          <w:color w:val="156082"/>
          <w:sz w:val="21"/>
        </w:rPr>
        <w:t>Two of the three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P1 (human firing rate noisier) passes.</w:t>
      </w:r>
      <w:r>
        <w:rPr>
          <w:rFonts w:ascii="Calibri" w:hAnsi="Calibri"/>
          <w:b w:val="0"/>
          <w:i w:val="0"/>
          <w:color w:val="222222"/>
          <w:sz w:val="21"/>
        </w:rPr>
        <w:t xml:space="preserve"> On the matched baselines the human wells' firing rate moves about twice as much between halves: SD 0.21 against 0.10 (log2), R = 2.06, 95% interval 1.39 to 3.56, entirely above 1 as the registration required.</w:t>
      </w:r>
    </w:p>
    <w:p>
      <w:pPr>
        <w:spacing w:after="120"/>
        <w:ind w:left="432" w:hanging="259"/>
      </w:pPr>
      <w:r>
        <w:rPr>
          <w:rFonts w:ascii="Calibri" w:hAnsi="Calibri"/>
          <w:b w:val="0"/>
          <w:i w:val="0"/>
          <w:color w:val="222222"/>
          <w:sz w:val="21"/>
        </w:rPr>
        <w:t>•</w:t>
        <w:tab/>
      </w:r>
      <w:r>
        <w:rPr>
          <w:rFonts w:ascii="Calibri" w:hAnsi="Calibri"/>
          <w:b/>
          <w:i w:val="0"/>
          <w:color w:val="156082"/>
          <w:sz w:val="21"/>
        </w:rPr>
        <w:t>P2 (noisier across readouts) fails.</w:t>
      </w:r>
      <w:r>
        <w:rPr>
          <w:rFonts w:ascii="Calibri" w:hAnsi="Calibri"/>
          <w:b w:val="0"/>
          <w:i w:val="0"/>
          <w:color w:val="222222"/>
          <w:sz w:val="21"/>
        </w:rPr>
        <w:t xml:space="preserve"> The human wells are noisier on only 4 of the 8 scored readouts, against the 5 registered: firing rate, burst duration, spikes per burst and ISI CV. On the share of spikes in bursts the rat wells are clearly the noisier (R = 0.36, 0.21 to 0.65), and on synchrony narrowly so. On these baselines the difference is specific to some readouts, firing rate among them, not a general property of the human wells.</w:t>
      </w:r>
    </w:p>
    <w:p>
      <w:pPr>
        <w:spacing w:after="120"/>
        <w:ind w:left="432" w:hanging="259"/>
      </w:pPr>
      <w:r>
        <w:rPr>
          <w:rFonts w:ascii="Calibri" w:hAnsi="Calibri"/>
          <w:b w:val="0"/>
          <w:i w:val="0"/>
          <w:color w:val="222222"/>
          <w:sz w:val="21"/>
        </w:rPr>
        <w:t>•</w:t>
        <w:tab/>
      </w:r>
      <w:r>
        <w:rPr>
          <w:rFonts w:ascii="Calibri" w:hAnsi="Calibri"/>
          <w:b/>
          <w:i w:val="0"/>
          <w:color w:val="156082"/>
          <w:sz w:val="21"/>
        </w:rPr>
        <w:t>P3 (replicates on the developmental plates) passes, as registered, on its point estimate only.</w:t>
      </w:r>
      <w:r>
        <w:rPr>
          <w:rFonts w:ascii="Calibri" w:hAnsi="Calibri"/>
          <w:b w:val="0"/>
          <w:i w:val="0"/>
          <w:color w:val="222222"/>
          <w:sz w:val="21"/>
        </w:rPr>
        <w:t xml:space="preserve"> R for firing rate is 1.54, above 1, but its 95% interval, 0.75 to 2.95, includes 1: twelve wells per species replicate the direction, not the certainty. On these plates the human wells are the noisier on every readout but ISI CV, so the readout pattern that made P2 fail does not repeat either; we read neither pool's pattern beyond firing rate as settled.</w:t>
      </w:r>
    </w:p>
    <w:p>
      <w:pPr>
        <w:keepNext/>
        <w:spacing w:after="120"/>
      </w:pPr>
      <w:r>
        <w:rPr>
          <w:rFonts w:ascii="Calibri" w:hAnsi="Calibri"/>
          <w:b w:val="0"/>
          <w:i w:val="0"/>
          <w:color w:val="222222"/>
          <w:sz w:val="21"/>
        </w:rPr>
        <w:t>Every readout, both pools (SD of the split-half change in log2; R with its percentile interval from the well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05"/>
        <w:gridCol w:w="1868"/>
        <w:gridCol w:w="1396"/>
        <w:gridCol w:w="2330"/>
        <w:gridCol w:w="1396"/>
      </w:tblGrid>
      <w:tr>
        <w:trPr>
          <w:cantSplit/>
          <w:tblHeader/>
        </w:trPr>
        <w:tc>
          <w:tcPr>
            <w:tcW w:type="dxa" w:w="1505"/>
            <w:shd w:val="clear" w:color="auto" w:fill="1F4E79"/>
            <w:vAlign w:val="center"/>
          </w:tcPr>
          <w:p>
            <w:pPr>
              <w:keepNext/>
              <w:spacing w:after="0"/>
            </w:pPr>
            <w:r>
              <w:rPr>
                <w:rFonts w:ascii="Calibri" w:hAnsi="Calibri"/>
                <w:b/>
                <w:i w:val="0"/>
                <w:color w:val="FFFFFF"/>
                <w:sz w:val="20"/>
              </w:rPr>
              <w:t>readout</w:t>
            </w:r>
          </w:p>
        </w:tc>
        <w:tc>
          <w:tcPr>
            <w:tcW w:type="dxa" w:w="1868"/>
            <w:shd w:val="clear" w:color="auto" w:fill="1F4E79"/>
            <w:vAlign w:val="center"/>
          </w:tcPr>
          <w:p>
            <w:pPr>
              <w:keepNext/>
              <w:spacing w:after="0"/>
              <w:jc w:val="center"/>
            </w:pPr>
            <w:r>
              <w:rPr>
                <w:rFonts w:ascii="Calibri" w:hAnsi="Calibri"/>
                <w:b/>
                <w:i w:val="0"/>
                <w:color w:val="FFFFFF"/>
                <w:sz w:val="20"/>
              </w:rPr>
              <w:t>48-well baselines: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c>
          <w:tcPr>
            <w:tcW w:type="dxa" w:w="2330"/>
            <w:shd w:val="clear" w:color="auto" w:fill="1F4E79"/>
            <w:vAlign w:val="center"/>
          </w:tcPr>
          <w:p>
            <w:pPr>
              <w:keepNext/>
              <w:spacing w:after="0"/>
              <w:jc w:val="center"/>
            </w:pPr>
            <w:r>
              <w:rPr>
                <w:rFonts w:ascii="Calibri" w:hAnsi="Calibri"/>
                <w:b/>
                <w:i w:val="0"/>
                <w:color w:val="FFFFFF"/>
                <w:sz w:val="20"/>
              </w:rPr>
              <w:t>12-well developmental: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r>
      <w:tr>
        <w:trPr>
          <w:cantSplit/>
        </w:trPr>
        <w:tc>
          <w:tcPr>
            <w:tcW w:type="dxa" w:w="1505"/>
            <w:shd w:val="clear" w:color="auto" w:fill="FFFFFF"/>
            <w:vAlign w:val="center"/>
          </w:tcPr>
          <w:p>
            <w:pPr>
              <w:keepNext/>
              <w:spacing w:after="0"/>
            </w:pPr>
            <w:r>
              <w:rPr>
                <w:rFonts w:ascii="Calibri" w:hAnsi="Calibri"/>
                <w:b/>
                <w:i w:val="0"/>
                <w:color w:val="222222"/>
                <w:sz w:val="20"/>
              </w:rPr>
              <w:t>mfr hz</w:t>
            </w:r>
          </w:p>
        </w:tc>
        <w:tc>
          <w:tcPr>
            <w:tcW w:type="dxa" w:w="1868"/>
            <w:shd w:val="clear" w:color="auto" w:fill="FFFFFF"/>
            <w:vAlign w:val="center"/>
          </w:tcPr>
          <w:p>
            <w:pPr>
              <w:keepNext/>
              <w:spacing w:after="0"/>
              <w:jc w:val="center"/>
            </w:pPr>
            <w:r>
              <w:rPr>
                <w:rFonts w:ascii="Calibri" w:hAnsi="Calibri"/>
                <w:b w:val="0"/>
                <w:i w:val="0"/>
                <w:color w:val="222222"/>
                <w:sz w:val="20"/>
              </w:rPr>
              <w:t>0.21 / 0.10</w:t>
            </w:r>
          </w:p>
        </w:tc>
        <w:tc>
          <w:tcPr>
            <w:tcW w:type="dxa" w:w="1396"/>
            <w:shd w:val="clear" w:color="auto" w:fill="FFFFFF"/>
            <w:vAlign w:val="center"/>
          </w:tcPr>
          <w:p>
            <w:pPr>
              <w:keepNext/>
              <w:spacing w:after="0"/>
            </w:pPr>
            <w:r>
              <w:rPr>
                <w:rFonts w:ascii="Calibri" w:hAnsi="Calibri"/>
                <w:b w:val="0"/>
                <w:i w:val="0"/>
                <w:color w:val="222222"/>
                <w:sz w:val="20"/>
              </w:rPr>
              <w:t>2.06 (1.39 to 3.56)</w:t>
            </w:r>
          </w:p>
        </w:tc>
        <w:tc>
          <w:tcPr>
            <w:tcW w:type="dxa" w:w="2330"/>
            <w:shd w:val="clear" w:color="auto" w:fill="FFFFFF"/>
            <w:vAlign w:val="center"/>
          </w:tcPr>
          <w:p>
            <w:pPr>
              <w:keepNext/>
              <w:spacing w:after="0"/>
              <w:jc w:val="center"/>
            </w:pPr>
            <w:r>
              <w:rPr>
                <w:rFonts w:ascii="Calibri" w:hAnsi="Calibri"/>
                <w:b w:val="0"/>
                <w:i w:val="0"/>
                <w:color w:val="222222"/>
                <w:sz w:val="20"/>
              </w:rPr>
              <w:t>0.42 / 0.28</w:t>
            </w:r>
          </w:p>
        </w:tc>
        <w:tc>
          <w:tcPr>
            <w:tcW w:type="dxa" w:w="1396"/>
            <w:shd w:val="clear" w:color="auto" w:fill="FFFFFF"/>
            <w:vAlign w:val="center"/>
          </w:tcPr>
          <w:p>
            <w:pPr>
              <w:keepNext/>
              <w:spacing w:after="0"/>
            </w:pPr>
            <w:r>
              <w:rPr>
                <w:rFonts w:ascii="Calibri" w:hAnsi="Calibri"/>
                <w:b w:val="0"/>
                <w:i w:val="0"/>
                <w:color w:val="222222"/>
                <w:sz w:val="20"/>
              </w:rPr>
              <w:t>1.54 (0.75 to 2.94)</w:t>
            </w:r>
          </w:p>
        </w:tc>
      </w:tr>
      <w:tr>
        <w:trPr>
          <w:cantSplit/>
        </w:trPr>
        <w:tc>
          <w:tcPr>
            <w:tcW w:type="dxa" w:w="1505"/>
            <w:shd w:val="clear" w:color="auto" w:fill="F7F9FB"/>
            <w:vAlign w:val="center"/>
          </w:tcPr>
          <w:p>
            <w:pPr>
              <w:keepNext/>
              <w:spacing w:after="0"/>
            </w:pPr>
            <w:r>
              <w:rPr>
                <w:rFonts w:ascii="Calibri" w:hAnsi="Calibri"/>
                <w:b/>
                <w:i w:val="0"/>
                <w:color w:val="222222"/>
                <w:sz w:val="20"/>
              </w:rPr>
              <w:t>burst rate per min</w:t>
            </w:r>
          </w:p>
        </w:tc>
        <w:tc>
          <w:tcPr>
            <w:tcW w:type="dxa" w:w="1868"/>
            <w:shd w:val="clear" w:color="auto" w:fill="F7F9FB"/>
            <w:vAlign w:val="center"/>
          </w:tcPr>
          <w:p>
            <w:pPr>
              <w:keepNext/>
              <w:spacing w:after="0"/>
              <w:jc w:val="center"/>
            </w:pPr>
            <w:r>
              <w:rPr>
                <w:rFonts w:ascii="Calibri" w:hAnsi="Calibri"/>
                <w:b w:val="0"/>
                <w:i w:val="0"/>
                <w:color w:val="222222"/>
                <w:sz w:val="20"/>
              </w:rPr>
              <w:t>0.18 / 0.25</w:t>
            </w:r>
          </w:p>
        </w:tc>
        <w:tc>
          <w:tcPr>
            <w:tcW w:type="dxa" w:w="1396"/>
            <w:shd w:val="clear" w:color="auto" w:fill="F7F9FB"/>
            <w:vAlign w:val="center"/>
          </w:tcPr>
          <w:p>
            <w:pPr>
              <w:keepNext/>
              <w:spacing w:after="0"/>
            </w:pPr>
            <w:r>
              <w:rPr>
                <w:rFonts w:ascii="Calibri" w:hAnsi="Calibri"/>
                <w:b w:val="0"/>
                <w:i w:val="0"/>
                <w:color w:val="222222"/>
                <w:sz w:val="20"/>
              </w:rPr>
              <w:t>0.73 (0.49 to 1.15)</w:t>
            </w:r>
          </w:p>
        </w:tc>
        <w:tc>
          <w:tcPr>
            <w:tcW w:type="dxa" w:w="2330"/>
            <w:shd w:val="clear" w:color="auto" w:fill="F7F9FB"/>
            <w:vAlign w:val="center"/>
          </w:tcPr>
          <w:p>
            <w:pPr>
              <w:keepNext/>
              <w:spacing w:after="0"/>
              <w:jc w:val="center"/>
            </w:pPr>
            <w:r>
              <w:rPr>
                <w:rFonts w:ascii="Calibri" w:hAnsi="Calibri"/>
                <w:b w:val="0"/>
                <w:i w:val="0"/>
                <w:color w:val="222222"/>
                <w:sz w:val="20"/>
              </w:rPr>
              <w:t>0.50 / 0.23</w:t>
            </w:r>
          </w:p>
        </w:tc>
        <w:tc>
          <w:tcPr>
            <w:tcW w:type="dxa" w:w="1396"/>
            <w:shd w:val="clear" w:color="auto" w:fill="F7F9FB"/>
            <w:vAlign w:val="center"/>
          </w:tcPr>
          <w:p>
            <w:pPr>
              <w:keepNext/>
              <w:spacing w:after="0"/>
            </w:pPr>
            <w:r>
              <w:rPr>
                <w:rFonts w:ascii="Calibri" w:hAnsi="Calibri"/>
                <w:b w:val="0"/>
                <w:i w:val="0"/>
                <w:color w:val="222222"/>
                <w:sz w:val="20"/>
              </w:rPr>
              <w:t>2.23 (1.57 to 3.45)</w:t>
            </w:r>
          </w:p>
        </w:tc>
      </w:tr>
      <w:tr>
        <w:trPr>
          <w:cantSplit/>
        </w:trPr>
        <w:tc>
          <w:tcPr>
            <w:tcW w:type="dxa" w:w="1505"/>
            <w:shd w:val="clear" w:color="auto" w:fill="FFFFFF"/>
            <w:vAlign w:val="center"/>
          </w:tcPr>
          <w:p>
            <w:pPr>
              <w:keepNext/>
              <w:spacing w:after="0"/>
            </w:pPr>
            <w:r>
              <w:rPr>
                <w:rFonts w:ascii="Calibri" w:hAnsi="Calibri"/>
                <w:b/>
                <w:i w:val="0"/>
                <w:color w:val="222222"/>
                <w:sz w:val="20"/>
              </w:rPr>
              <w:t>burst duration s</w:t>
            </w:r>
          </w:p>
        </w:tc>
        <w:tc>
          <w:tcPr>
            <w:tcW w:type="dxa" w:w="1868"/>
            <w:shd w:val="clear" w:color="auto" w:fill="FFFFFF"/>
            <w:vAlign w:val="center"/>
          </w:tcPr>
          <w:p>
            <w:pPr>
              <w:keepNext/>
              <w:spacing w:after="0"/>
              <w:jc w:val="center"/>
            </w:pPr>
            <w:r>
              <w:rPr>
                <w:rFonts w:ascii="Calibri" w:hAnsi="Calibri"/>
                <w:b w:val="0"/>
                <w:i w:val="0"/>
                <w:color w:val="222222"/>
                <w:sz w:val="20"/>
              </w:rPr>
              <w:t>0.11 / 0.08</w:t>
            </w:r>
          </w:p>
        </w:tc>
        <w:tc>
          <w:tcPr>
            <w:tcW w:type="dxa" w:w="1396"/>
            <w:shd w:val="clear" w:color="auto" w:fill="FFFFFF"/>
            <w:vAlign w:val="center"/>
          </w:tcPr>
          <w:p>
            <w:pPr>
              <w:keepNext/>
              <w:spacing w:after="0"/>
            </w:pPr>
            <w:r>
              <w:rPr>
                <w:rFonts w:ascii="Calibri" w:hAnsi="Calibri"/>
                <w:b w:val="0"/>
                <w:i w:val="0"/>
                <w:color w:val="222222"/>
                <w:sz w:val="20"/>
              </w:rPr>
              <w:t>1.35 (0.82 to 2.43)</w:t>
            </w:r>
          </w:p>
        </w:tc>
        <w:tc>
          <w:tcPr>
            <w:tcW w:type="dxa" w:w="2330"/>
            <w:shd w:val="clear" w:color="auto" w:fill="FFFFFF"/>
            <w:vAlign w:val="center"/>
          </w:tcPr>
          <w:p>
            <w:pPr>
              <w:keepNext/>
              <w:spacing w:after="0"/>
              <w:jc w:val="center"/>
            </w:pPr>
            <w:r>
              <w:rPr>
                <w:rFonts w:ascii="Calibri" w:hAnsi="Calibri"/>
                <w:b w:val="0"/>
                <w:i w:val="0"/>
                <w:color w:val="222222"/>
                <w:sz w:val="20"/>
              </w:rPr>
              <w:t>0.37 / 0.21</w:t>
            </w:r>
          </w:p>
        </w:tc>
        <w:tc>
          <w:tcPr>
            <w:tcW w:type="dxa" w:w="1396"/>
            <w:shd w:val="clear" w:color="auto" w:fill="FFFFFF"/>
            <w:vAlign w:val="center"/>
          </w:tcPr>
          <w:p>
            <w:pPr>
              <w:keepNext/>
              <w:spacing w:after="0"/>
            </w:pPr>
            <w:r>
              <w:rPr>
                <w:rFonts w:ascii="Calibri" w:hAnsi="Calibri"/>
                <w:b w:val="0"/>
                <w:i w:val="0"/>
                <w:color w:val="222222"/>
                <w:sz w:val="20"/>
              </w:rPr>
              <w:t>1.73 (0.55 to 3.65)</w:t>
            </w:r>
          </w:p>
        </w:tc>
      </w:tr>
      <w:tr>
        <w:trPr>
          <w:cantSplit/>
        </w:trPr>
        <w:tc>
          <w:tcPr>
            <w:tcW w:type="dxa" w:w="1505"/>
            <w:shd w:val="clear" w:color="auto" w:fill="F7F9FB"/>
            <w:vAlign w:val="center"/>
          </w:tcPr>
          <w:p>
            <w:pPr>
              <w:keepNext/>
              <w:spacing w:after="0"/>
            </w:pPr>
            <w:r>
              <w:rPr>
                <w:rFonts w:ascii="Calibri" w:hAnsi="Calibri"/>
                <w:b/>
                <w:i w:val="0"/>
                <w:color w:val="222222"/>
                <w:sz w:val="20"/>
              </w:rPr>
              <w:t>spikes per burst</w:t>
            </w:r>
          </w:p>
        </w:tc>
        <w:tc>
          <w:tcPr>
            <w:tcW w:type="dxa" w:w="1868"/>
            <w:shd w:val="clear" w:color="auto" w:fill="F7F9FB"/>
            <w:vAlign w:val="center"/>
          </w:tcPr>
          <w:p>
            <w:pPr>
              <w:keepNext/>
              <w:spacing w:after="0"/>
              <w:jc w:val="center"/>
            </w:pPr>
            <w:r>
              <w:rPr>
                <w:rFonts w:ascii="Calibri" w:hAnsi="Calibri"/>
                <w:b w:val="0"/>
                <w:i w:val="0"/>
                <w:color w:val="222222"/>
                <w:sz w:val="20"/>
              </w:rPr>
              <w:t>0.16 / 0.08</w:t>
            </w:r>
          </w:p>
        </w:tc>
        <w:tc>
          <w:tcPr>
            <w:tcW w:type="dxa" w:w="1396"/>
            <w:shd w:val="clear" w:color="auto" w:fill="F7F9FB"/>
            <w:vAlign w:val="center"/>
          </w:tcPr>
          <w:p>
            <w:pPr>
              <w:keepNext/>
              <w:spacing w:after="0"/>
            </w:pPr>
            <w:r>
              <w:rPr>
                <w:rFonts w:ascii="Calibri" w:hAnsi="Calibri"/>
                <w:b w:val="0"/>
                <w:i w:val="0"/>
                <w:color w:val="222222"/>
                <w:sz w:val="20"/>
              </w:rPr>
              <w:t>2.07 (1.23 to 3.75)</w:t>
            </w:r>
          </w:p>
        </w:tc>
        <w:tc>
          <w:tcPr>
            <w:tcW w:type="dxa" w:w="2330"/>
            <w:shd w:val="clear" w:color="auto" w:fill="F7F9FB"/>
            <w:vAlign w:val="center"/>
          </w:tcPr>
          <w:p>
            <w:pPr>
              <w:keepNext/>
              <w:spacing w:after="0"/>
              <w:jc w:val="center"/>
            </w:pPr>
            <w:r>
              <w:rPr>
                <w:rFonts w:ascii="Calibri" w:hAnsi="Calibri"/>
                <w:b w:val="0"/>
                <w:i w:val="0"/>
                <w:color w:val="222222"/>
                <w:sz w:val="20"/>
              </w:rPr>
              <w:t>0.41 / 0.25</w:t>
            </w:r>
          </w:p>
        </w:tc>
        <w:tc>
          <w:tcPr>
            <w:tcW w:type="dxa" w:w="1396"/>
            <w:shd w:val="clear" w:color="auto" w:fill="F7F9FB"/>
            <w:vAlign w:val="center"/>
          </w:tcPr>
          <w:p>
            <w:pPr>
              <w:keepNext/>
              <w:spacing w:after="0"/>
            </w:pPr>
            <w:r>
              <w:rPr>
                <w:rFonts w:ascii="Calibri" w:hAnsi="Calibri"/>
                <w:b w:val="0"/>
                <w:i w:val="0"/>
                <w:color w:val="222222"/>
                <w:sz w:val="20"/>
              </w:rPr>
              <w:t>1.61 (0.60 to 3.16)</w:t>
            </w:r>
          </w:p>
        </w:tc>
      </w:tr>
      <w:tr>
        <w:trPr>
          <w:cantSplit/>
        </w:trPr>
        <w:tc>
          <w:tcPr>
            <w:tcW w:type="dxa" w:w="1505"/>
            <w:shd w:val="clear" w:color="auto" w:fill="FFFFFF"/>
            <w:vAlign w:val="center"/>
          </w:tcPr>
          <w:p>
            <w:pPr>
              <w:keepNext/>
              <w:spacing w:after="0"/>
            </w:pPr>
            <w:r>
              <w:rPr>
                <w:rFonts w:ascii="Calibri" w:hAnsi="Calibri"/>
                <w:b/>
                <w:i w:val="0"/>
                <w:color w:val="222222"/>
                <w:sz w:val="20"/>
              </w:rPr>
              <w:t>pct spikes in bursts</w:t>
            </w:r>
          </w:p>
        </w:tc>
        <w:tc>
          <w:tcPr>
            <w:tcW w:type="dxa" w:w="1868"/>
            <w:shd w:val="clear" w:color="auto" w:fill="FFFFFF"/>
            <w:vAlign w:val="center"/>
          </w:tcPr>
          <w:p>
            <w:pPr>
              <w:keepNext/>
              <w:spacing w:after="0"/>
              <w:jc w:val="center"/>
            </w:pPr>
            <w:r>
              <w:rPr>
                <w:rFonts w:ascii="Calibri" w:hAnsi="Calibri"/>
                <w:b w:val="0"/>
                <w:i w:val="0"/>
                <w:color w:val="222222"/>
                <w:sz w:val="20"/>
              </w:rPr>
              <w:t>0.07 / 0.20</w:t>
            </w:r>
          </w:p>
        </w:tc>
        <w:tc>
          <w:tcPr>
            <w:tcW w:type="dxa" w:w="1396"/>
            <w:shd w:val="clear" w:color="auto" w:fill="FFFFFF"/>
            <w:vAlign w:val="center"/>
          </w:tcPr>
          <w:p>
            <w:pPr>
              <w:keepNext/>
              <w:spacing w:after="0"/>
            </w:pPr>
            <w:r>
              <w:rPr>
                <w:rFonts w:ascii="Calibri" w:hAnsi="Calibri"/>
                <w:b w:val="0"/>
                <w:i w:val="0"/>
                <w:color w:val="222222"/>
                <w:sz w:val="20"/>
              </w:rPr>
              <w:t>0.35 (0.21 to 0.65)</w:t>
            </w:r>
          </w:p>
        </w:tc>
        <w:tc>
          <w:tcPr>
            <w:tcW w:type="dxa" w:w="2330"/>
            <w:shd w:val="clear" w:color="auto" w:fill="FFFFFF"/>
            <w:vAlign w:val="center"/>
          </w:tcPr>
          <w:p>
            <w:pPr>
              <w:keepNext/>
              <w:spacing w:after="0"/>
              <w:jc w:val="center"/>
            </w:pPr>
            <w:r>
              <w:rPr>
                <w:rFonts w:ascii="Calibri" w:hAnsi="Calibri"/>
                <w:b w:val="0"/>
                <w:i w:val="0"/>
                <w:color w:val="222222"/>
                <w:sz w:val="20"/>
              </w:rPr>
              <w:t>0.47 / 0.11</w:t>
            </w:r>
          </w:p>
        </w:tc>
        <w:tc>
          <w:tcPr>
            <w:tcW w:type="dxa" w:w="1396"/>
            <w:shd w:val="clear" w:color="auto" w:fill="FFFFFF"/>
            <w:vAlign w:val="center"/>
          </w:tcPr>
          <w:p>
            <w:pPr>
              <w:keepNext/>
              <w:spacing w:after="0"/>
            </w:pPr>
            <w:r>
              <w:rPr>
                <w:rFonts w:ascii="Calibri" w:hAnsi="Calibri"/>
                <w:b w:val="0"/>
                <w:i w:val="0"/>
                <w:color w:val="222222"/>
                <w:sz w:val="20"/>
              </w:rPr>
              <w:t>4.14 (2.36 to 9.56)</w:t>
            </w:r>
          </w:p>
        </w:tc>
      </w:tr>
      <w:tr>
        <w:trPr>
          <w:cantSplit/>
        </w:trPr>
        <w:tc>
          <w:tcPr>
            <w:tcW w:type="dxa" w:w="1505"/>
            <w:shd w:val="clear" w:color="auto" w:fill="F7F9FB"/>
            <w:vAlign w:val="center"/>
          </w:tcPr>
          <w:p>
            <w:pPr>
              <w:keepNext/>
              <w:spacing w:after="0"/>
            </w:pPr>
            <w:r>
              <w:rPr>
                <w:rFonts w:ascii="Calibri" w:hAnsi="Calibri"/>
                <w:b/>
                <w:i w:val="0"/>
                <w:color w:val="222222"/>
                <w:sz w:val="20"/>
              </w:rPr>
              <w:t>network burst rate per min</w:t>
            </w:r>
          </w:p>
        </w:tc>
        <w:tc>
          <w:tcPr>
            <w:tcW w:type="dxa" w:w="1868"/>
            <w:shd w:val="clear" w:color="auto" w:fill="F7F9FB"/>
            <w:vAlign w:val="center"/>
          </w:tcPr>
          <w:p>
            <w:pPr>
              <w:keepNext/>
              <w:spacing w:after="0"/>
              <w:jc w:val="center"/>
            </w:pPr>
            <w:r>
              <w:rPr>
                <w:rFonts w:ascii="Calibri" w:hAnsi="Calibri"/>
                <w:b w:val="0"/>
                <w:i w:val="0"/>
                <w:color w:val="222222"/>
                <w:sz w:val="20"/>
              </w:rPr>
              <w:t>1.01 / 1.49</w:t>
            </w:r>
          </w:p>
        </w:tc>
        <w:tc>
          <w:tcPr>
            <w:tcW w:type="dxa" w:w="1396"/>
            <w:shd w:val="clear" w:color="auto" w:fill="F7F9FB"/>
            <w:vAlign w:val="center"/>
          </w:tcPr>
          <w:p>
            <w:pPr>
              <w:keepNext/>
              <w:spacing w:after="0"/>
            </w:pPr>
            <w:r>
              <w:rPr>
                <w:rFonts w:ascii="Calibri" w:hAnsi="Calibri"/>
                <w:b w:val="0"/>
                <w:i w:val="0"/>
                <w:color w:val="222222"/>
                <w:sz w:val="20"/>
              </w:rPr>
              <w:t>0.68 (0.37 to 1.22)</w:t>
            </w:r>
          </w:p>
        </w:tc>
        <w:tc>
          <w:tcPr>
            <w:tcW w:type="dxa" w:w="2330"/>
            <w:shd w:val="clear" w:color="auto" w:fill="F7F9FB"/>
            <w:vAlign w:val="center"/>
          </w:tcPr>
          <w:p>
            <w:pPr>
              <w:keepNext/>
              <w:spacing w:after="0"/>
              <w:jc w:val="center"/>
            </w:pPr>
            <w:r>
              <w:rPr>
                <w:rFonts w:ascii="Calibri" w:hAnsi="Calibri"/>
                <w:b w:val="0"/>
                <w:i w:val="0"/>
                <w:color w:val="222222"/>
                <w:sz w:val="20"/>
              </w:rPr>
              <w:t>1.62 / 0.65</w:t>
            </w:r>
          </w:p>
        </w:tc>
        <w:tc>
          <w:tcPr>
            <w:tcW w:type="dxa" w:w="1396"/>
            <w:shd w:val="clear" w:color="auto" w:fill="F7F9FB"/>
            <w:vAlign w:val="center"/>
          </w:tcPr>
          <w:p>
            <w:pPr>
              <w:keepNext/>
              <w:spacing w:after="0"/>
            </w:pPr>
            <w:r>
              <w:rPr>
                <w:rFonts w:ascii="Calibri" w:hAnsi="Calibri"/>
                <w:b w:val="0"/>
                <w:i w:val="0"/>
                <w:color w:val="222222"/>
                <w:sz w:val="20"/>
              </w:rPr>
              <w:t>2.47 (1.46 to 6.41)</w:t>
            </w:r>
          </w:p>
        </w:tc>
      </w:tr>
      <w:tr>
        <w:trPr>
          <w:cantSplit/>
        </w:trPr>
        <w:tc>
          <w:tcPr>
            <w:tcW w:type="dxa" w:w="1505"/>
            <w:shd w:val="clear" w:color="auto" w:fill="FFFFFF"/>
            <w:vAlign w:val="center"/>
          </w:tcPr>
          <w:p>
            <w:pPr>
              <w:keepNext/>
              <w:spacing w:after="0"/>
            </w:pPr>
            <w:r>
              <w:rPr>
                <w:rFonts w:ascii="Calibri" w:hAnsi="Calibri"/>
                <w:b/>
                <w:i w:val="0"/>
                <w:color w:val="222222"/>
                <w:sz w:val="20"/>
              </w:rPr>
              <w:t>synchrony index</w:t>
            </w:r>
          </w:p>
        </w:tc>
        <w:tc>
          <w:tcPr>
            <w:tcW w:type="dxa" w:w="1868"/>
            <w:shd w:val="clear" w:color="auto" w:fill="FFFFFF"/>
            <w:vAlign w:val="center"/>
          </w:tcPr>
          <w:p>
            <w:pPr>
              <w:keepNext/>
              <w:spacing w:after="0"/>
              <w:jc w:val="center"/>
            </w:pPr>
            <w:r>
              <w:rPr>
                <w:rFonts w:ascii="Calibri" w:hAnsi="Calibri"/>
                <w:b w:val="0"/>
                <w:i w:val="0"/>
                <w:color w:val="222222"/>
                <w:sz w:val="20"/>
              </w:rPr>
              <w:t>0.19 / 0.46</w:t>
            </w:r>
          </w:p>
        </w:tc>
        <w:tc>
          <w:tcPr>
            <w:tcW w:type="dxa" w:w="1396"/>
            <w:shd w:val="clear" w:color="auto" w:fill="FFFFFF"/>
            <w:vAlign w:val="center"/>
          </w:tcPr>
          <w:p>
            <w:pPr>
              <w:keepNext/>
              <w:spacing w:after="0"/>
            </w:pPr>
            <w:r>
              <w:rPr>
                <w:rFonts w:ascii="Calibri" w:hAnsi="Calibri"/>
                <w:b w:val="0"/>
                <w:i w:val="0"/>
                <w:color w:val="222222"/>
                <w:sz w:val="20"/>
              </w:rPr>
              <w:t>0.42 (0.23 to 0.99)</w:t>
            </w:r>
          </w:p>
        </w:tc>
        <w:tc>
          <w:tcPr>
            <w:tcW w:type="dxa" w:w="2330"/>
            <w:shd w:val="clear" w:color="auto" w:fill="FFFFFF"/>
            <w:vAlign w:val="center"/>
          </w:tcPr>
          <w:p>
            <w:pPr>
              <w:keepNext/>
              <w:spacing w:after="0"/>
              <w:jc w:val="center"/>
            </w:pPr>
            <w:r>
              <w:rPr>
                <w:rFonts w:ascii="Calibri" w:hAnsi="Calibri"/>
                <w:b w:val="0"/>
                <w:i w:val="0"/>
                <w:color w:val="222222"/>
                <w:sz w:val="20"/>
              </w:rPr>
              <w:t>0.37 / 0.22</w:t>
            </w:r>
          </w:p>
        </w:tc>
        <w:tc>
          <w:tcPr>
            <w:tcW w:type="dxa" w:w="1396"/>
            <w:shd w:val="clear" w:color="auto" w:fill="FFFFFF"/>
            <w:vAlign w:val="center"/>
          </w:tcPr>
          <w:p>
            <w:pPr>
              <w:keepNext/>
              <w:spacing w:after="0"/>
            </w:pPr>
            <w:r>
              <w:rPr>
                <w:rFonts w:ascii="Calibri" w:hAnsi="Calibri"/>
                <w:b w:val="0"/>
                <w:i w:val="0"/>
                <w:color w:val="222222"/>
                <w:sz w:val="20"/>
              </w:rPr>
              <w:t>1.64 (1.16 to 2.80)</w:t>
            </w:r>
          </w:p>
        </w:tc>
      </w:tr>
      <w:tr>
        <w:trPr>
          <w:cantSplit/>
        </w:trPr>
        <w:tc>
          <w:tcPr>
            <w:tcW w:type="dxa" w:w="1505"/>
            <w:shd w:val="clear" w:color="auto" w:fill="F7F9FB"/>
            <w:vAlign w:val="center"/>
          </w:tcPr>
          <w:p>
            <w:pPr>
              <w:keepNext w:val="0"/>
              <w:spacing w:after="0"/>
            </w:pPr>
            <w:r>
              <w:rPr>
                <w:rFonts w:ascii="Calibri" w:hAnsi="Calibri"/>
                <w:b/>
                <w:i w:val="0"/>
                <w:color w:val="222222"/>
                <w:sz w:val="20"/>
              </w:rPr>
              <w:t>isi cv</w:t>
            </w:r>
          </w:p>
        </w:tc>
        <w:tc>
          <w:tcPr>
            <w:tcW w:type="dxa" w:w="1868"/>
            <w:shd w:val="clear" w:color="auto" w:fill="F7F9FB"/>
            <w:vAlign w:val="center"/>
          </w:tcPr>
          <w:p>
            <w:pPr>
              <w:keepNext w:val="0"/>
              <w:spacing w:after="0"/>
              <w:jc w:val="center"/>
            </w:pPr>
            <w:r>
              <w:rPr>
                <w:rFonts w:ascii="Calibri" w:hAnsi="Calibri"/>
                <w:b w:val="0"/>
                <w:i w:val="0"/>
                <w:color w:val="222222"/>
                <w:sz w:val="20"/>
              </w:rPr>
              <w:t>0.11 / 0.03</w:t>
            </w:r>
          </w:p>
        </w:tc>
        <w:tc>
          <w:tcPr>
            <w:tcW w:type="dxa" w:w="1396"/>
            <w:shd w:val="clear" w:color="auto" w:fill="F7F9FB"/>
            <w:vAlign w:val="center"/>
          </w:tcPr>
          <w:p>
            <w:pPr>
              <w:keepNext w:val="0"/>
              <w:spacing w:after="0"/>
            </w:pPr>
            <w:r>
              <w:rPr>
                <w:rFonts w:ascii="Calibri" w:hAnsi="Calibri"/>
                <w:b w:val="0"/>
                <w:i w:val="0"/>
                <w:color w:val="222222"/>
                <w:sz w:val="20"/>
              </w:rPr>
              <w:t>3.11 (2.01 to 4.36)</w:t>
            </w:r>
          </w:p>
        </w:tc>
        <w:tc>
          <w:tcPr>
            <w:tcW w:type="dxa" w:w="2330"/>
            <w:shd w:val="clear" w:color="auto" w:fill="F7F9FB"/>
            <w:vAlign w:val="center"/>
          </w:tcPr>
          <w:p>
            <w:pPr>
              <w:keepNext w:val="0"/>
              <w:spacing w:after="0"/>
              <w:jc w:val="center"/>
            </w:pPr>
            <w:r>
              <w:rPr>
                <w:rFonts w:ascii="Calibri" w:hAnsi="Calibri"/>
                <w:b w:val="0"/>
                <w:i w:val="0"/>
                <w:color w:val="222222"/>
                <w:sz w:val="20"/>
              </w:rPr>
              <w:t>0.15 / 0.22</w:t>
            </w:r>
          </w:p>
        </w:tc>
        <w:tc>
          <w:tcPr>
            <w:tcW w:type="dxa" w:w="1396"/>
            <w:shd w:val="clear" w:color="auto" w:fill="F7F9FB"/>
            <w:vAlign w:val="center"/>
          </w:tcPr>
          <w:p>
            <w:pPr>
              <w:keepNext w:val="0"/>
              <w:spacing w:after="0"/>
            </w:pPr>
            <w:r>
              <w:rPr>
                <w:rFonts w:ascii="Calibri" w:hAnsi="Calibri"/>
                <w:b w:val="0"/>
                <w:i w:val="0"/>
                <w:color w:val="222222"/>
                <w:sz w:val="20"/>
              </w:rPr>
              <w:t>0.70 (0.50 to 1.10)</w:t>
            </w:r>
          </w:p>
        </w:tc>
      </w:tr>
    </w:tbl>
    <w:p>
      <w:pPr>
        <w:spacing w:after="80"/>
      </w:pPr>
    </w:p>
    <w:p>
      <w:pPr>
        <w:spacing w:after="120"/>
      </w:pPr>
      <w:r>
        <w:rPr>
          <w:rFonts w:ascii="Calibri" w:hAnsi="Calibri"/>
          <w:b w:val="0"/>
          <w:i w:val="0"/>
          <w:color w:val="222222"/>
          <w:sz w:val="21"/>
        </w:rPr>
        <w:t>Network burst rate is unscored for a well whose first half has no network burst: that removes 16 rat wells from the baselines and 50 human recordings from the developmental pool, so that readout rests on fewer, and more active, wells than the others.</w:t>
      </w:r>
    </w:p>
    <w:p>
      <w:pPr>
        <w:spacing w:after="120"/>
      </w:pPr>
      <w:r>
        <w:rPr>
          <w:rFonts w:ascii="Calibri" w:hAnsi="Calibri"/>
          <w:b/>
          <w:i w:val="0"/>
          <w:color w:val="156082"/>
          <w:sz w:val="21"/>
        </w:rPr>
        <w:t>Wells needed: a lower bound, reported and not tested.</w:t>
      </w:r>
      <w:r>
        <w:rPr>
          <w:rFonts w:ascii="Calibri" w:hAnsi="Calibri"/>
          <w:b w:val="0"/>
          <w:i w:val="0"/>
          <w:color w:val="222222"/>
          <w:sz w:val="21"/>
        </w:rPr>
        <w:t xml:space="preserve"> From the baselines' firing-rate SD, a same-session comparison at 5% false alarms and 80% power needs at least 7 human wells per arm to detect a 20% fall in firing rate, against at least 2 rat wells; a 50% fall needs at least 1 human and 1 rat well. These are </w:t>
      </w:r>
      <w:r>
        <w:rPr>
          <w:rFonts w:ascii="Calibri" w:hAnsi="Calibri"/>
          <w:b/>
          <w:i w:val="0"/>
          <w:color w:val="222222"/>
          <w:sz w:val="21"/>
        </w:rPr>
        <w:t>lower bounds</w:t>
      </w:r>
      <w:r>
        <w:rPr>
          <w:rFonts w:ascii="Calibri" w:hAnsi="Calibri"/>
          <w:b w:val="0"/>
          <w:i w:val="0"/>
          <w:color w:val="222222"/>
          <w:sz w:val="21"/>
        </w:rPr>
        <w:t>: noise within one untreated recording leaves out handling, compound addition and the day-to-day variation that §32's vehicle wells include, so the numbers a real assay needs should be larger, and they are not to be set beside §32's table, which measures a different noise. What carries over is the ratio: on these data a human iPSC firing-rate readout needed more wells than a rat one for the same change.</w:t>
      </w:r>
    </w:p>
    <w:p>
      <w:pPr>
        <w:spacing w:after="120"/>
      </w:pPr>
      <w:r>
        <w:rPr>
          <w:rFonts w:ascii="Calibri" w:hAnsi="Calibri"/>
          <w:b/>
          <w:i w:val="0"/>
          <w:color w:val="156082"/>
          <w:sz w:val="21"/>
        </w:rPr>
        <w:t>The assumption this rests on, and the check (registered).</w:t>
      </w:r>
      <w:r>
        <w:rPr>
          <w:rFonts w:ascii="Calibri" w:hAnsi="Calibri"/>
          <w:b w:val="0"/>
          <w:i w:val="0"/>
          <w:color w:val="222222"/>
          <w:sz w:val="21"/>
        </w:rPr>
        <w:t xml:space="preserve"> Fewer spikes give noisier rates, and the two species fire at different rates, so a species difference could be a firing-rate difference. Restricting the baselines to wells whose full-recording firing rate lies inside both species' 10th-90th percentile ranges (3.53 to 4.89 Hz) keeps 7 human and 14 rat wells and gives R = 4.62 (2.19 to 7.89), on the same side of 1 as the full estimate (other side of one: False). At matched firing rates the human wells are, if anything, noisier, though seven wells is few. Two further readings, descriptive and added after the first run: the usable human wells do not have fewer active electrodes than the rat ones (median 16 against 15), so averaging over fewer electrodes does not explain the difference; and both species' firing rate falls from the first half to the second, the human more (mean d −0.32 against −0.17). A fall shared by every well does not enter the SD, but wells that settle at different speeds after the plate goes into the reader would, so part of what is measured here may be settling rather than steady-state noise.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in the results under </w:t>
      </w:r>
      <w:r>
        <w:rPr>
          <w:rFonts w:ascii="Consolas" w:hAnsi="Consolas"/>
          <w:b w:val="0"/>
          <w:i w:val="0"/>
          <w:color w:val="222222"/>
          <w:sz w:val="19"/>
        </w:rPr>
        <w:t>implementation_notes</w:t>
      </w:r>
      <w:r>
        <w:rPr>
          <w:rFonts w:ascii="Calibri" w:hAnsi="Calibri"/>
          <w:b w:val="0"/>
          <w:i w:val="0"/>
          <w:color w:val="222222"/>
          <w:sz w:val="21"/>
        </w:rPr>
        <w:t>: a spike exactly at the cut starts the second half; P1 needs the interval's lower end strictly above 1 and P3 a point estimate strictly above 1; P2 is judged on the primary pool with the SD; well counts are distinct wells (plate and well), and on the developmental plates the SD pools all of a species' usable recordings while the bootstrap draws whole wells; the developmental plates' noisy-electrode lists are read from the column for each recording's DIV; synchrony (STTC) can be negative, and a non-positive second half is floored like any other fall; each interval draws from its own generator with the registered seed; and the overlap check uses the usable baseline wells, with percentile ends included.</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Split-half noise is not exposure noise: it is the movement of one undisturbed recording, not of a well handled, dosed and read again, so it says how the two culture types compare under the gentlest possible conditions, not what an assay will see. Everything here comes from one lab, one human iPSC line and one rat preparation, at one age each (DIV29 and DIV22 on the baselines); another line, protocol or culture age could order the species differently. Half the human baseline plate was excluded upstream, and we do not know why. None of this says anything about human biology, about a compound, or about how either culture type predicts an effect in people; it is a property of two public recording sets that bears on how many wells a human iPSC chip assay might need.</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6" name="Picture 26"/>
            <wp:cNvGraphicFramePr>
              <a:graphicFrameLocks noChangeAspect="1"/>
            </wp:cNvGraphicFramePr>
            <a:graphic>
              <a:graphicData uri="http://schemas.openxmlformats.org/drawingml/2006/picture">
                <pic:pic>
                  <pic:nvPicPr>
                    <pic:cNvPr id="0" name="hd14_posterior_ranks_simulated.png"/>
                    <pic:cNvPicPr/>
                  </pic:nvPicPr>
                  <pic:blipFill>
                    <a:blip r:embed="rId38"/>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26. </w:t>
      </w:r>
      <w:r>
        <w:rPr>
          <w:rFonts w:ascii="Calibri" w:hAnsi="Calibri"/>
          <w:b w:val="0"/>
          <w:i/>
          <w:color w:val="222222"/>
          <w:sz w:val="17"/>
        </w:rPr>
        <w:t>SIMULATED posterior calibration: the rank of the true parameter among posterior samples. Flat would be calibrated; these are not.</w:t>
      </w:r>
    </w:p>
    <w:p>
      <w:pPr>
        <w:keepNext/>
        <w:spacing w:after="120"/>
      </w:pPr>
      <w:r>
        <w:rPr>
          <w:rFonts w:ascii="Calibri" w:hAnsi="Calibri"/>
          <w:b w:val="0"/>
          <w:i w:val="0"/>
          <w:color w:val="222222"/>
          <w:sz w:val="21"/>
        </w:rPr>
        <w:t>After round 1 (§16, decision D31) the first-round flow and the five-flow ensemble were judged on the same 1,000 fresh held-out simulations. The ensemble's histograms are flatter and its coverage sits closer to the diagonal, but the U shape of over-confidence remains for four parameters.</w:t>
      </w:r>
    </w:p>
    <w:p>
      <w:pPr>
        <w:keepNext/>
        <w:spacing w:before="120" w:after="40"/>
        <w:jc w:val="center"/>
      </w:pPr>
      <w:r>
        <w:drawing>
          <wp:inline xmlns:a="http://schemas.openxmlformats.org/drawingml/2006/main" xmlns:pic="http://schemas.openxmlformats.org/drawingml/2006/picture">
            <wp:extent cx="5394960" cy="3823821"/>
            <wp:docPr id="27" name="Picture 27"/>
            <wp:cNvGraphicFramePr>
              <a:graphicFrameLocks noChangeAspect="1"/>
            </wp:cNvGraphicFramePr>
            <a:graphic>
              <a:graphicData uri="http://schemas.openxmlformats.org/drawingml/2006/picture">
                <pic:pic>
                  <pic:nvPicPr>
                    <pic:cNvPr id="0" name="hd14b_recalibration_simulated.png"/>
                    <pic:cNvPicPr/>
                  </pic:nvPicPr>
                  <pic:blipFill>
                    <a:blip r:embed="rId39"/>
                    <a:stretch>
                      <a:fillRect/>
                    </a:stretch>
                  </pic:blipFill>
                  <pic:spPr>
                    <a:xfrm>
                      <a:off x="0" y="0"/>
                      <a:ext cx="5394960" cy="3823821"/>
                    </a:xfrm>
                    <a:prstGeom prst="rect"/>
                  </pic:spPr>
                </pic:pic>
              </a:graphicData>
            </a:graphic>
          </wp:inline>
        </w:drawing>
      </w:r>
    </w:p>
    <w:p>
      <w:pPr>
        <w:spacing w:after="200"/>
        <w:jc w:val="center"/>
      </w:pPr>
      <w:r>
        <w:rPr>
          <w:rFonts w:ascii="Calibri" w:hAnsi="Calibri"/>
          <w:b/>
          <w:i/>
          <w:color w:val="222222"/>
          <w:sz w:val="17"/>
        </w:rPr>
        <w:t xml:space="preserve">Figure 27. </w:t>
      </w:r>
      <w:r>
        <w:rPr>
          <w:rFonts w:ascii="Calibri" w:hAnsi="Calibri"/>
          <w:b w:val="0"/>
          <w:i/>
          <w:color w:val="222222"/>
          <w:sz w:val="17"/>
        </w:rPr>
        <w:t>SIMULATED: the first-round flow (top) and the five-flow ensemble on 15,750 simulations (middle) on 1,000 fresh held-out simulations; grey is the band a calibrated model fills 99% of the time. Bottom: empirical against nominal coverage of central credible intervals for all four estimators.</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28" name="Picture 28"/>
            <wp:cNvGraphicFramePr>
              <a:graphicFrameLocks noChangeAspect="1"/>
            </wp:cNvGraphicFramePr>
            <a:graphic>
              <a:graphicData uri="http://schemas.openxmlformats.org/drawingml/2006/picture">
                <pic:pic>
                  <pic:nvPicPr>
                    <pic:cNvPr id="0" name="microchannel_asymmetry_real.png"/>
                    <pic:cNvPicPr/>
                  </pic:nvPicPr>
                  <pic:blipFill>
                    <a:blip r:embed="rId40"/>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28.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