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D22. Resolving stage 4b's one-step margins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the two thin margins reported; a finer dose grid inside them, as the motor-level tie-break did; a different movement impairment line (a new rule chosen after the results, so not taken).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finer grid (stage 4c, registration commit f387845): GABA-A potentiation at gaba_scale 1.6-1.9 and excitability block at threshold_scale 1.24-1.36 and 1.44-1.56, with stage 4b's movement seeds and both of the parent's chip seed sets, the coarse levels rerun as a reproduction check.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4b showed that in two families the headline rests on a single step of the dose grid, and a finer grid is the direct way to ask what happens inside it.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f387845). Excitability block resolves chip later against both chip runs; GABA-A potentiation stays chip later with the full index, and tied without the bitter-gated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(for example a walking readout, once one exists) would tell whether GABA-A potentiation's lateness is specific to feeding.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