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0 of 2 (stage 3 stays a documented negative).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D21. After stage 3: replicate the headline before anything new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science that needs a model not at hand (a muscle-driven hind leg, neuron volumes for the size rule); 13A/13B subsets or pulsed activation (a leaky integrate-and-fire network has no rebound); paper and slide writing only; a registered replication of stage 4a, the paper's headline, which ran on one set of 8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replication (stage 4b, registration commit b23f6a3): stage 4a's movements on 16 fresh seeds, against the chip detections of the parent design's own fresh-seed replication, with each movement left out in turn.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result a reviewer will press first, it is cheap (about 15 minutes), and the leave-one-out check names the assumption most likely to make it wrong (that one movement carries the disruption index).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b23f6a3). The chip is late in every family on the fresh seeds; without the bitter-gated proboscis GABA-A potentiation ties the chip.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different impairment line for movement (the 0.05 mm sensitivity is reported); a finer dose grid for GABA-A potentiation and excitability block, where the margin is one step.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