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4"/>
        <w:gridCol w:w="2859"/>
        <w:gridCol w:w="2516"/>
        <w:gridCol w:w="1180"/>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4"/>
            <w:shd w:val="clear" w:color="auto" w:fill="1F4E79"/>
            <w:vAlign w:val="center"/>
          </w:tcPr>
          <w:p>
            <w:pPr>
              <w:keepNext/>
              <w:spacing w:after="0"/>
              <w:jc w:val="center"/>
            </w:pPr>
            <w:r>
              <w:rPr>
                <w:rFonts w:ascii="Calibri" w:hAnsi="Calibri"/>
                <w:b/>
                <w:i w:val="0"/>
                <w:color w:val="FFFFFF"/>
                <w:sz w:val="20"/>
              </w:rPr>
              <w:t>Date</w:t>
            </w:r>
          </w:p>
        </w:tc>
        <w:tc>
          <w:tcPr>
            <w:tcW w:type="dxa" w:w="2859"/>
            <w:shd w:val="clear" w:color="auto" w:fill="1F4E79"/>
            <w:vAlign w:val="center"/>
          </w:tcPr>
          <w:p>
            <w:pPr>
              <w:keepNext/>
              <w:spacing w:after="0"/>
            </w:pPr>
            <w:r>
              <w:rPr>
                <w:rFonts w:ascii="Calibri" w:hAnsi="Calibri"/>
                <w:b/>
                <w:i w:val="0"/>
                <w:color w:val="FFFFFF"/>
                <w:sz w:val="20"/>
              </w:rPr>
              <w:t>Change</w:t>
            </w:r>
          </w:p>
        </w:tc>
        <w:tc>
          <w:tcPr>
            <w:tcW w:type="dxa" w:w="2516"/>
            <w:shd w:val="clear" w:color="auto" w:fill="1F4E79"/>
            <w:vAlign w:val="center"/>
          </w:tcPr>
          <w:p>
            <w:pPr>
              <w:keepNext/>
              <w:spacing w:after="0"/>
            </w:pPr>
            <w:r>
              <w:rPr>
                <w:rFonts w:ascii="Calibri" w:hAnsi="Calibri"/>
                <w:b/>
                <w:i w:val="0"/>
                <w:color w:val="FFFFFF"/>
                <w:sz w:val="20"/>
              </w:rPr>
              <w:t>Effect on results</w:t>
            </w:r>
          </w:p>
        </w:tc>
        <w:tc>
          <w:tcPr>
            <w:tcW w:type="dxa" w:w="1180"/>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4"/>
            <w:shd w:val="clear" w:color="auto" w:fill="FFFFFF"/>
            <w:vAlign w:val="center"/>
          </w:tcPr>
          <w:p>
            <w:pPr>
              <w:keepNext/>
              <w:spacing w:after="0"/>
              <w:jc w:val="center"/>
            </w:pPr>
            <w:r>
              <w:rPr>
                <w:rFonts w:ascii="Calibri" w:hAnsi="Calibri"/>
                <w:b w:val="0"/>
                <w:i w:val="0"/>
                <w:color w:val="222222"/>
                <w:sz w:val="20"/>
              </w:rPr>
              <w:t>2026-10-10</w:t>
            </w:r>
          </w:p>
        </w:tc>
        <w:tc>
          <w:tcPr>
            <w:tcW w:type="dxa" w:w="2859"/>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16"/>
            <w:shd w:val="clear" w:color="auto" w:fill="FFFFFF"/>
            <w:vAlign w:val="center"/>
          </w:tcPr>
          <w:p>
            <w:pPr>
              <w:keepNext/>
              <w:spacing w:after="0"/>
            </w:pPr>
            <w:r>
              <w:rPr>
                <w:rFonts w:ascii="Calibri" w:hAnsi="Calibri"/>
                <w:b w:val="0"/>
                <w:i w:val="0"/>
                <w:color w:val="222222"/>
                <w:sz w:val="20"/>
              </w:rPr>
              <w:t>none (no number or claim changed)</w:t>
            </w:r>
          </w:p>
        </w:tc>
        <w:tc>
          <w:tcPr>
            <w:tcW w:type="dxa" w:w="1180"/>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4"/>
            <w:shd w:val="clear" w:color="auto" w:fill="F7F9FB"/>
            <w:vAlign w:val="center"/>
          </w:tcPr>
          <w:p>
            <w:pPr>
              <w:keepNext/>
              <w:spacing w:after="0"/>
              <w:jc w:val="center"/>
            </w:pPr>
            <w:r>
              <w:rPr>
                <w:rFonts w:ascii="Calibri" w:hAnsi="Calibri"/>
                <w:b w:val="0"/>
                <w:i w:val="0"/>
                <w:color w:val="222222"/>
                <w:sz w:val="20"/>
              </w:rPr>
              <w:t>2026-10-11</w:t>
            </w:r>
          </w:p>
        </w:tc>
        <w:tc>
          <w:tcPr>
            <w:tcW w:type="dxa" w:w="2859"/>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16"/>
            <w:shd w:val="clear" w:color="auto" w:fill="F7F9FB"/>
            <w:vAlign w:val="center"/>
          </w:tcPr>
          <w:p>
            <w:pPr>
              <w:keepNext/>
              <w:spacing w:after="0"/>
            </w:pPr>
            <w:r>
              <w:rPr>
                <w:rFonts w:ascii="Calibri" w:hAnsi="Calibri"/>
                <w:b w:val="0"/>
                <w:i w:val="0"/>
                <w:color w:val="222222"/>
                <w:sz w:val="20"/>
              </w:rPr>
              <w:t>the dose conclusion reverses</w:t>
            </w:r>
          </w:p>
        </w:tc>
        <w:tc>
          <w:tcPr>
            <w:tcW w:type="dxa" w:w="1180"/>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4"/>
            <w:shd w:val="clear" w:color="auto" w:fill="FFFFFF"/>
            <w:vAlign w:val="center"/>
          </w:tcPr>
          <w:p>
            <w:pPr>
              <w:keepNext/>
              <w:spacing w:after="0"/>
              <w:jc w:val="center"/>
            </w:pPr>
            <w:r>
              <w:rPr>
                <w:rFonts w:ascii="Calibri" w:hAnsi="Calibri"/>
                <w:b w:val="0"/>
                <w:i w:val="0"/>
                <w:color w:val="222222"/>
                <w:sz w:val="20"/>
              </w:rPr>
              <w:t>2026-10-22</w:t>
            </w:r>
          </w:p>
        </w:tc>
        <w:tc>
          <w:tcPr>
            <w:tcW w:type="dxa" w:w="2859"/>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16"/>
            <w:shd w:val="clear" w:color="auto" w:fill="FFFFFF"/>
            <w:vAlign w:val="center"/>
          </w:tcPr>
          <w:p>
            <w:pPr>
              <w:keepNext/>
              <w:spacing w:after="0"/>
            </w:pPr>
            <w:r>
              <w:rPr>
                <w:rFonts w:ascii="Calibri" w:hAnsi="Calibri"/>
                <w:b w:val="0"/>
                <w:i w:val="0"/>
                <w:color w:val="222222"/>
                <w:sz w:val="20"/>
              </w:rPr>
              <w:t>none; access only</w:t>
            </w:r>
          </w:p>
        </w:tc>
        <w:tc>
          <w:tcPr>
            <w:tcW w:type="dxa" w:w="1180"/>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4"/>
            <w:shd w:val="clear" w:color="auto" w:fill="F7F9FB"/>
            <w:vAlign w:val="center"/>
          </w:tcPr>
          <w:p>
            <w:pPr>
              <w:keepNext/>
              <w:spacing w:after="0"/>
              <w:jc w:val="center"/>
            </w:pPr>
            <w:r>
              <w:rPr>
                <w:rFonts w:ascii="Calibri" w:hAnsi="Calibri"/>
                <w:b w:val="0"/>
                <w:i w:val="0"/>
                <w:color w:val="222222"/>
                <w:sz w:val="20"/>
              </w:rPr>
              <w:t>2026-10-22/23</w:t>
            </w:r>
          </w:p>
        </w:tc>
        <w:tc>
          <w:tcPr>
            <w:tcW w:type="dxa" w:w="2859"/>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16"/>
            <w:shd w:val="clear" w:color="auto" w:fill="F7F9FB"/>
            <w:vAlign w:val="center"/>
          </w:tcPr>
          <w:p>
            <w:pPr>
              <w:keepNext/>
              <w:spacing w:after="0"/>
            </w:pPr>
            <w:r>
              <w:rPr>
                <w:rFonts w:ascii="Calibri" w:hAnsi="Calibri"/>
                <w:b w:val="0"/>
                <w:i w:val="0"/>
                <w:color w:val="222222"/>
                <w:sz w:val="20"/>
              </w:rPr>
              <w:t>new results, pre-registered</w:t>
            </w:r>
          </w:p>
        </w:tc>
        <w:tc>
          <w:tcPr>
            <w:tcW w:type="dxa" w:w="1180"/>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16"/>
            <w:shd w:val="clear" w:color="auto" w:fill="FFFFFF"/>
            <w:vAlign w:val="center"/>
          </w:tcPr>
          <w:p>
            <w:pPr>
              <w:keepNext/>
              <w:spacing w:after="0"/>
            </w:pPr>
            <w:r>
              <w:rPr>
                <w:rFonts w:ascii="Calibri" w:hAnsi="Calibri"/>
                <w:b w:val="0"/>
                <w:i w:val="0"/>
                <w:color w:val="222222"/>
                <w:sz w:val="20"/>
              </w:rPr>
              <w:t>none; structure only</w:t>
            </w:r>
          </w:p>
        </w:tc>
        <w:tc>
          <w:tcPr>
            <w:tcW w:type="dxa" w:w="1180"/>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16"/>
            <w:shd w:val="clear" w:color="auto" w:fill="F7F9FB"/>
            <w:vAlign w:val="center"/>
          </w:tcPr>
          <w:p>
            <w:pPr>
              <w:keepNext/>
              <w:spacing w:after="0"/>
            </w:pPr>
            <w:r>
              <w:rPr>
                <w:rFonts w:ascii="Calibri" w:hAnsi="Calibri"/>
                <w:b w:val="0"/>
                <w:i w:val="0"/>
                <w:color w:val="222222"/>
                <w:sz w:val="20"/>
              </w:rPr>
              <w:t>new comparison (descriptive)</w:t>
            </w:r>
          </w:p>
        </w:tc>
        <w:tc>
          <w:tcPr>
            <w:tcW w:type="dxa" w:w="1180"/>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16"/>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80"/>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16"/>
            <w:shd w:val="clear" w:color="auto" w:fill="F7F9FB"/>
            <w:vAlign w:val="center"/>
          </w:tcPr>
          <w:p>
            <w:pPr>
              <w:keepNext/>
              <w:spacing w:after="0"/>
            </w:pPr>
            <w:r>
              <w:rPr>
                <w:rFonts w:ascii="Calibri" w:hAnsi="Calibri"/>
                <w:b w:val="0"/>
                <w:i w:val="0"/>
                <w:color w:val="222222"/>
                <w:sz w:val="20"/>
              </w:rPr>
              <w:t>1 of 3 registered predictions pass</w:t>
            </w:r>
          </w:p>
        </w:tc>
        <w:tc>
          <w:tcPr>
            <w:tcW w:type="dxa" w:w="1180"/>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16"/>
            <w:shd w:val="clear" w:color="auto" w:fill="FFFFFF"/>
            <w:vAlign w:val="center"/>
          </w:tcPr>
          <w:p>
            <w:pPr>
              <w:keepNext/>
              <w:spacing w:after="0"/>
            </w:pPr>
            <w:r>
              <w:rPr>
                <w:rFonts w:ascii="Calibri" w:hAnsi="Calibri"/>
                <w:b w:val="0"/>
                <w:i w:val="0"/>
                <w:color w:val="222222"/>
                <w:sz w:val="20"/>
              </w:rPr>
              <w:t>4 of 4 registered predictions pass</w:t>
            </w:r>
          </w:p>
        </w:tc>
        <w:tc>
          <w:tcPr>
            <w:tcW w:type="dxa" w:w="1180"/>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16"/>
            <w:shd w:val="clear" w:color="auto" w:fill="F7F9FB"/>
            <w:vAlign w:val="center"/>
          </w:tcPr>
          <w:p>
            <w:pPr>
              <w:keepNext/>
              <w:spacing w:after="0"/>
            </w:pPr>
            <w:r>
              <w:rPr>
                <w:rFonts w:ascii="Calibri" w:hAnsi="Calibri"/>
                <w:b w:val="0"/>
                <w:i w:val="0"/>
                <w:color w:val="222222"/>
                <w:sz w:val="20"/>
              </w:rPr>
              <w:t>6 of 7 registered predictions pass</w:t>
            </w:r>
          </w:p>
        </w:tc>
        <w:tc>
          <w:tcPr>
            <w:tcW w:type="dxa" w:w="1180"/>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16"/>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80"/>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16"/>
            <w:shd w:val="clear" w:color="auto" w:fill="F7F9FB"/>
            <w:vAlign w:val="center"/>
          </w:tcPr>
          <w:p>
            <w:pPr>
              <w:keepNext/>
              <w:spacing w:after="0"/>
            </w:pPr>
            <w:r>
              <w:rPr>
                <w:rFonts w:ascii="Calibri" w:hAnsi="Calibri"/>
                <w:b w:val="0"/>
                <w:i w:val="0"/>
                <w:color w:val="222222"/>
                <w:sz w:val="20"/>
              </w:rPr>
              <w:t>plan, no new results</w:t>
            </w:r>
          </w:p>
        </w:tc>
        <w:tc>
          <w:tcPr>
            <w:tcW w:type="dxa" w:w="1180"/>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16"/>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80"/>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16"/>
            <w:shd w:val="clear" w:color="auto" w:fill="F7F9FB"/>
            <w:vAlign w:val="center"/>
          </w:tcPr>
          <w:p>
            <w:pPr>
              <w:keepNext/>
              <w:spacing w:after="0"/>
            </w:pPr>
            <w:r>
              <w:rPr>
                <w:rFonts w:ascii="Calibri" w:hAnsi="Calibri"/>
                <w:b w:val="0"/>
                <w:i w:val="0"/>
                <w:color w:val="222222"/>
                <w:sz w:val="20"/>
              </w:rPr>
              <w:t>3 of 5 registered predictions pass</w:t>
            </w:r>
          </w:p>
        </w:tc>
        <w:tc>
          <w:tcPr>
            <w:tcW w:type="dxa" w:w="1180"/>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16"/>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80"/>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16"/>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80"/>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16"/>
            <w:shd w:val="clear" w:color="auto" w:fill="FFFFFF"/>
            <w:vAlign w:val="center"/>
          </w:tcPr>
          <w:p>
            <w:pPr>
              <w:keepNext/>
              <w:spacing w:after="0"/>
            </w:pPr>
            <w:r>
              <w:rPr>
                <w:rFonts w:ascii="Calibri" w:hAnsi="Calibri"/>
                <w:b w:val="0"/>
                <w:i w:val="0"/>
                <w:color w:val="222222"/>
                <w:sz w:val="20"/>
              </w:rPr>
              <w:t>1 of 5 pass; no walking rhythm</w:t>
            </w:r>
          </w:p>
        </w:tc>
        <w:tc>
          <w:tcPr>
            <w:tcW w:type="dxa" w:w="1180"/>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16"/>
            <w:shd w:val="clear" w:color="auto" w:fill="F7F9FB"/>
            <w:vAlign w:val="center"/>
          </w:tcPr>
          <w:p>
            <w:pPr>
              <w:keepNext/>
              <w:spacing w:after="0"/>
            </w:pPr>
            <w:r>
              <w:rPr>
                <w:rFonts w:ascii="Calibri" w:hAnsi="Calibri"/>
                <w:b w:val="0"/>
                <w:i w:val="0"/>
                <w:color w:val="222222"/>
                <w:sz w:val="20"/>
              </w:rPr>
              <w:t>6 of 6 registered predictions pass</w:t>
            </w:r>
          </w:p>
        </w:tc>
        <w:tc>
          <w:tcPr>
            <w:tcW w:type="dxa" w:w="1180"/>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16"/>
            <w:shd w:val="clear" w:color="auto" w:fill="FFFFFF"/>
            <w:vAlign w:val="center"/>
          </w:tcPr>
          <w:p>
            <w:pPr>
              <w:keepNext/>
              <w:spacing w:after="0"/>
            </w:pPr>
            <w:r>
              <w:rPr>
                <w:rFonts w:ascii="Calibri" w:hAnsi="Calibri"/>
                <w:b w:val="0"/>
                <w:i w:val="0"/>
                <w:color w:val="222222"/>
                <w:sz w:val="20"/>
              </w:rPr>
              <w:t>stopped by its rule; no cell walks</w:t>
            </w:r>
          </w:p>
        </w:tc>
        <w:tc>
          <w:tcPr>
            <w:tcW w:type="dxa" w:w="1180"/>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16"/>
            <w:shd w:val="clear" w:color="auto" w:fill="F7F9FB"/>
            <w:vAlign w:val="center"/>
          </w:tcPr>
          <w:p>
            <w:pPr>
              <w:keepNext/>
              <w:spacing w:after="0"/>
            </w:pPr>
            <w:r>
              <w:rPr>
                <w:rFonts w:ascii="Calibri" w:hAnsi="Calibri"/>
                <w:b w:val="0"/>
                <w:i w:val="0"/>
                <w:color w:val="222222"/>
                <w:sz w:val="20"/>
              </w:rPr>
              <w:t>1 of 7 at the selected cell</w:t>
            </w:r>
          </w:p>
        </w:tc>
        <w:tc>
          <w:tcPr>
            <w:tcW w:type="dxa" w:w="1180"/>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16"/>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80"/>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The registered rhythm-measure audit</w:t>
            </w:r>
          </w:p>
        </w:tc>
        <w:tc>
          <w:tcPr>
            <w:tcW w:type="dxa" w:w="2516"/>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80"/>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16"/>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80"/>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16"/>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80"/>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16"/>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80"/>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16"/>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80"/>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16"/>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80"/>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16"/>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80"/>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16"/>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80"/>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4"/>
            <w:shd w:val="clear" w:color="auto" w:fill="F7F9FB"/>
            <w:vAlign w:val="center"/>
          </w:tcPr>
          <w:p>
            <w:pPr>
              <w:keepNext/>
              <w:spacing w:after="0"/>
              <w:jc w:val="center"/>
            </w:pPr>
            <w:r>
              <w:rPr>
                <w:rFonts w:ascii="Calibri" w:hAnsi="Calibri"/>
                <w:b w:val="0"/>
                <w:i w:val="0"/>
                <w:color w:val="222222"/>
                <w:sz w:val="20"/>
              </w:rPr>
              <w:t>2026-10-24/25</w:t>
            </w:r>
          </w:p>
        </w:tc>
        <w:tc>
          <w:tcPr>
            <w:tcW w:type="dxa" w:w="2859"/>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16"/>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80"/>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16"/>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80"/>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16"/>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80"/>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16"/>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80"/>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16"/>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80"/>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16"/>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80"/>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16"/>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80"/>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16"/>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80"/>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16"/>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80"/>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16"/>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80"/>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16"/>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80"/>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16"/>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80"/>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4"/>
            <w:shd w:val="clear" w:color="auto" w:fill="F7F9FB"/>
            <w:vAlign w:val="center"/>
          </w:tcPr>
          <w:p>
            <w:pPr>
              <w:keepNext/>
              <w:spacing w:after="0"/>
              <w:jc w:val="center"/>
            </w:pPr>
            <w:r>
              <w:rPr>
                <w:rFonts w:ascii="Calibri" w:hAnsi="Calibri"/>
                <w:b w:val="0"/>
                <w:i w:val="0"/>
                <w:color w:val="222222"/>
                <w:sz w:val="20"/>
              </w:rPr>
              <w:t>2026-10-26</w:t>
            </w:r>
          </w:p>
        </w:tc>
        <w:tc>
          <w:tcPr>
            <w:tcW w:type="dxa" w:w="2859"/>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16"/>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80"/>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4"/>
            <w:shd w:val="clear" w:color="auto" w:fill="FFFFFF"/>
            <w:vAlign w:val="center"/>
          </w:tcPr>
          <w:p>
            <w:pPr>
              <w:keepNext/>
              <w:spacing w:after="0"/>
              <w:jc w:val="center"/>
            </w:pPr>
            <w:r>
              <w:rPr>
                <w:rFonts w:ascii="Calibri" w:hAnsi="Calibri"/>
                <w:b w:val="0"/>
                <w:i w:val="0"/>
                <w:color w:val="222222"/>
                <w:sz w:val="20"/>
              </w:rPr>
              <w:t>2026-10-27</w:t>
            </w:r>
          </w:p>
        </w:tc>
        <w:tc>
          <w:tcPr>
            <w:tcW w:type="dxa" w:w="2859"/>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16"/>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80"/>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16"/>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80"/>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4"/>
            <w:shd w:val="clear" w:color="auto" w:fill="FFFFFF"/>
            <w:vAlign w:val="center"/>
          </w:tcPr>
          <w:p>
            <w:pPr>
              <w:keepNext/>
              <w:spacing w:after="0"/>
              <w:jc w:val="center"/>
            </w:pPr>
            <w:r>
              <w:rPr>
                <w:rFonts w:ascii="Calibri" w:hAnsi="Calibri"/>
                <w:b w:val="0"/>
                <w:i w:val="0"/>
                <w:color w:val="222222"/>
                <w:sz w:val="20"/>
              </w:rPr>
              <w:t>2026-10-27/28</w:t>
            </w:r>
          </w:p>
        </w:tc>
        <w:tc>
          <w:tcPr>
            <w:tcW w:type="dxa" w:w="2859"/>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16"/>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80"/>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16"/>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80"/>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859"/>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16"/>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80"/>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16"/>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80"/>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859"/>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16"/>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80"/>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52</w:t>
            </w:r>
          </w:p>
        </w:tc>
        <w:tc>
          <w:tcPr>
            <w:tcW w:type="dxa" w:w="1534"/>
            <w:shd w:val="clear" w:color="auto" w:fill="F7F9FB"/>
            <w:vAlign w:val="center"/>
          </w:tcPr>
          <w:p>
            <w:pPr>
              <w:keepNext w:val="0"/>
              <w:spacing w:after="0"/>
              <w:jc w:val="center"/>
            </w:pPr>
            <w:r>
              <w:rPr>
                <w:rFonts w:ascii="Calibri" w:hAnsi="Calibri"/>
                <w:b w:val="0"/>
                <w:i w:val="0"/>
                <w:color w:val="222222"/>
                <w:sz w:val="20"/>
              </w:rPr>
              <w:t>2026-10-28</w:t>
            </w:r>
          </w:p>
        </w:tc>
        <w:tc>
          <w:tcPr>
            <w:tcW w:type="dxa" w:w="2859"/>
            <w:shd w:val="clear" w:color="auto" w:fill="F7F9FB"/>
            <w:vAlign w:val="center"/>
          </w:tcPr>
          <w:p>
            <w:pPr>
              <w:keepNext w:val="0"/>
              <w:spacing w:after="0"/>
            </w:pPr>
            <w:r>
              <w:rPr>
                <w:rFonts w:ascii="Calibri" w:hAnsi="Calibri"/>
                <w:b w:val="0"/>
                <w:i w:val="0"/>
                <w:color w:val="222222"/>
                <w:sz w:val="20"/>
              </w:rPr>
              <w:t xml:space="preserve">The recalibration figure (D31) redrawn: the coverage legend moved off the </w:t>
            </w:r>
            <w:r>
              <w:rPr>
                <w:rFonts w:ascii="Consolas" w:hAnsi="Consolas"/>
                <w:b w:val="0"/>
                <w:i w:val="0"/>
                <w:color w:val="222222"/>
                <w:sz w:val="18"/>
              </w:rPr>
              <w:t>threshold_scale</w:t>
            </w:r>
            <w:r>
              <w:rPr>
                <w:rFonts w:ascii="Calibri" w:hAnsi="Calibri"/>
                <w:b w:val="0"/>
                <w:i w:val="0"/>
                <w:color w:val="222222"/>
                <w:sz w:val="20"/>
              </w:rPr>
              <w:t xml:space="preserve"> panel; its lost simulation cache regenerated with the registered seeds; a </w:t>
            </w:r>
            <w:r>
              <w:rPr>
                <w:rFonts w:ascii="Consolas" w:hAnsi="Consolas"/>
                <w:b w:val="0"/>
                <w:i w:val="0"/>
                <w:color w:val="222222"/>
                <w:sz w:val="18"/>
              </w:rPr>
              <w:t>--replot</w:t>
            </w:r>
            <w:r>
              <w:rPr>
                <w:rFonts w:ascii="Calibri" w:hAnsi="Calibri"/>
                <w:b w:val="0"/>
                <w:i w:val="0"/>
                <w:color w:val="222222"/>
                <w:sz w:val="20"/>
              </w:rPr>
              <w:t xml:space="preserve"> path</w:t>
            </w:r>
          </w:p>
        </w:tc>
        <w:tc>
          <w:tcPr>
            <w:tcW w:type="dxa" w:w="2516"/>
            <w:shd w:val="clear" w:color="auto" w:fill="F7F9FB"/>
            <w:vAlign w:val="center"/>
          </w:tcPr>
          <w:p>
            <w:pPr>
              <w:keepNext w:val="0"/>
              <w:spacing w:after="0"/>
            </w:pPr>
            <w:r>
              <w:rPr>
                <w:rFonts w:ascii="Calibri" w:hAnsi="Calibri"/>
                <w:b w:val="0"/>
                <w:i w:val="0"/>
                <w:color w:val="222222"/>
                <w:sz w:val="20"/>
              </w:rPr>
              <w:t>none; every recorded calibration statistic reproduced exactly before the figure was redrawn</w:t>
            </w:r>
          </w:p>
        </w:tc>
        <w:tc>
          <w:tcPr>
            <w:tcW w:type="dxa" w:w="1180"/>
            <w:shd w:val="clear" w:color="auto" w:fill="F7F9FB"/>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46 registered studies here made 233 predictions: 105 passed, 88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41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52. The recalibration figure, redrawn from regenerated simulations; no number changed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D31 figure's coverage legend no longer covers a panel. It was redrawn from simulations regenerated with the registered seeds, and only after every recorded calibration statistic of the study had been reproduced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coverage row's legend in </w:t>
      </w:r>
      <w:r>
        <w:rPr>
          <w:rFonts w:ascii="Consolas" w:hAnsi="Consolas"/>
          <w:b w:val="0"/>
          <w:i w:val="0"/>
          <w:color w:val="222222"/>
          <w:sz w:val="19"/>
        </w:rPr>
        <w:t>outputs/twin/hd14b_recalibration_simulated.png</w:t>
      </w:r>
      <w:r>
        <w:rPr>
          <w:rFonts w:ascii="Calibri" w:hAnsi="Calibri"/>
          <w:b w:val="0"/>
          <w:i w:val="0"/>
          <w:color w:val="222222"/>
          <w:sz w:val="21"/>
        </w:rPr>
        <w:t xml:space="preserve"> sat on the </w:t>
      </w:r>
      <w:r>
        <w:rPr>
          <w:rFonts w:ascii="Consolas" w:hAnsi="Consolas"/>
          <w:b w:val="0"/>
          <w:i w:val="0"/>
          <w:color w:val="222222"/>
          <w:sz w:val="19"/>
        </w:rPr>
        <w:t>threshold_scale</w:t>
      </w:r>
      <w:r>
        <w:rPr>
          <w:rFonts w:ascii="Calibri" w:hAnsi="Calibri"/>
          <w:b w:val="0"/>
          <w:i w:val="0"/>
          <w:color w:val="222222"/>
          <w:sz w:val="21"/>
        </w:rPr>
        <w:t xml:space="preserve"> panel; it is now one figure-level legend below the bottom row (same panels, same data, same title). The figure is drawn from ranks that existed only in memory during the run, and the simulation chunks and trained models behind them, git-ignored, had been deleted with a worktree. A new path, </w:t>
      </w:r>
      <w:r>
        <w:rPr>
          <w:rFonts w:ascii="Consolas" w:hAnsi="Consolas"/>
          <w:b w:val="0"/>
          <w:i w:val="0"/>
          <w:color w:val="222222"/>
          <w:sz w:val="19"/>
        </w:rPr>
        <w:t>python -m neuromps.twin.recalibration --replot</w:t>
      </w:r>
      <w:r>
        <w:rPr>
          <w:rFonts w:ascii="Calibri" w:hAnsi="Calibri"/>
          <w:b w:val="0"/>
          <w:i w:val="0"/>
          <w:color w:val="222222"/>
          <w:sz w:val="21"/>
        </w:rPr>
        <w:t xml:space="preserve"> (</w:t>
      </w:r>
      <w:r>
        <w:rPr>
          <w:rFonts w:ascii="Consolas" w:hAnsi="Consolas"/>
          <w:b w:val="0"/>
          <w:i w:val="0"/>
          <w:color w:val="222222"/>
          <w:sz w:val="19"/>
        </w:rPr>
        <w:t>src/neuromps/twin/recalibration_replot.py</w:t>
      </w:r>
      <w:r>
        <w:rPr>
          <w:rFonts w:ascii="Calibri" w:hAnsi="Calibri"/>
          <w:b w:val="0"/>
          <w:i w:val="0"/>
          <w:color w:val="222222"/>
          <w:sz w:val="21"/>
        </w:rPr>
        <w:t>), simulates only what the record fixes: the registered held-out set (1,000) and exactly the 51 training chunks the run completed, never one beyond. It retrains M1, M2 and M3 with their registered seeds, draws the ranks with the registered evaluation seed, persists them (</w:t>
      </w:r>
      <w:r>
        <w:rPr>
          <w:rFonts w:ascii="Consolas" w:hAnsi="Consolas"/>
          <w:b w:val="0"/>
          <w:i w:val="0"/>
          <w:color w:val="222222"/>
          <w:sz w:val="19"/>
        </w:rPr>
        <w:t>data/interim/recalibration/ranks_simulated.npz</w:t>
      </w:r>
      <w:r>
        <w:rPr>
          <w:rFonts w:ascii="Calibri" w:hAnsi="Calibri"/>
          <w:b w:val="0"/>
          <w:i w:val="0"/>
          <w:color w:val="222222"/>
          <w:sz w:val="21"/>
        </w:rPr>
        <w:t xml:space="preserve">, git-ignored) so a later redraw takes seconds, and compares every value under </w:t>
      </w:r>
      <w:r>
        <w:rPr>
          <w:rFonts w:ascii="Consolas" w:hAnsi="Consolas"/>
          <w:b w:val="0"/>
          <w:i w:val="0"/>
          <w:color w:val="222222"/>
          <w:sz w:val="19"/>
        </w:rPr>
        <w:t>twin_hd14b_recalibration.results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with the record. The figure is drawn only if all of them are equal. The path reads </w:t>
      </w:r>
      <w:r>
        <w:rPr>
          <w:rFonts w:ascii="Consolas" w:hAnsi="Consolas"/>
          <w:b w:val="0"/>
          <w:i w:val="0"/>
          <w:color w:val="222222"/>
          <w:sz w:val="19"/>
        </w:rPr>
        <w:t>outputs/metrics.json</w:t>
      </w:r>
      <w:r>
        <w:rPr>
          <w:rFonts w:ascii="Calibri" w:hAnsi="Calibri"/>
          <w:b w:val="0"/>
          <w:i w:val="0"/>
          <w:color w:val="222222"/>
          <w:sz w:val="21"/>
        </w:rPr>
        <w:t xml:space="preserve"> and never writes it; the timing is not recomputed.</w:t>
      </w:r>
    </w:p>
    <w:p>
      <w:pPr>
        <w:spacing w:after="120"/>
        <w:ind w:left="432" w:hanging="259"/>
      </w:pPr>
      <w:r>
        <w:rPr>
          <w:rFonts w:ascii="Calibri" w:hAnsi="Calibri"/>
          <w:b w:val="0"/>
          <w:i w:val="0"/>
          <w:color w:val="222222"/>
          <w:sz w:val="21"/>
        </w:rPr>
        <w:t>•</w:t>
        <w:tab/>
      </w:r>
      <w:r>
        <w:rPr>
          <w:rFonts w:ascii="Calibri" w:hAnsi="Calibri"/>
          <w:b/>
          <w:i w:val="0"/>
          <w:color w:val="156082"/>
          <w:sz w:val="21"/>
        </w:rPr>
        <w:t>One guard, relaxed narrowly.</w:t>
      </w:r>
      <w:r>
        <w:rPr>
          <w:rFonts w:ascii="Calibri" w:hAnsi="Calibri"/>
          <w:b w:val="0"/>
          <w:i w:val="0"/>
          <w:color w:val="222222"/>
          <w:sz w:val="21"/>
        </w:rPr>
        <w:t xml:space="preserve"> HD14's simulation cache carries the summary-code fingerprint the run was made under. Entries 47 and 48 added definition options, off by default, to the feature extractor, which changes that fingerprint without changing a value. The redraw path accepts the cache only if the six rows the study's post hoc check re-simulates come out identical under today's code (they did, with a largest difference of zero); every other cache guard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any result. Every value checked (all of </w:t>
      </w:r>
      <w:r>
        <w:rPr>
          <w:rFonts w:ascii="Consolas" w:hAnsi="Consolas"/>
          <w:b w:val="0"/>
          <w:i w:val="0"/>
          <w:color w:val="222222"/>
          <w:sz w:val="19"/>
        </w:rPr>
        <w:t>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was reproduced exactly, so training and sampling are bit-reproducible here and no value needed a tolerance; </w:t>
      </w:r>
      <w:r>
        <w:rPr>
          <w:rFonts w:ascii="Consolas" w:hAnsi="Consolas"/>
          <w:b w:val="0"/>
          <w:i w:val="0"/>
          <w:color w:val="222222"/>
          <w:sz w:val="19"/>
        </w:rPr>
        <w:t>outputs/metrics.json</w:t>
      </w:r>
      <w:r>
        <w:rPr>
          <w:rFonts w:ascii="Calibri" w:hAnsi="Calibri"/>
          <w:b w:val="0"/>
          <w:i w:val="0"/>
          <w:color w:val="222222"/>
          <w:sz w:val="21"/>
        </w:rPr>
        <w:t xml:space="preserve"> is byte-identical. Appendix G gains one sentence.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outputs/twin/hd14b_recalibration_simulated.png</w:t>
      </w:r>
      <w:r>
        <w:rPr>
          <w:rFonts w:ascii="Calibri" w:hAnsi="Calibri"/>
          <w:b w:val="0"/>
          <w:i w:val="0"/>
          <w:color w:val="222222"/>
          <w:sz w:val="21"/>
        </w:rPr>
        <w:t xml:space="preserve">; the check is printed by </w:t>
      </w:r>
      <w:r>
        <w:rPr>
          <w:rFonts w:ascii="Consolas" w:hAnsi="Consolas"/>
          <w:b w:val="0"/>
          <w:i w:val="0"/>
          <w:color w:val="222222"/>
          <w:sz w:val="19"/>
        </w:rPr>
        <w:t>python -m neuromps.twin.recalibration --replot</w:t>
      </w:r>
      <w:r>
        <w:rPr>
          <w:rFonts w:ascii="Calibri" w:hAnsi="Calibri"/>
          <w:b w:val="0"/>
          <w:i w:val="0"/>
          <w:color w:val="222222"/>
          <w:sz w:val="21"/>
        </w:rPr>
        <w:t xml:space="preserve">; tests </w:t>
      </w:r>
      <w:r>
        <w:rPr>
          <w:rFonts w:ascii="Consolas" w:hAnsi="Consolas"/>
          <w:b w:val="0"/>
          <w:i w:val="0"/>
          <w:color w:val="222222"/>
          <w:sz w:val="19"/>
        </w:rPr>
        <w:t>tests/test_twin_recalibration_replot.py</w:t>
      </w:r>
      <w:r>
        <w:rPr>
          <w:rFonts w:ascii="Calibri" w:hAnsi="Calibri"/>
          <w:b w:val="0"/>
          <w:i w:val="0"/>
          <w:color w:val="222222"/>
          <w:sz w:val="21"/>
        </w:rPr>
        <w:t xml:space="preserve"> (the comparison, the ranks file, the cache rule, and a legend that overlaps no panel).</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