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NeuroMPS: A Provenance-Tracked MEA Data Asset and a Calibrated Two-Compartment Digital Twin</w:t>
      </w:r>
    </w:p>
    <w:p>
      <w:pPr>
        <w:spacing w:after="120"/>
      </w:pPr>
      <w:r>
        <w:rPr>
          <w:rFonts w:ascii="Calibri" w:hAnsi="Calibri"/>
          <w:b/>
          <w:i/>
          <w:color w:val="555555"/>
          <w:sz w:val="21"/>
        </w:rPr>
        <w:t>Technical report.</w:t>
      </w:r>
      <w:r>
        <w:rPr>
          <w:rFonts w:ascii="Calibri" w:hAnsi="Calibri"/>
          <w:b w:val="0"/>
          <w:i/>
          <w:color w:val="555555"/>
          <w:sz w:val="21"/>
        </w:rPr>
        <w:t xml:space="preserve"> Entry for the AI4S Open Innovation: AI + Organ-on-a-Chip challenge (5th Pazhou Algorithm Competition).</w:t>
      </w:r>
    </w:p>
    <w:p>
      <w:pPr>
        <w:spacing w:after="120"/>
        <w:ind w:left="360"/>
      </w:pPr>
      <w:r>
        <w:rPr>
          <w:rFonts w:ascii="Calibri" w:hAnsi="Calibri"/>
          <w:b/>
          <w:i/>
          <w:color w:val="555555"/>
          <w:sz w:val="21"/>
        </w:rPr>
        <w:t>Research decision-support only.</w:t>
      </w:r>
      <w:r>
        <w:rPr>
          <w:rFonts w:ascii="Calibri" w:hAnsi="Calibri"/>
          <w:b w:val="0"/>
          <w:i/>
          <w:color w:val="555555"/>
          <w:sz w:val="21"/>
        </w:rPr>
        <w:t xml:space="preserve"> Nothing here is an efficacy, safety, diagnostic or clinical claim, and nothing here should be used to make one.</w:t>
      </w:r>
    </w:p>
    <w:p>
      <w:pPr>
        <w:spacing w:after="120"/>
      </w:pPr>
      <w:r>
        <w:rPr>
          <w:rFonts w:ascii="Calibri" w:hAnsi="Calibri"/>
          <w:b/>
          <w:i w:val="0"/>
          <w:color w:val="156082"/>
          <w:sz w:val="21"/>
        </w:rPr>
        <w:t>Submission category: End-to-End System.</w:t>
      </w:r>
      <w:r>
        <w:rPr>
          <w:rFonts w:ascii="Calibri" w:hAnsi="Calibri"/>
          <w:b w:val="0"/>
          <w:i w:val="0"/>
          <w:color w:val="222222"/>
          <w:sz w:val="21"/>
        </w:rPr>
        <w:t xml:space="preserve"> We built a complete path from public recordings to actionable output: provenance-enforced ingestion, a standardized feature layer, models, a calibrated digital twin, and a harness that tells us which measurements the data can and cannot support. An interactive demo sits on top.</w:t>
      </w:r>
    </w:p>
    <w:p>
      <w:pPr>
        <w:keepNext/>
        <w:spacing w:after="120"/>
      </w:pPr>
      <w:r>
        <w:rPr>
          <w:rFonts w:ascii="Calibri" w:hAnsi="Calibri"/>
          <w:b/>
          <w:i w:val="0"/>
          <w:color w:val="156082"/>
          <w:sz w:val="21"/>
        </w:rPr>
        <w:t>Team.</w:t>
      </w:r>
      <w:r>
        <w:rPr>
          <w:rFonts w:ascii="Calibri" w:hAnsi="Calibri"/>
          <w:b w:val="0"/>
          <w:i w:val="0"/>
          <w:color w:val="222222"/>
          <w:sz w:val="21"/>
        </w:rPr>
        <w:t xml:space="preserve"> We combine health science with mathematics and machine learning.</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57"/>
        <w:gridCol w:w="2851"/>
        <w:gridCol w:w="3989"/>
      </w:tblGrid>
      <w:tr>
        <w:trPr>
          <w:cantSplit/>
          <w:tblHeader/>
        </w:trPr>
        <w:tc>
          <w:tcPr>
            <w:tcW w:type="dxa" w:w="1657"/>
            <w:shd w:val="clear" w:color="auto" w:fill="1F4E79"/>
            <w:vAlign w:val="center"/>
          </w:tcPr>
          <w:p>
            <w:pPr>
              <w:keepNext/>
              <w:spacing w:after="0"/>
            </w:pPr>
            <w:r>
              <w:rPr>
                <w:rFonts w:ascii="Calibri" w:hAnsi="Calibri"/>
                <w:b/>
                <w:i w:val="0"/>
                <w:color w:val="FFFFFF"/>
                <w:sz w:val="20"/>
              </w:rPr>
              <w:t>member</w:t>
            </w:r>
          </w:p>
        </w:tc>
        <w:tc>
          <w:tcPr>
            <w:tcW w:type="dxa" w:w="2851"/>
            <w:shd w:val="clear" w:color="auto" w:fill="1F4E79"/>
            <w:vAlign w:val="center"/>
          </w:tcPr>
          <w:p>
            <w:pPr>
              <w:keepNext/>
              <w:spacing w:after="0"/>
            </w:pPr>
            <w:r>
              <w:rPr>
                <w:rFonts w:ascii="Calibri" w:hAnsi="Calibri"/>
                <w:b/>
                <w:i w:val="0"/>
                <w:color w:val="FFFFFF"/>
                <w:sz w:val="20"/>
              </w:rPr>
              <w:t>role</w:t>
            </w:r>
          </w:p>
        </w:tc>
        <w:tc>
          <w:tcPr>
            <w:tcW w:type="dxa" w:w="3989"/>
            <w:shd w:val="clear" w:color="auto" w:fill="1F4E79"/>
            <w:vAlign w:val="center"/>
          </w:tcPr>
          <w:p>
            <w:pPr>
              <w:keepNext/>
              <w:spacing w:after="0"/>
            </w:pPr>
            <w:r>
              <w:rPr>
                <w:rFonts w:ascii="Calibri" w:hAnsi="Calibri"/>
                <w:b/>
                <w:i w:val="0"/>
                <w:color w:val="FFFFFF"/>
                <w:sz w:val="20"/>
              </w:rPr>
              <w:t>background</w:t>
            </w:r>
          </w:p>
        </w:tc>
      </w:tr>
      <w:tr>
        <w:trPr>
          <w:cantSplit/>
        </w:trPr>
        <w:tc>
          <w:tcPr>
            <w:tcW w:type="dxa" w:w="1657"/>
            <w:shd w:val="clear" w:color="auto" w:fill="FFFFFF"/>
            <w:vAlign w:val="center"/>
          </w:tcPr>
          <w:p>
            <w:pPr>
              <w:keepNext/>
              <w:spacing w:after="0"/>
            </w:pPr>
            <w:r>
              <w:rPr>
                <w:rFonts w:ascii="Calibri" w:hAnsi="Calibri"/>
                <w:b/>
                <w:i w:val="0"/>
                <w:color w:val="222222"/>
                <w:sz w:val="20"/>
              </w:rPr>
              <w:t>Yi Nuo Zhao</w:t>
            </w:r>
          </w:p>
        </w:tc>
        <w:tc>
          <w:tcPr>
            <w:tcW w:type="dxa" w:w="2851"/>
            <w:shd w:val="clear" w:color="auto" w:fill="FFFFFF"/>
            <w:vAlign w:val="center"/>
          </w:tcPr>
          <w:p>
            <w:pPr>
              <w:keepNext/>
              <w:spacing w:after="0"/>
            </w:pPr>
            <w:r>
              <w:rPr>
                <w:rFonts w:ascii="Calibri" w:hAnsi="Calibri"/>
                <w:b w:val="0"/>
                <w:i w:val="0"/>
                <w:color w:val="222222"/>
                <w:sz w:val="20"/>
              </w:rPr>
              <w:t>Team Leader</w:t>
            </w:r>
          </w:p>
        </w:tc>
        <w:tc>
          <w:tcPr>
            <w:tcW w:type="dxa" w:w="3989"/>
            <w:shd w:val="clear" w:color="auto" w:fill="FFFFFF"/>
            <w:vAlign w:val="center"/>
          </w:tcPr>
          <w:p>
            <w:pPr>
              <w:keepNext/>
              <w:spacing w:after="0"/>
            </w:pPr>
            <w:r>
              <w:rPr>
                <w:rFonts w:ascii="Calibri" w:hAnsi="Calibri"/>
                <w:b w:val="0"/>
                <w:i w:val="0"/>
                <w:color w:val="222222"/>
                <w:sz w:val="20"/>
              </w:rPr>
              <w:t>Health science student</w:t>
            </w:r>
          </w:p>
        </w:tc>
      </w:tr>
      <w:tr>
        <w:trPr>
          <w:cantSplit/>
        </w:trPr>
        <w:tc>
          <w:tcPr>
            <w:tcW w:type="dxa" w:w="1657"/>
            <w:shd w:val="clear" w:color="auto" w:fill="F7F9FB"/>
            <w:vAlign w:val="center"/>
          </w:tcPr>
          <w:p>
            <w:pPr>
              <w:keepNext w:val="0"/>
              <w:spacing w:after="0"/>
            </w:pPr>
            <w:r>
              <w:rPr>
                <w:rFonts w:ascii="Calibri" w:hAnsi="Calibri"/>
                <w:b/>
                <w:i w:val="0"/>
                <w:color w:val="222222"/>
                <w:sz w:val="20"/>
              </w:rPr>
              <w:t>Ivan T. Ivanov</w:t>
            </w:r>
          </w:p>
        </w:tc>
        <w:tc>
          <w:tcPr>
            <w:tcW w:type="dxa" w:w="2851"/>
            <w:shd w:val="clear" w:color="auto" w:fill="F7F9FB"/>
            <w:vAlign w:val="center"/>
          </w:tcPr>
          <w:p>
            <w:pPr>
              <w:keepNext w:val="0"/>
              <w:spacing w:after="0"/>
            </w:pPr>
            <w:r>
              <w:rPr>
                <w:rFonts w:ascii="Calibri" w:hAnsi="Calibri"/>
                <w:b w:val="0"/>
                <w:i w:val="0"/>
                <w:color w:val="222222"/>
                <w:sz w:val="20"/>
              </w:rPr>
              <w:t>Machine Learning Specialist</w:t>
            </w:r>
          </w:p>
        </w:tc>
        <w:tc>
          <w:tcPr>
            <w:tcW w:type="dxa" w:w="3989"/>
            <w:shd w:val="clear" w:color="auto" w:fill="F7F9FB"/>
            <w:vAlign w:val="center"/>
          </w:tcPr>
          <w:p>
            <w:pPr>
              <w:keepNext w:val="0"/>
              <w:spacing w:after="0"/>
            </w:pPr>
            <w:r>
              <w:rPr>
                <w:rFonts w:ascii="Calibri" w:hAnsi="Calibri"/>
                <w:b w:val="0"/>
                <w:i w:val="0"/>
                <w:color w:val="222222"/>
                <w:sz w:val="20"/>
              </w:rPr>
              <w:t>Professor of Mathematics and ML/AI developer</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90"/>
        <w:gridCol w:w="6706"/>
      </w:tblGrid>
      <w:tr>
        <w:trPr>
          <w:cantSplit/>
        </w:trPr>
        <w:tc>
          <w:tcPr>
            <w:tcW w:type="dxa" w:w="1790"/>
            <w:shd w:val="clear" w:color="auto" w:fill="FFFFFF"/>
            <w:vAlign w:val="center"/>
          </w:tcPr>
          <w:p>
            <w:pPr>
              <w:keepNext/>
              <w:spacing w:after="0"/>
            </w:pPr>
            <w:r>
              <w:rPr>
                <w:rFonts w:ascii="Calibri" w:hAnsi="Calibri"/>
                <w:b/>
                <w:i w:val="0"/>
                <w:color w:val="222222"/>
                <w:sz w:val="20"/>
              </w:rPr>
              <w:t>Code and demo</w:t>
            </w:r>
          </w:p>
        </w:tc>
        <w:tc>
          <w:tcPr>
            <w:tcW w:type="dxa" w:w="6706"/>
            <w:shd w:val="clear" w:color="auto" w:fill="FFFFFF"/>
            <w:vAlign w:val="center"/>
          </w:tcPr>
          <w:p>
            <w:pPr>
              <w:keepNext/>
              <w:spacing w:after="0"/>
            </w:pPr>
            <w:r>
              <w:rPr>
                <w:rFonts w:ascii="Calibri" w:hAnsi="Calibri"/>
                <w:b w:val="0"/>
                <w:i w:val="0"/>
                <w:color w:val="222222"/>
                <w:sz w:val="20"/>
              </w:rPr>
              <w:t>https://github.com/Vodolay/AI4S; the interactive demo runs locally with one command (§21)</w:t>
            </w:r>
          </w:p>
        </w:tc>
      </w:tr>
      <w:tr>
        <w:trPr>
          <w:cantSplit/>
        </w:trPr>
        <w:tc>
          <w:tcPr>
            <w:tcW w:type="dxa" w:w="1790"/>
            <w:shd w:val="clear" w:color="auto" w:fill="F7F9FB"/>
            <w:vAlign w:val="center"/>
          </w:tcPr>
          <w:p>
            <w:pPr>
              <w:keepNext/>
              <w:spacing w:after="0"/>
            </w:pPr>
            <w:r>
              <w:rPr>
                <w:rFonts w:ascii="Calibri" w:hAnsi="Calibri"/>
                <w:b/>
                <w:i w:val="0"/>
                <w:color w:val="222222"/>
                <w:sz w:val="20"/>
              </w:rPr>
              <w:t>Video</w:t>
            </w:r>
          </w:p>
        </w:tc>
        <w:tc>
          <w:tcPr>
            <w:tcW w:type="dxa" w:w="6706"/>
            <w:shd w:val="clear" w:color="auto" w:fill="F7F9FB"/>
            <w:vAlign w:val="center"/>
          </w:tcPr>
          <w:p>
            <w:pPr>
              <w:keepNext/>
              <w:spacing w:after="0"/>
            </w:pPr>
            <w:r>
              <w:rPr>
                <w:rFonts w:ascii="Calibri" w:hAnsi="Calibri"/>
                <w:b w:val="0"/>
                <w:i w:val="0"/>
                <w:color w:val="222222"/>
                <w:sz w:val="20"/>
              </w:rPr>
              <w:t>https://www.youtube.com/watch?v=WnnD-oSFdcI, a walkthrough of the project and the demo</w:t>
            </w:r>
          </w:p>
        </w:tc>
      </w:tr>
      <w:tr>
        <w:trPr>
          <w:cantSplit/>
        </w:trPr>
        <w:tc>
          <w:tcPr>
            <w:tcW w:type="dxa" w:w="1790"/>
            <w:shd w:val="clear" w:color="auto" w:fill="FFFFFF"/>
            <w:vAlign w:val="center"/>
          </w:tcPr>
          <w:p>
            <w:pPr>
              <w:keepNext/>
              <w:spacing w:after="0"/>
            </w:pPr>
            <w:r>
              <w:rPr>
                <w:rFonts w:ascii="Calibri" w:hAnsi="Calibri"/>
                <w:b/>
                <w:i w:val="0"/>
                <w:color w:val="222222"/>
                <w:sz w:val="20"/>
              </w:rPr>
              <w:t>Verification harness</w:t>
            </w:r>
          </w:p>
        </w:tc>
        <w:tc>
          <w:tcPr>
            <w:tcW w:type="dxa" w:w="6706"/>
            <w:shd w:val="clear" w:color="auto" w:fill="FFFFFF"/>
            <w:vAlign w:val="center"/>
          </w:tcPr>
          <w:p>
            <w:pPr>
              <w:keepNext/>
              <w:spacing w:after="0"/>
            </w:pPr>
            <w:r>
              <w:rPr>
                <w:rFonts w:ascii="Consolas" w:hAnsi="Consolas"/>
                <w:b w:val="0"/>
                <w:i w:val="0"/>
                <w:color w:val="222222"/>
                <w:sz w:val="18"/>
              </w:rPr>
              <w:t>python run_all.py --quick</w:t>
            </w:r>
            <w:r>
              <w:rPr>
                <w:rFonts w:ascii="Calibri" w:hAnsi="Calibri"/>
                <w:b w:val="0"/>
                <w:i w:val="0"/>
                <w:color w:val="222222"/>
                <w:sz w:val="20"/>
              </w:rPr>
              <w:t xml:space="preserve"> runs the complete pipeline, models and metrics</w:t>
            </w:r>
          </w:p>
        </w:tc>
      </w:tr>
      <w:tr>
        <w:trPr>
          <w:cantSplit/>
        </w:trPr>
        <w:tc>
          <w:tcPr>
            <w:tcW w:type="dxa" w:w="1790"/>
            <w:shd w:val="clear" w:color="auto" w:fill="F7F9FB"/>
            <w:vAlign w:val="center"/>
          </w:tcPr>
          <w:p>
            <w:pPr>
              <w:keepNext/>
              <w:spacing w:after="0"/>
            </w:pPr>
            <w:r>
              <w:rPr>
                <w:rFonts w:ascii="Calibri" w:hAnsi="Calibri"/>
                <w:b/>
                <w:i w:val="0"/>
                <w:color w:val="222222"/>
                <w:sz w:val="20"/>
              </w:rPr>
              <w:t>Audit discipline</w:t>
            </w:r>
          </w:p>
        </w:tc>
        <w:tc>
          <w:tcPr>
            <w:tcW w:type="dxa" w:w="6706"/>
            <w:shd w:val="clear" w:color="auto" w:fill="F7F9FB"/>
            <w:vAlign w:val="center"/>
          </w:tcPr>
          <w:p>
            <w:pPr>
              <w:keepNext/>
              <w:spacing w:after="0"/>
            </w:pPr>
            <w:r>
              <w:rPr>
                <w:rFonts w:ascii="Consolas" w:hAnsi="Consolas"/>
                <w:b w:val="0"/>
                <w:i w:val="0"/>
                <w:color w:val="222222"/>
                <w:sz w:val="18"/>
              </w:rPr>
              <w:t>python -m neuromps.report.verify</w:t>
            </w:r>
            <w:r>
              <w:rPr>
                <w:rFonts w:ascii="Calibri" w:hAnsi="Calibri"/>
                <w:b w:val="0"/>
                <w:i w:val="0"/>
                <w:color w:val="222222"/>
                <w:sz w:val="20"/>
              </w:rPr>
              <w:t xml:space="preserve"> checks every number in this report against </w:t>
            </w:r>
            <w:r>
              <w:rPr>
                <w:rFonts w:ascii="Consolas" w:hAnsi="Consolas"/>
                <w:b w:val="0"/>
                <w:i w:val="0"/>
                <w:color w:val="222222"/>
                <w:sz w:val="18"/>
              </w:rPr>
              <w:t>outputs/metrics.json</w:t>
            </w:r>
          </w:p>
        </w:tc>
      </w:tr>
      <w:tr>
        <w:trPr>
          <w:cantSplit/>
        </w:trPr>
        <w:tc>
          <w:tcPr>
            <w:tcW w:type="dxa" w:w="1790"/>
            <w:shd w:val="clear" w:color="auto" w:fill="FFFFFF"/>
            <w:vAlign w:val="center"/>
          </w:tcPr>
          <w:p>
            <w:pPr>
              <w:keepNext w:val="0"/>
              <w:spacing w:after="0"/>
            </w:pPr>
            <w:r>
              <w:rPr>
                <w:rFonts w:ascii="Calibri" w:hAnsi="Calibri"/>
                <w:b/>
                <w:i w:val="0"/>
                <w:color w:val="222222"/>
                <w:sz w:val="20"/>
              </w:rPr>
              <w:t>Regulatory position</w:t>
            </w:r>
          </w:p>
        </w:tc>
        <w:tc>
          <w:tcPr>
            <w:tcW w:type="dxa" w:w="6706"/>
            <w:shd w:val="clear" w:color="auto" w:fill="FFFFFF"/>
            <w:vAlign w:val="center"/>
          </w:tcPr>
          <w:p>
            <w:pPr>
              <w:keepNext w:val="0"/>
              <w:spacing w:after="0"/>
            </w:pPr>
            <w:r>
              <w:rPr>
                <w:rFonts w:ascii="Calibri" w:hAnsi="Calibri"/>
                <w:b w:val="0"/>
                <w:i w:val="0"/>
                <w:color w:val="222222"/>
                <w:sz w:val="20"/>
              </w:rPr>
              <w:t>Research decision-support only. We make no clinical, diagnostic, efficacy or safety claim.</w:t>
            </w:r>
          </w:p>
        </w:tc>
      </w:tr>
    </w:tbl>
    <w:p>
      <w:pPr>
        <w:spacing w:after="80"/>
      </w:pPr>
    </w:p>
    <w:p>
      <w:pPr>
        <w:spacing w:after="120"/>
      </w:pPr>
      <w:r>
        <w:rPr>
          <w:rFonts w:ascii="Calibri" w:hAnsi="Calibri"/>
          <w:b w:val="0"/>
          <w:i w:val="0"/>
          <w:color w:val="222222"/>
          <w:sz w:val="21"/>
        </w:rPr>
        <w:t xml:space="preserve">You can reproduce and check everything in this report. One command, </w:t>
      </w:r>
      <w:r>
        <w:rPr>
          <w:rFonts w:ascii="Consolas" w:hAnsi="Consolas"/>
          <w:b w:val="0"/>
          <w:i w:val="0"/>
          <w:color w:val="222222"/>
          <w:sz w:val="19"/>
        </w:rPr>
        <w:t>python run_all.py --quick</w:t>
      </w:r>
      <w:r>
        <w:rPr>
          <w:rFonts w:ascii="Calibri" w:hAnsi="Calibri"/>
          <w:b w:val="0"/>
          <w:i w:val="0"/>
          <w:color w:val="222222"/>
          <w:sz w:val="21"/>
        </w:rPr>
        <w:t xml:space="preserve">, runs every stage of the pipeline in about nine minutes on our 20-core workstation (Appendix K), and </w:t>
      </w:r>
      <w:r>
        <w:rPr>
          <w:rFonts w:ascii="Consolas" w:hAnsi="Consolas"/>
          <w:b w:val="0"/>
          <w:i w:val="0"/>
          <w:color w:val="222222"/>
          <w:sz w:val="19"/>
        </w:rPr>
        <w:t>python -m neuromps.report.verify</w:t>
      </w:r>
      <w:r>
        <w:rPr>
          <w:rFonts w:ascii="Calibri" w:hAnsi="Calibri"/>
          <w:b w:val="0"/>
          <w:i w:val="0"/>
          <w:color w:val="222222"/>
          <w:sz w:val="21"/>
        </w:rPr>
        <w:t xml:space="preserve"> re-checks every number below against the output that produced it. In the source of this report, each computed number carries a hidden pointer to the </w:t>
      </w:r>
      <w:r>
        <w:rPr>
          <w:rFonts w:ascii="Consolas" w:hAnsi="Consolas"/>
          <w:b w:val="0"/>
          <w:i w:val="0"/>
          <w:color w:val="222222"/>
          <w:sz w:val="19"/>
        </w:rPr>
        <w:t>outputs/metrics.json</w:t>
      </w:r>
      <w:r>
        <w:rPr>
          <w:rFonts w:ascii="Calibri" w:hAnsi="Calibri"/>
          <w:b w:val="0"/>
          <w:i w:val="0"/>
          <w:color w:val="222222"/>
          <w:sz w:val="21"/>
        </w:rPr>
        <w:t xml:space="preserve"> key it came from, so a stale figure cannot quietly survive a rerun. We kept a record of everything we tried and abandoned in </w:t>
      </w:r>
      <w:r>
        <w:rPr>
          <w:rFonts w:ascii="Consolas" w:hAnsi="Consolas"/>
          <w:b w:val="0"/>
          <w:i w:val="0"/>
          <w:color w:val="222222"/>
          <w:sz w:val="19"/>
        </w:rPr>
        <w:t>report/LAB_NOTEBOOK.md</w:t>
      </w:r>
      <w:r>
        <w:rPr>
          <w:rFonts w:ascii="Calibri" w:hAnsi="Calibri"/>
          <w:b w:val="0"/>
          <w:i w:val="0"/>
          <w:color w:val="222222"/>
          <w:sz w:val="21"/>
        </w:rPr>
        <w:t>.</w:t>
      </w:r>
    </w:p>
    <w:p>
      <w:pPr>
        <w:keepNext/>
        <w:spacing w:before="240" w:after="60"/>
      </w:pPr>
      <w:r>
        <w:rPr>
          <w:rFonts w:ascii="Calibri" w:hAnsi="Calibri"/>
          <w:b/>
          <w:i w:val="0"/>
          <w:color w:val="1F4E79"/>
          <w:sz w:val="23"/>
        </w:rPr>
        <w:t>Executive summary</w:t>
      </w:r>
    </w:p>
    <w:p>
      <w:pPr>
        <w:spacing w:after="120"/>
      </w:pPr>
      <w:r>
        <w:rPr>
          <w:rFonts w:ascii="Calibri" w:hAnsi="Calibri"/>
          <w:b w:val="0"/>
          <w:i w:val="0"/>
          <w:color w:val="222222"/>
          <w:sz w:val="21"/>
        </w:rPr>
        <w:t>Neural microelectrode arrays (MEAs) are one of the most useful readouts in organ-on-a-chip work: you grow neurons on a grid of electrodes and watch how their firing changes when you add a compound. The trouble starts when you try to compare results across laboratories. Every group computes its features with its own software and its own definitions, and most deposit summary tables instead of raw spikes, so a number in one paper rarely means the same thing as the "same" number in another.</w:t>
      </w:r>
    </w:p>
    <w:p>
      <w:pPr>
        <w:spacing w:after="120"/>
      </w:pPr>
      <w:r>
        <w:rPr>
          <w:rFonts w:ascii="Calibri" w:hAnsi="Calibri"/>
          <w:b w:val="0"/>
          <w:i w:val="0"/>
          <w:color w:val="222222"/>
          <w:sz w:val="21"/>
        </w:rPr>
        <w:t>We built NeuroMPS to tackle that problem directly, and to find out honestly how far the data can be pushed. It has four parts, and after the first round we added two more.</w:t>
      </w:r>
    </w:p>
    <w:p>
      <w:pPr>
        <w:spacing w:after="120"/>
        <w:ind w:left="432" w:hanging="259"/>
      </w:pPr>
      <w:r>
        <w:rPr>
          <w:rFonts w:ascii="Calibri" w:hAnsi="Calibri"/>
          <w:b w:val="0"/>
          <w:i w:val="0"/>
          <w:color w:val="222222"/>
          <w:sz w:val="21"/>
        </w:rPr>
        <w:t>•</w:t>
        <w:tab/>
      </w:r>
      <w:r>
        <w:rPr>
          <w:rFonts w:ascii="Calibri" w:hAnsi="Calibri"/>
          <w:b/>
          <w:i w:val="0"/>
          <w:color w:val="156082"/>
          <w:sz w:val="21"/>
        </w:rPr>
        <w:t>A standardized data asset.</w:t>
      </w:r>
      <w:r>
        <w:rPr>
          <w:rFonts w:ascii="Calibri" w:hAnsi="Calibri"/>
          <w:b w:val="0"/>
          <w:i w:val="0"/>
          <w:color w:val="222222"/>
          <w:sz w:val="21"/>
        </w:rPr>
        <w:t xml:space="preserve"> We assembled 21,887 records from eight public sources, each verified against a SHA-256 checksum of its original file. One feature extractor computes every number from the 1,512 spike-time recordings, so comparisons inside the asset are exact. On the same spike files, our extractor and the depositors' published meaRtools output differ more than twofold in burst rate (§3), the kind of divergence that pooling published summary tables would hide. A post hoc rerun of our extractor under their stated settings traces it to the human iPSC plates and mainly to the burst-rate denominator: dividing by the electrodes that burst rather than by every active one moves the pooled ratio from 0.4423 to 0.9087.</w:t>
      </w:r>
    </w:p>
    <w:p>
      <w:pPr>
        <w:spacing w:after="120"/>
        <w:ind w:left="432" w:hanging="259"/>
      </w:pPr>
      <w:r>
        <w:rPr>
          <w:rFonts w:ascii="Calibri" w:hAnsi="Calibri"/>
          <w:b w:val="0"/>
          <w:i w:val="0"/>
          <w:color w:val="222222"/>
          <w:sz w:val="21"/>
        </w:rPr>
        <w:t>•</w:t>
        <w:tab/>
      </w:r>
      <w:r>
        <w:rPr>
          <w:rFonts w:ascii="Calibri" w:hAnsi="Calibri"/>
          <w:b/>
          <w:i w:val="0"/>
          <w:color w:val="156082"/>
          <w:sz w:val="21"/>
        </w:rPr>
        <w:t>Benchmarks on real recordings.</w:t>
      </w:r>
      <w:r>
        <w:rPr>
          <w:rFonts w:ascii="Calibri" w:hAnsi="Calibri"/>
          <w:b w:val="0"/>
          <w:i w:val="0"/>
          <w:color w:val="222222"/>
          <w:sz w:val="21"/>
        </w:rPr>
        <w:t xml:space="preserve"> We grouped every cross-validation split by culture and bootstrapped over cultures rather than rows. Under those rules, within one laboratory, a simple linear model (balanced accuracy 0.537) beats gradient boosting (0.398), and a model trained only on rat recordings still scores 0.55 on human iPSC recordings. Across laboratories, though, the same classifier falls to 0.3482 against a chance of 0.3333: what it learned in one laboratory did not carry to the next. Two rate features alone match the full nine-feature vector.</w:t>
      </w:r>
    </w:p>
    <w:p>
      <w:pPr>
        <w:spacing w:after="120"/>
        <w:ind w:left="432" w:hanging="259"/>
      </w:pPr>
      <w:r>
        <w:rPr>
          <w:rFonts w:ascii="Calibri" w:hAnsi="Calibri"/>
          <w:b w:val="0"/>
          <w:i w:val="0"/>
          <w:color w:val="222222"/>
          <w:sz w:val="21"/>
        </w:rPr>
        <w:t>•</w:t>
        <w:tab/>
      </w:r>
      <w:r>
        <w:rPr>
          <w:rFonts w:ascii="Calibri" w:hAnsi="Calibri"/>
          <w:b/>
          <w:i w:val="0"/>
          <w:color w:val="156082"/>
          <w:sz w:val="21"/>
        </w:rPr>
        <w:t>A biophysical digital twin.</w:t>
      </w:r>
      <w:r>
        <w:rPr>
          <w:rFonts w:ascii="Calibri" w:hAnsi="Calibri"/>
          <w:b w:val="0"/>
          <w:i w:val="0"/>
          <w:color w:val="222222"/>
          <w:sz w:val="21"/>
        </w:rPr>
        <w:t xml:space="preserve"> We simulate an asymmetric two-compartment chip in Brian2: leaky integrate-and-fire neurons, 80/20 excitatory/inhibitory, with spike-frequency adaptation, wired through a directional "axon diode". We calibrated it against the interquartile band of 48 real chamber recordings and score it with the same feature code as the real data. We use it for experimental power analysis and as a generator of labelled training data: 3,000 simulated recordings, each with known parameters, train a neural posterior estimator, a masked autoregressive flow, that returns a full posterior for a new recording in 0.31 s without running the simulator again.</w:t>
      </w:r>
    </w:p>
    <w:p>
      <w:pPr>
        <w:spacing w:after="120"/>
        <w:ind w:left="432" w:hanging="259"/>
      </w:pPr>
      <w:r>
        <w:rPr>
          <w:rFonts w:ascii="Calibri" w:hAnsi="Calibri"/>
          <w:b w:val="0"/>
          <w:i w:val="0"/>
          <w:color w:val="222222"/>
          <w:sz w:val="21"/>
        </w:rPr>
        <w:t>•</w:t>
        <w:tab/>
      </w:r>
      <w:r>
        <w:rPr>
          <w:rFonts w:ascii="Calibri" w:hAnsi="Calibri"/>
          <w:b/>
          <w:i w:val="0"/>
          <w:color w:val="156082"/>
          <w:sz w:val="21"/>
        </w:rPr>
        <w:t>Negative results and practical guidance.</w:t>
      </w:r>
      <w:r>
        <w:rPr>
          <w:rFonts w:ascii="Calibri" w:hAnsi="Calibri"/>
          <w:b w:val="0"/>
          <w:i w:val="0"/>
          <w:color w:val="222222"/>
          <w:sz w:val="21"/>
        </w:rPr>
        <w:t xml:space="preserve"> Nine of our findings set firm boundaries, and §18 pairs each with what we would do instead. For example, chamber-level readouts cannot tell which way axons are firing without electrodes inside the microchannels (0.3854 against 0.5 chance), and the twin's inverse model misses a bicuculline dose trend that two burst-rate features carry. In §20 we turn these findings into recommendations for chip designers, assay developers and analysis pipelines.</w:t>
      </w:r>
    </w:p>
    <w:p>
      <w:pPr>
        <w:spacing w:after="120"/>
        <w:ind w:left="432" w:hanging="259"/>
      </w:pPr>
      <w:r>
        <w:rPr>
          <w:rFonts w:ascii="Calibri" w:hAnsi="Calibri"/>
          <w:b w:val="0"/>
          <w:i w:val="0"/>
          <w:color w:val="222222"/>
          <w:sz w:val="21"/>
        </w:rPr>
        <w:t>•</w:t>
        <w:tab/>
      </w:r>
      <w:r>
        <w:rPr>
          <w:rFonts w:ascii="Calibri" w:hAnsi="Calibri"/>
          <w:b/>
          <w:i w:val="0"/>
          <w:color w:val="156082"/>
          <w:sz w:val="21"/>
        </w:rPr>
        <w:t>From chip to animal (Act VII, added after the first round).</w:t>
      </w:r>
      <w:r>
        <w:rPr>
          <w:rFonts w:ascii="Calibri" w:hAnsi="Calibri"/>
          <w:b w:val="0"/>
          <w:i w:val="0"/>
          <w:color w:val="222222"/>
          <w:sz w:val="21"/>
        </w:rPr>
        <w:t xml:space="preserve"> We applied the twin's drug knobs to a simulated whole adult fly brain built from its mapped wiring, and read it both as a chip and through the neurons that drive feeding and grooming, with every prediction registered before the runs. The chip's firing rate ranks drugs by how much they disrupt behaviour (Spearman 0.863), but in every drug family behaviour failed at a lower dose than the chip flagged; GABA block had moved firing rate by only 0.149 log2 when the brain's bitter gate on feeding had already broken. Electrodes on the brain's output tract, the fly's counterpart of a chip's microchannels, caught it in time where a planar array did not. A second, male connectome replicates the behaviour and ranking results, and read at its motor neurons the chip is never earlier than motor output.</w:t>
      </w:r>
    </w:p>
    <w:p>
      <w:pPr>
        <w:spacing w:after="120"/>
        <w:ind w:left="432" w:hanging="259"/>
      </w:pPr>
      <w:r>
        <w:rPr>
          <w:rFonts w:ascii="Calibri" w:hAnsi="Calibri"/>
          <w:b w:val="0"/>
          <w:i w:val="0"/>
          <w:color w:val="222222"/>
          <w:sz w:val="21"/>
        </w:rPr>
        <w:t>•</w:t>
        <w:tab/>
      </w:r>
      <w:r>
        <w:rPr>
          <w:rFonts w:ascii="Calibri" w:hAnsi="Calibri"/>
          <w:b/>
          <w:i w:val="0"/>
          <w:color w:val="156082"/>
          <w:sz w:val="21"/>
        </w:rPr>
        <w:t>What a real screen's untreated wells say (Act IX, added after the first round).</w:t>
      </w:r>
      <w:r>
        <w:rPr>
          <w:rFonts w:ascii="Calibri" w:hAnsi="Calibri"/>
          <w:b w:val="0"/>
          <w:i w:val="0"/>
          <w:color w:val="222222"/>
          <w:sz w:val="21"/>
        </w:rPr>
        <w:t xml:space="preserve"> From the EPA's well-level database we measured how much an untreated well moves on its own, for each of 15 MEA readouts. Over 714 vehicle wells, firing rate drifts by a median of −32% during exposure and the exposure day carries 0.42 of its variance. A one-day experiment judged against a historical reference therefore cannot see even a halving of firing rate, while 32 wells spread over days, or 32 treated and as many vehicle wells on one day, see a fall of a fifth (§32, with a table for every readout). On the screen's own positive controls, from a laboratory the twin never saw, the twin's knobs agree on 12 of 12 scored directions, though a rule that simply follows firing rate does as well (§33). Put to the harder test — does the knob grid reproduce the </w:t>
      </w:r>
      <w:r>
        <w:rPr>
          <w:rFonts w:ascii="Calibri" w:hAnsi="Calibri"/>
          <w:b w:val="0"/>
          <w:i/>
          <w:color w:val="222222"/>
          <w:sz w:val="21"/>
        </w:rPr>
        <w:t>shape</w:t>
      </w:r>
      <w:r>
        <w:rPr>
          <w:rFonts w:ascii="Calibri" w:hAnsi="Calibri"/>
          <w:b w:val="0"/>
          <w:i w:val="0"/>
          <w:color w:val="222222"/>
          <w:sz w:val="21"/>
        </w:rPr>
        <w:t xml:space="preserve"> of real concentration-response curves? — 2 of 4 registered predictions pass: the twin beats a wrong-mechanism knob by 0.47 in rank correlation and names the first-moving readout for 8 of 11 compounds, but fewer than half its curves clear the registered line and the firing-rate rule is again ahead (§35).</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59"/>
        <w:gridCol w:w="5437"/>
      </w:tblGrid>
      <w:tr>
        <w:trPr>
          <w:cantSplit/>
          <w:tblHeader/>
        </w:trPr>
        <w:tc>
          <w:tcPr>
            <w:tcW w:type="dxa" w:w="3059"/>
            <w:shd w:val="clear" w:color="auto" w:fill="1F4E79"/>
            <w:vAlign w:val="center"/>
          </w:tcPr>
          <w:p>
            <w:pPr>
              <w:keepNext/>
              <w:spacing w:after="0"/>
            </w:pPr>
            <w:r>
              <w:rPr>
                <w:rFonts w:ascii="Calibri" w:hAnsi="Calibri"/>
                <w:b/>
                <w:i w:val="0"/>
                <w:color w:val="FFFFFF"/>
                <w:sz w:val="20"/>
              </w:rPr>
              <w:t>Act</w:t>
            </w:r>
          </w:p>
        </w:tc>
        <w:tc>
          <w:tcPr>
            <w:tcW w:type="dxa" w:w="5437"/>
            <w:shd w:val="clear" w:color="auto" w:fill="1F4E79"/>
            <w:vAlign w:val="center"/>
          </w:tcPr>
          <w:p>
            <w:pPr>
              <w:keepNext/>
              <w:spacing w:after="0"/>
            </w:pPr>
            <w:r>
              <w:rPr>
                <w:rFonts w:ascii="Calibri" w:hAnsi="Calibri"/>
                <w:b/>
                <w:i w:val="0"/>
                <w:color w:val="FFFFFF"/>
                <w:sz w:val="20"/>
              </w:rPr>
              <w:t>Sections</w:t>
            </w:r>
          </w:p>
        </w:tc>
      </w:tr>
      <w:tr>
        <w:trPr>
          <w:cantSplit/>
        </w:trPr>
        <w:tc>
          <w:tcPr>
            <w:tcW w:type="dxa" w:w="3059"/>
            <w:shd w:val="clear" w:color="auto" w:fill="FFFFFF"/>
            <w:vAlign w:val="center"/>
          </w:tcPr>
          <w:p>
            <w:pPr>
              <w:keepNext/>
              <w:spacing w:after="0"/>
            </w:pPr>
            <w:r>
              <w:rPr>
                <w:rFonts w:ascii="Calibri" w:hAnsi="Calibri"/>
                <w:b/>
                <w:i w:val="0"/>
                <w:color w:val="222222"/>
                <w:sz w:val="20"/>
              </w:rPr>
              <w:t>ACT I: Foundations and the data asset</w:t>
            </w:r>
          </w:p>
        </w:tc>
        <w:tc>
          <w:tcPr>
            <w:tcW w:type="dxa" w:w="5437"/>
            <w:shd w:val="clear" w:color="auto" w:fill="FFFFFF"/>
            <w:vAlign w:val="center"/>
          </w:tcPr>
          <w:p>
            <w:pPr>
              <w:keepNext/>
              <w:spacing w:after="0"/>
            </w:pPr>
            <w:r>
              <w:rPr>
                <w:rFonts w:ascii="Calibri" w:hAnsi="Calibri"/>
                <w:b w:val="0"/>
                <w:i w:val="0"/>
                <w:color w:val="222222"/>
                <w:sz w:val="20"/>
              </w:rPr>
              <w:t>1. What this is, and what it is not</w:t>
            </w:r>
          </w:p>
          <w:p>
            <w:pPr>
              <w:keepNext/>
              <w:spacing w:after="0"/>
            </w:pPr>
            <w:r>
              <w:rPr>
                <w:rFonts w:ascii="Calibri" w:hAnsi="Calibri"/>
                <w:b w:val="0"/>
                <w:i w:val="0"/>
                <w:color w:val="222222"/>
                <w:sz w:val="20"/>
              </w:rPr>
              <w:t>2. The data</w:t>
            </w:r>
          </w:p>
        </w:tc>
      </w:tr>
      <w:tr>
        <w:trPr>
          <w:cantSplit/>
        </w:trPr>
        <w:tc>
          <w:tcPr>
            <w:tcW w:type="dxa" w:w="3059"/>
            <w:shd w:val="clear" w:color="auto" w:fill="F7F9FB"/>
            <w:vAlign w:val="center"/>
          </w:tcPr>
          <w:p>
            <w:pPr>
              <w:keepNext/>
              <w:spacing w:after="0"/>
            </w:pPr>
            <w:r>
              <w:rPr>
                <w:rFonts w:ascii="Calibri" w:hAnsi="Calibri"/>
                <w:b/>
                <w:i w:val="0"/>
                <w:color w:val="222222"/>
                <w:sz w:val="20"/>
              </w:rPr>
              <w:t>ACT II: Standardizing the mess and benchmarking real biology</w:t>
            </w:r>
          </w:p>
        </w:tc>
        <w:tc>
          <w:tcPr>
            <w:tcW w:type="dxa" w:w="5437"/>
            <w:shd w:val="clear" w:color="auto" w:fill="F7F9FB"/>
            <w:vAlign w:val="center"/>
          </w:tcPr>
          <w:p>
            <w:pPr>
              <w:keepNext/>
              <w:spacing w:after="0"/>
            </w:pPr>
            <w:r>
              <w:rPr>
                <w:rFonts w:ascii="Calibri" w:hAnsi="Calibri"/>
                <w:b w:val="0"/>
                <w:i w:val="0"/>
                <w:color w:val="222222"/>
                <w:sz w:val="20"/>
              </w:rPr>
              <w:t>3. Are two laboratories' numbers actually comparable?</w:t>
            </w:r>
          </w:p>
          <w:p>
            <w:pPr>
              <w:keepNext/>
              <w:spacing w:after="0"/>
            </w:pPr>
            <w:r>
              <w:rPr>
                <w:rFonts w:ascii="Calibri" w:hAnsi="Calibri"/>
                <w:b w:val="0"/>
                <w:i w:val="0"/>
                <w:color w:val="222222"/>
                <w:sz w:val="20"/>
              </w:rPr>
              <w:t>4. The three questions we asked the data</w:t>
            </w:r>
          </w:p>
          <w:p>
            <w:pPr>
              <w:keepNext/>
              <w:spacing w:after="0"/>
            </w:pPr>
            <w:r>
              <w:rPr>
                <w:rFonts w:ascii="Calibri" w:hAnsi="Calibri"/>
                <w:b w:val="0"/>
                <w:i w:val="0"/>
                <w:color w:val="222222"/>
                <w:sz w:val="20"/>
              </w:rPr>
              <w:t>5. Can you read a mechanism from the features?</w:t>
            </w:r>
          </w:p>
          <w:p>
            <w:pPr>
              <w:keepNext/>
              <w:spacing w:after="0"/>
            </w:pPr>
            <w:r>
              <w:rPr>
                <w:rFonts w:ascii="Calibri" w:hAnsi="Calibri"/>
                <w:b w:val="0"/>
                <w:i w:val="0"/>
                <w:color w:val="222222"/>
                <w:sz w:val="20"/>
              </w:rPr>
              <w:t>6. External detection, and the negative control that matters more</w:t>
            </w:r>
          </w:p>
          <w:p>
            <w:pPr>
              <w:keepNext/>
              <w:spacing w:after="0"/>
            </w:pPr>
            <w:r>
              <w:rPr>
                <w:rFonts w:ascii="Calibri" w:hAnsi="Calibri"/>
                <w:b w:val="0"/>
                <w:i w:val="0"/>
                <w:color w:val="222222"/>
                <w:sz w:val="20"/>
              </w:rPr>
              <w:t>7. Rat to human</w:t>
            </w:r>
          </w:p>
          <w:p>
            <w:pPr>
              <w:keepNext/>
              <w:spacing w:after="0"/>
            </w:pPr>
            <w:r>
              <w:rPr>
                <w:rFonts w:ascii="Calibri" w:hAnsi="Calibri"/>
                <w:b w:val="0"/>
                <w:i w:val="0"/>
                <w:color w:val="222222"/>
                <w:sz w:val="20"/>
              </w:rPr>
              <w:t>8. Which features are actually doing the work?</w:t>
            </w:r>
          </w:p>
          <w:p>
            <w:pPr>
              <w:keepNext/>
              <w:spacing w:after="0"/>
            </w:pPr>
            <w:r>
              <w:rPr>
                <w:rFonts w:ascii="Calibri" w:hAnsi="Calibri"/>
                <w:b w:val="0"/>
                <w:i w:val="0"/>
                <w:color w:val="222222"/>
                <w:sz w:val="20"/>
              </w:rPr>
              <w:t>9. How confident is the model, really?</w:t>
            </w:r>
          </w:p>
          <w:p>
            <w:pPr>
              <w:keepNext/>
              <w:spacing w:after="0"/>
            </w:pPr>
            <w:r>
              <w:rPr>
                <w:rFonts w:ascii="Calibri" w:hAnsi="Calibri"/>
                <w:b w:val="0"/>
                <w:i w:val="0"/>
                <w:color w:val="222222"/>
                <w:sz w:val="20"/>
              </w:rPr>
              <w:t>10. Untreated baselines: what differs before a drug is added</w:t>
            </w:r>
          </w:p>
          <w:p>
            <w:pPr>
              <w:keepNext/>
              <w:spacing w:after="0"/>
            </w:pPr>
            <w:r>
              <w:rPr>
                <w:rFonts w:ascii="Calibri" w:hAnsi="Calibri"/>
                <w:b w:val="0"/>
                <w:i w:val="0"/>
                <w:color w:val="222222"/>
                <w:sz w:val="20"/>
              </w:rPr>
              <w:t>11. The cross-platform reversal paradox</w:t>
            </w:r>
          </w:p>
        </w:tc>
      </w:tr>
      <w:tr>
        <w:trPr>
          <w:cantSplit/>
        </w:trPr>
        <w:tc>
          <w:tcPr>
            <w:tcW w:type="dxa" w:w="3059"/>
            <w:shd w:val="clear" w:color="auto" w:fill="FFFFFF"/>
            <w:vAlign w:val="center"/>
          </w:tcPr>
          <w:p>
            <w:pPr>
              <w:keepNext/>
              <w:spacing w:after="0"/>
            </w:pPr>
            <w:r>
              <w:rPr>
                <w:rFonts w:ascii="Calibri" w:hAnsi="Calibri"/>
                <w:b/>
                <w:i w:val="0"/>
                <w:color w:val="222222"/>
                <w:sz w:val="20"/>
              </w:rPr>
              <w:t>ACT III: Calibrating a biophysical digital twin</w:t>
            </w:r>
          </w:p>
        </w:tc>
        <w:tc>
          <w:tcPr>
            <w:tcW w:type="dxa" w:w="5437"/>
            <w:shd w:val="clear" w:color="auto" w:fill="FFFFFF"/>
            <w:vAlign w:val="center"/>
          </w:tcPr>
          <w:p>
            <w:pPr>
              <w:keepNext/>
              <w:spacing w:after="0"/>
            </w:pPr>
            <w:r>
              <w:rPr>
                <w:rFonts w:ascii="Calibri" w:hAnsi="Calibri"/>
                <w:b w:val="0"/>
                <w:i w:val="0"/>
                <w:color w:val="222222"/>
                <w:sz w:val="20"/>
              </w:rPr>
              <w:t>12. The digital twin: what it is, and what it is for</w:t>
            </w:r>
          </w:p>
          <w:p>
            <w:pPr>
              <w:keepNext/>
              <w:spacing w:after="0"/>
            </w:pPr>
            <w:r>
              <w:rPr>
                <w:rFonts w:ascii="Calibri" w:hAnsi="Calibri"/>
                <w:b w:val="0"/>
                <w:i w:val="0"/>
                <w:color w:val="222222"/>
                <w:sz w:val="20"/>
              </w:rPr>
              <w:t>13. Calibration</w:t>
            </w:r>
          </w:p>
          <w:p>
            <w:pPr>
              <w:keepNext/>
              <w:spacing w:after="0"/>
            </w:pPr>
            <w:r>
              <w:rPr>
                <w:rFonts w:ascii="Calibri" w:hAnsi="Calibri"/>
                <w:b w:val="0"/>
                <w:i w:val="0"/>
                <w:color w:val="222222"/>
                <w:sz w:val="20"/>
              </w:rPr>
              <w:t>14. Drug knobs: does the twin respond like a culture?</w:t>
            </w:r>
          </w:p>
        </w:tc>
      </w:tr>
      <w:tr>
        <w:trPr>
          <w:cantSplit/>
        </w:trPr>
        <w:tc>
          <w:tcPr>
            <w:tcW w:type="dxa" w:w="3059"/>
            <w:shd w:val="clear" w:color="auto" w:fill="F7F9FB"/>
            <w:vAlign w:val="center"/>
          </w:tcPr>
          <w:p>
            <w:pPr>
              <w:keepNext/>
              <w:spacing w:after="0"/>
            </w:pPr>
            <w:r>
              <w:rPr>
                <w:rFonts w:ascii="Calibri" w:hAnsi="Calibri"/>
                <w:b/>
                <w:i w:val="0"/>
                <w:color w:val="222222"/>
                <w:sz w:val="20"/>
              </w:rPr>
              <w:t>ACT IV: Inverting the twin and resolving directionality</w:t>
            </w:r>
          </w:p>
        </w:tc>
        <w:tc>
          <w:tcPr>
            <w:tcW w:type="dxa" w:w="5437"/>
            <w:shd w:val="clear" w:color="auto" w:fill="F7F9FB"/>
            <w:vAlign w:val="center"/>
          </w:tcPr>
          <w:p>
            <w:pPr>
              <w:keepNext/>
              <w:spacing w:after="0"/>
            </w:pPr>
            <w:r>
              <w:rPr>
                <w:rFonts w:ascii="Calibri" w:hAnsi="Calibri"/>
                <w:b w:val="0"/>
                <w:i w:val="0"/>
                <w:color w:val="222222"/>
                <w:sz w:val="20"/>
              </w:rPr>
              <w:t>15. Two-compartment devices, and a result we did not want</w:t>
            </w:r>
          </w:p>
          <w:p>
            <w:pPr>
              <w:keepNext/>
              <w:spacing w:after="0"/>
            </w:pPr>
            <w:r>
              <w:rPr>
                <w:rFonts w:ascii="Calibri" w:hAnsi="Calibri"/>
                <w:b w:val="0"/>
                <w:i w:val="0"/>
                <w:color w:val="222222"/>
                <w:sz w:val="20"/>
              </w:rPr>
              <w:t>16. Running the model backwards, and what that cannot do</w:t>
            </w:r>
          </w:p>
          <w:p>
            <w:pPr>
              <w:keepNext/>
              <w:spacing w:after="0"/>
            </w:pPr>
            <w:r>
              <w:rPr>
                <w:rFonts w:ascii="Calibri" w:hAnsi="Calibri"/>
                <w:b w:val="0"/>
                <w:i w:val="0"/>
                <w:color w:val="222222"/>
                <w:sz w:val="20"/>
              </w:rPr>
              <w:t>17. What it takes to see directionality at all</w:t>
            </w:r>
          </w:p>
        </w:tc>
      </w:tr>
      <w:tr>
        <w:trPr>
          <w:cantSplit/>
        </w:trPr>
        <w:tc>
          <w:tcPr>
            <w:tcW w:type="dxa" w:w="3059"/>
            <w:shd w:val="clear" w:color="auto" w:fill="FFFFFF"/>
            <w:vAlign w:val="center"/>
          </w:tcPr>
          <w:p>
            <w:pPr>
              <w:keepNext/>
              <w:spacing w:after="0"/>
            </w:pPr>
            <w:r>
              <w:rPr>
                <w:rFonts w:ascii="Calibri" w:hAnsi="Calibri"/>
                <w:b/>
                <w:i w:val="0"/>
                <w:color w:val="222222"/>
                <w:sz w:val="20"/>
              </w:rPr>
              <w:t>ACT V: The negative results and scientific boundaries</w:t>
            </w:r>
          </w:p>
        </w:tc>
        <w:tc>
          <w:tcPr>
            <w:tcW w:type="dxa" w:w="5437"/>
            <w:shd w:val="clear" w:color="auto" w:fill="FFFFFF"/>
            <w:vAlign w:val="center"/>
          </w:tcPr>
          <w:p>
            <w:pPr>
              <w:keepNext/>
              <w:spacing w:after="0"/>
            </w:pPr>
            <w:r>
              <w:rPr>
                <w:rFonts w:ascii="Calibri" w:hAnsi="Calibri"/>
                <w:b w:val="0"/>
                <w:i w:val="0"/>
                <w:color w:val="222222"/>
                <w:sz w:val="20"/>
              </w:rPr>
              <w:t>18. Collection of negative results</w:t>
            </w:r>
          </w:p>
          <w:p>
            <w:pPr>
              <w:keepNext/>
              <w:spacing w:after="0"/>
            </w:pPr>
            <w:r>
              <w:rPr>
                <w:rFonts w:ascii="Calibri" w:hAnsi="Calibri"/>
                <w:b w:val="0"/>
                <w:i w:val="0"/>
                <w:color w:val="222222"/>
                <w:sz w:val="20"/>
              </w:rPr>
              <w:t>19. What you cannot conclude from this work</w:t>
            </w:r>
          </w:p>
        </w:tc>
      </w:tr>
      <w:tr>
        <w:trPr>
          <w:cantSplit/>
        </w:trPr>
        <w:tc>
          <w:tcPr>
            <w:tcW w:type="dxa" w:w="3059"/>
            <w:shd w:val="clear" w:color="auto" w:fill="F7F9FB"/>
            <w:vAlign w:val="center"/>
          </w:tcPr>
          <w:p>
            <w:pPr>
              <w:keepNext/>
              <w:spacing w:after="0"/>
            </w:pPr>
            <w:r>
              <w:rPr>
                <w:rFonts w:ascii="Calibri" w:hAnsi="Calibri"/>
                <w:b/>
                <w:i w:val="0"/>
                <w:color w:val="222222"/>
                <w:sz w:val="20"/>
              </w:rPr>
              <w:t>ACT VI: Application value, translation and open verification</w:t>
            </w:r>
          </w:p>
        </w:tc>
        <w:tc>
          <w:tcPr>
            <w:tcW w:type="dxa" w:w="5437"/>
            <w:shd w:val="clear" w:color="auto" w:fill="F7F9FB"/>
            <w:vAlign w:val="center"/>
          </w:tcPr>
          <w:p>
            <w:pPr>
              <w:keepNext/>
              <w:spacing w:after="0"/>
            </w:pPr>
            <w:r>
              <w:rPr>
                <w:rFonts w:ascii="Calibri" w:hAnsi="Calibri"/>
                <w:b w:val="0"/>
                <w:i w:val="0"/>
                <w:color w:val="222222"/>
                <w:sz w:val="20"/>
              </w:rPr>
              <w:t>20. Application value and translation for neural organ-on-a-chip</w:t>
            </w:r>
          </w:p>
          <w:p>
            <w:pPr>
              <w:keepNext/>
              <w:spacing w:after="0"/>
            </w:pPr>
            <w:r>
              <w:rPr>
                <w:rFonts w:ascii="Calibri" w:hAnsi="Calibri"/>
                <w:b w:val="0"/>
                <w:i w:val="0"/>
                <w:color w:val="222222"/>
                <w:sz w:val="20"/>
              </w:rPr>
              <w:t>21. How to reproduce and check this work</w:t>
            </w:r>
          </w:p>
          <w:p>
            <w:pPr>
              <w:keepNext/>
              <w:spacing w:after="0"/>
            </w:pPr>
            <w:r>
              <w:rPr>
                <w:rFonts w:ascii="Calibri" w:hAnsi="Calibri"/>
                <w:b w:val="0"/>
                <w:i w:val="0"/>
                <w:color w:val="222222"/>
                <w:sz w:val="20"/>
              </w:rPr>
              <w:t>22. AI assistance disclosure</w:t>
            </w:r>
          </w:p>
        </w:tc>
      </w:tr>
      <w:tr>
        <w:trPr>
          <w:cantSplit/>
        </w:trPr>
        <w:tc>
          <w:tcPr>
            <w:tcW w:type="dxa" w:w="3059"/>
            <w:shd w:val="clear" w:color="auto" w:fill="FFFFFF"/>
            <w:vAlign w:val="center"/>
          </w:tcPr>
          <w:p>
            <w:pPr>
              <w:keepNext/>
              <w:spacing w:after="0"/>
            </w:pPr>
            <w:r>
              <w:rPr>
                <w:rFonts w:ascii="Calibri" w:hAnsi="Calibri"/>
                <w:b/>
                <w:i w:val="0"/>
                <w:color w:val="222222"/>
                <w:sz w:val="20"/>
              </w:rPr>
              <w:t>ACT VII: From chip to animal (after round 1)</w:t>
            </w:r>
          </w:p>
        </w:tc>
        <w:tc>
          <w:tcPr>
            <w:tcW w:type="dxa" w:w="5437"/>
            <w:shd w:val="clear" w:color="auto" w:fill="FFFFFF"/>
            <w:vAlign w:val="center"/>
          </w:tcPr>
          <w:p>
            <w:pPr>
              <w:keepNext/>
              <w:spacing w:after="0"/>
            </w:pPr>
            <w:r>
              <w:rPr>
                <w:rFonts w:ascii="Calibri" w:hAnsi="Calibri"/>
                <w:b w:val="0"/>
                <w:i w:val="0"/>
                <w:color w:val="222222"/>
                <w:sz w:val="20"/>
              </w:rPr>
              <w:t>23. The question a chip cannot answer on its own</w:t>
            </w:r>
          </w:p>
          <w:p>
            <w:pPr>
              <w:keepNext/>
              <w:spacing w:after="0"/>
            </w:pPr>
            <w:r>
              <w:rPr>
                <w:rFonts w:ascii="Calibri" w:hAnsi="Calibri"/>
                <w:b w:val="0"/>
                <w:i w:val="0"/>
                <w:color w:val="222222"/>
                <w:sz w:val="20"/>
              </w:rPr>
              <w:t>24. The chip ranks drugs correctly and raises the alarm late</w:t>
            </w:r>
          </w:p>
          <w:p>
            <w:pPr>
              <w:keepNext/>
              <w:spacing w:after="0"/>
            </w:pPr>
            <w:r>
              <w:rPr>
                <w:rFonts w:ascii="Calibri" w:hAnsi="Calibri"/>
                <w:b w:val="0"/>
                <w:i w:val="0"/>
                <w:color w:val="222222"/>
                <w:sz w:val="20"/>
              </w:rPr>
              <w:t>25. Direction between regions, and a second brain</w:t>
            </w:r>
          </w:p>
          <w:p>
            <w:pPr>
              <w:keepNext/>
              <w:spacing w:after="0"/>
            </w:pPr>
            <w:r>
              <w:rPr>
                <w:rFonts w:ascii="Calibri" w:hAnsi="Calibri"/>
                <w:b w:val="0"/>
                <w:i w:val="0"/>
                <w:color w:val="222222"/>
                <w:sz w:val="20"/>
              </w:rPr>
              <w:t>26. What the fly study does not show</w:t>
            </w:r>
          </w:p>
        </w:tc>
      </w:tr>
      <w:tr>
        <w:trPr>
          <w:cantSplit/>
        </w:trPr>
        <w:tc>
          <w:tcPr>
            <w:tcW w:type="dxa" w:w="3059"/>
            <w:shd w:val="clear" w:color="auto" w:fill="F7F9FB"/>
            <w:vAlign w:val="center"/>
          </w:tcPr>
          <w:p>
            <w:pPr>
              <w:keepNext/>
              <w:spacing w:after="0"/>
            </w:pPr>
            <w:r>
              <w:rPr>
                <w:rFonts w:ascii="Calibri" w:hAnsi="Calibri"/>
                <w:b/>
                <w:i w:val="0"/>
                <w:color w:val="222222"/>
                <w:sz w:val="20"/>
              </w:rPr>
              <w:t>ACT VIII: The embodied fly (after round 1)</w:t>
            </w:r>
          </w:p>
        </w:tc>
        <w:tc>
          <w:tcPr>
            <w:tcW w:type="dxa" w:w="5437"/>
            <w:shd w:val="clear" w:color="auto" w:fill="F7F9FB"/>
            <w:vAlign w:val="center"/>
          </w:tcPr>
          <w:p>
            <w:pPr>
              <w:keepNext/>
              <w:spacing w:after="0"/>
            </w:pPr>
            <w:r>
              <w:rPr>
                <w:rFonts w:ascii="Calibri" w:hAnsi="Calibri"/>
                <w:b w:val="0"/>
                <w:i w:val="0"/>
                <w:color w:val="222222"/>
                <w:sz w:val="20"/>
              </w:rPr>
              <w:t>27. A body for the simulated fly</w:t>
            </w:r>
          </w:p>
          <w:p>
            <w:pPr>
              <w:keepNext/>
              <w:spacing w:after="0"/>
            </w:pPr>
            <w:r>
              <w:rPr>
                <w:rFonts w:ascii="Calibri" w:hAnsi="Calibri"/>
                <w:b w:val="0"/>
                <w:i w:val="0"/>
                <w:color w:val="222222"/>
                <w:sz w:val="20"/>
              </w:rPr>
              <w:t>28. Walking: what the wiring does and does not do</w:t>
            </w:r>
          </w:p>
          <w:p>
            <w:pPr>
              <w:keepNext/>
              <w:spacing w:after="0"/>
            </w:pPr>
            <w:r>
              <w:rPr>
                <w:rFonts w:ascii="Calibri" w:hAnsi="Calibri"/>
                <w:b w:val="0"/>
                <w:i w:val="0"/>
                <w:color w:val="222222"/>
                <w:sz w:val="20"/>
              </w:rPr>
              <w:t>29. Closing the loop</w:t>
            </w:r>
          </w:p>
          <w:p>
            <w:pPr>
              <w:keepNext/>
              <w:spacing w:after="0"/>
            </w:pPr>
            <w:r>
              <w:rPr>
                <w:rFonts w:ascii="Calibri" w:hAnsi="Calibri"/>
                <w:b w:val="0"/>
                <w:i w:val="0"/>
                <w:color w:val="222222"/>
                <w:sz w:val="20"/>
              </w:rPr>
              <w:t>30. Drugs in the loop: the chip is late at every level</w:t>
            </w:r>
          </w:p>
          <w:p>
            <w:pPr>
              <w:keepNext/>
              <w:spacing w:after="0"/>
            </w:pPr>
            <w:r>
              <w:rPr>
                <w:rFonts w:ascii="Calibri" w:hAnsi="Calibri"/>
                <w:b w:val="0"/>
                <w:i w:val="0"/>
                <w:color w:val="222222"/>
                <w:sz w:val="20"/>
              </w:rPr>
              <w:t>31. What the embodied fly does not show</w:t>
            </w:r>
          </w:p>
        </w:tc>
      </w:tr>
      <w:tr>
        <w:trPr>
          <w:cantSplit/>
        </w:trPr>
        <w:tc>
          <w:tcPr>
            <w:tcW w:type="dxa" w:w="3059"/>
            <w:shd w:val="clear" w:color="auto" w:fill="FFFFFF"/>
            <w:vAlign w:val="center"/>
          </w:tcPr>
          <w:p>
            <w:pPr>
              <w:keepNext/>
              <w:spacing w:after="0"/>
            </w:pPr>
            <w:r>
              <w:rPr>
                <w:rFonts w:ascii="Calibri" w:hAnsi="Calibri"/>
                <w:b/>
                <w:i w:val="0"/>
                <w:color w:val="222222"/>
                <w:sz w:val="20"/>
              </w:rPr>
              <w:t>ACT IX: What a real screen's untreated wells say (after round 1)</w:t>
            </w:r>
          </w:p>
        </w:tc>
        <w:tc>
          <w:tcPr>
            <w:tcW w:type="dxa" w:w="5437"/>
            <w:shd w:val="clear" w:color="auto" w:fill="FFFFFF"/>
            <w:vAlign w:val="center"/>
          </w:tcPr>
          <w:p>
            <w:pPr>
              <w:keepNext/>
              <w:spacing w:after="0"/>
            </w:pPr>
            <w:r>
              <w:rPr>
                <w:rFonts w:ascii="Calibri" w:hAnsi="Calibri"/>
                <w:b w:val="0"/>
                <w:i w:val="0"/>
                <w:color w:val="222222"/>
                <w:sz w:val="20"/>
              </w:rPr>
              <w:t>32. How large a change can a chip see? The noise floor, per feature</w:t>
            </w:r>
          </w:p>
          <w:p>
            <w:pPr>
              <w:keepNext/>
              <w:spacing w:after="0"/>
            </w:pPr>
            <w:r>
              <w:rPr>
                <w:rFonts w:ascii="Calibri" w:hAnsi="Calibri"/>
                <w:b w:val="0"/>
                <w:i w:val="0"/>
                <w:color w:val="222222"/>
                <w:sz w:val="20"/>
              </w:rPr>
              <w:t>33. The twin meets a laboratory it has never seen</w:t>
            </w:r>
          </w:p>
          <w:p>
            <w:pPr>
              <w:keepNext/>
              <w:spacing w:after="0"/>
            </w:pPr>
            <w:r>
              <w:rPr>
                <w:rFonts w:ascii="Calibri" w:hAnsi="Calibri"/>
                <w:b w:val="0"/>
                <w:i w:val="0"/>
                <w:color w:val="222222"/>
                <w:sz w:val="20"/>
              </w:rPr>
              <w:t>34. A quality-control rule for chip screens, from §32</w:t>
            </w:r>
          </w:p>
          <w:p>
            <w:pPr>
              <w:keepNext/>
              <w:spacing w:after="0"/>
            </w:pPr>
            <w:r>
              <w:rPr>
                <w:rFonts w:ascii="Calibri" w:hAnsi="Calibri"/>
                <w:b w:val="0"/>
                <w:i w:val="0"/>
                <w:color w:val="222222"/>
                <w:sz w:val="20"/>
              </w:rPr>
              <w:t>35. The dose response: the twin's knob grid against real concentration-response curves</w:t>
            </w:r>
          </w:p>
          <w:p>
            <w:pPr>
              <w:keepNext/>
              <w:spacing w:after="0"/>
            </w:pPr>
            <w:r>
              <w:rPr>
                <w:rFonts w:ascii="Calibri" w:hAnsi="Calibri"/>
                <w:b w:val="0"/>
                <w:i w:val="0"/>
                <w:color w:val="222222"/>
                <w:sz w:val="20"/>
              </w:rPr>
              <w:t>36. Is a human iPSC chip noisier than a rat one? Split-half noise from one lab</w:t>
            </w:r>
          </w:p>
        </w:tc>
      </w:tr>
      <w:tr>
        <w:trPr>
          <w:cantSplit/>
        </w:trPr>
        <w:tc>
          <w:tcPr>
            <w:tcW w:type="dxa" w:w="3059"/>
            <w:shd w:val="clear" w:color="auto" w:fill="F7F9FB"/>
            <w:vAlign w:val="center"/>
          </w:tcPr>
          <w:p>
            <w:pPr>
              <w:keepNext w:val="0"/>
              <w:spacing w:after="0"/>
            </w:pPr>
            <w:r>
              <w:rPr>
                <w:rFonts w:ascii="Calibri" w:hAnsi="Calibri"/>
                <w:b/>
                <w:i w:val="0"/>
                <w:color w:val="222222"/>
                <w:sz w:val="20"/>
              </w:rPr>
              <w:t>Appendices: consolidated technical reference</w:t>
            </w:r>
          </w:p>
        </w:tc>
        <w:tc>
          <w:tcPr>
            <w:tcW w:type="dxa" w:w="5437"/>
            <w:shd w:val="clear" w:color="auto" w:fill="F7F9FB"/>
            <w:vAlign w:val="center"/>
          </w:tcPr>
          <w:p>
            <w:pPr>
              <w:keepNext w:val="0"/>
              <w:spacing w:after="0"/>
            </w:pPr>
            <w:r>
              <w:rPr>
                <w:rFonts w:ascii="Calibri" w:hAnsi="Calibri"/>
                <w:b w:val="0"/>
                <w:i w:val="0"/>
                <w:color w:val="222222"/>
                <w:sz w:val="20"/>
              </w:rPr>
              <w:t>Appendix A &amp; B — Record architecture, data levels and ingestion ETL</w:t>
            </w:r>
          </w:p>
          <w:p>
            <w:pPr>
              <w:keepNext w:val="0"/>
              <w:spacing w:after="0"/>
            </w:pPr>
            <w:r>
              <w:rPr>
                <w:rFonts w:ascii="Calibri" w:hAnsi="Calibri"/>
                <w:b w:val="0"/>
                <w:i w:val="0"/>
                <w:color w:val="222222"/>
                <w:sz w:val="20"/>
              </w:rPr>
              <w:t>Appendix C — Data sources and licenses</w:t>
            </w:r>
          </w:p>
          <w:p>
            <w:pPr>
              <w:keepNext w:val="0"/>
              <w:spacing w:after="0"/>
            </w:pPr>
            <w:r>
              <w:rPr>
                <w:rFonts w:ascii="Calibri" w:hAnsi="Calibri"/>
                <w:b w:val="0"/>
                <w:i w:val="0"/>
                <w:color w:val="222222"/>
                <w:sz w:val="20"/>
              </w:rPr>
              <w:t>Appendix D &amp; E — The nine-feature vector, and enforced repository invariants</w:t>
            </w:r>
          </w:p>
          <w:p>
            <w:pPr>
              <w:keepNext w:val="0"/>
              <w:spacing w:after="0"/>
            </w:pPr>
            <w:r>
              <w:rPr>
                <w:rFonts w:ascii="Calibri" w:hAnsi="Calibri"/>
                <w:b w:val="0"/>
                <w:i w:val="0"/>
                <w:color w:val="222222"/>
                <w:sz w:val="20"/>
              </w:rPr>
              <w:t>Appendix F &amp; G — Coupling asymmetry proof, and posterior calibration diagnostics</w:t>
            </w:r>
          </w:p>
          <w:p>
            <w:pPr>
              <w:keepNext w:val="0"/>
              <w:spacing w:after="0"/>
            </w:pPr>
            <w:r>
              <w:rPr>
                <w:rFonts w:ascii="Calibri" w:hAnsi="Calibri"/>
                <w:b w:val="0"/>
                <w:i w:val="0"/>
                <w:color w:val="222222"/>
                <w:sz w:val="20"/>
              </w:rPr>
              <w:t>Appendix H — Quality-control flag registry</w:t>
            </w:r>
          </w:p>
          <w:p>
            <w:pPr>
              <w:keepNext w:val="0"/>
              <w:spacing w:after="0"/>
            </w:pPr>
            <w:r>
              <w:rPr>
                <w:rFonts w:ascii="Calibri" w:hAnsi="Calibri"/>
                <w:b w:val="0"/>
                <w:i w:val="0"/>
                <w:color w:val="222222"/>
                <w:sz w:val="20"/>
              </w:rPr>
              <w:t>Appendix I — Digital twin forward-model parameters</w:t>
            </w:r>
          </w:p>
          <w:p>
            <w:pPr>
              <w:keepNext w:val="0"/>
              <w:spacing w:after="0"/>
            </w:pPr>
            <w:r>
              <w:rPr>
                <w:rFonts w:ascii="Calibri" w:hAnsi="Calibri"/>
                <w:b w:val="0"/>
                <w:i w:val="0"/>
                <w:color w:val="222222"/>
                <w:sz w:val="20"/>
              </w:rPr>
              <w:t>Appendix J &amp; K — Microchannel detector robustness, and timings</w:t>
            </w:r>
          </w:p>
          <w:p>
            <w:pPr>
              <w:keepNext w:val="0"/>
              <w:spacing w:after="0"/>
            </w:pPr>
            <w:r>
              <w:rPr>
                <w:rFonts w:ascii="Calibri" w:hAnsi="Calibri"/>
                <w:b w:val="0"/>
                <w:i w:val="0"/>
                <w:color w:val="222222"/>
                <w:sz w:val="20"/>
              </w:rPr>
              <w:t>Appendix L, M &amp; N — Sensory validation, dose tracking and species transfer</w:t>
            </w:r>
          </w:p>
          <w:p>
            <w:pPr>
              <w:keepNext w:val="0"/>
              <w:spacing w:after="0"/>
            </w:pPr>
            <w:r>
              <w:rPr>
                <w:rFonts w:ascii="Calibri" w:hAnsi="Calibri"/>
                <w:b w:val="0"/>
                <w:i w:val="0"/>
                <w:color w:val="222222"/>
                <w:sz w:val="20"/>
              </w:rPr>
              <w:t>Appendix O — Third-party software, models and AI tools</w:t>
            </w:r>
          </w:p>
        </w:tc>
      </w:tr>
    </w:tbl>
    <w:p>
      <w:r>
        <w:br w:type="page"/>
      </w:r>
    </w:p>
    <w:p>
      <w:pPr>
        <w:keepNext/>
        <w:spacing w:before="360" w:after="120"/>
      </w:pPr>
      <w:r>
        <w:rPr>
          <w:rFonts w:ascii="Calibri" w:hAnsi="Calibri"/>
          <w:b/>
          <w:i w:val="0"/>
          <w:color w:val="2F5597"/>
          <w:sz w:val="27"/>
        </w:rPr>
        <w:t>ACT I: Foundations and the data asset</w:t>
      </w:r>
    </w:p>
    <w:p>
      <w:pPr>
        <w:keepNext/>
        <w:spacing w:before="240" w:after="60"/>
      </w:pPr>
      <w:r>
        <w:rPr>
          <w:rFonts w:ascii="Calibri" w:hAnsi="Calibri"/>
          <w:b/>
          <w:i w:val="0"/>
          <w:color w:val="1F4E79"/>
          <w:sz w:val="23"/>
        </w:rPr>
        <w:t>1. What this is, and what it is not</w:t>
      </w:r>
    </w:p>
    <w:p>
      <w:pPr>
        <w:spacing w:after="120"/>
      </w:pPr>
      <w:r>
        <w:rPr>
          <w:rFonts w:ascii="Calibri" w:hAnsi="Calibri"/>
          <w:b w:val="0"/>
          <w:i w:val="0"/>
          <w:color w:val="222222"/>
          <w:sz w:val="21"/>
        </w:rPr>
        <w:t>A microelectrode array is a grid of tiny listening posts under a living neural culture. Neurobiologists use it to answer a simple question: does this compound change how the network fires, and if so, how? In practice, every laboratory answers it differently. Labs use different plates, different spike sorters and different definitions of what counts as a burst, so two papers can study the same compound on the same cell type and still not be comparable. On top of that, most groups deposit only a table of summary numbers rather than the spikes themselves — a bit like receiving the book review instead of the book.</w:t>
      </w:r>
    </w:p>
    <w:p>
      <w:pPr>
        <w:spacing w:after="120"/>
      </w:pPr>
      <w:r>
        <w:rPr>
          <w:rFonts w:ascii="Calibri" w:hAnsi="Calibri"/>
          <w:b/>
          <w:i w:val="0"/>
          <w:color w:val="156082"/>
          <w:sz w:val="21"/>
        </w:rPr>
        <w:t>Where this matters.</w:t>
      </w:r>
      <w:r>
        <w:rPr>
          <w:rFonts w:ascii="Calibri" w:hAnsi="Calibri"/>
          <w:b w:val="0"/>
          <w:i w:val="0"/>
          <w:color w:val="222222"/>
          <w:sz w:val="21"/>
        </w:rPr>
        <w:t xml:space="preserve"> The people who feel this most are the ones who need to combine data they did not record themselves: a lab checking whether a compound behaves on its own platform the way it did in a published study, a contract research organization deciding which features to report, or a chip designer trying to prove that a microchannel really makes signals flow one way. We built NeuroMPS for exactly those situations.</w:t>
      </w:r>
    </w:p>
    <w:p>
      <w:pPr>
        <w:spacing w:after="120"/>
      </w:pPr>
      <w:r>
        <w:rPr>
          <w:rFonts w:ascii="Calibri" w:hAnsi="Calibri"/>
          <w:b w:val="0"/>
          <w:i w:val="0"/>
          <w:color w:val="222222"/>
          <w:sz w:val="21"/>
        </w:rPr>
        <w:t>We tackle the problem in three steps, and this report follows the same order.</w:t>
      </w:r>
    </w:p>
    <w:p>
      <w:pPr>
        <w:spacing w:after="120"/>
        <w:ind w:left="432" w:hanging="259"/>
      </w:pPr>
      <w:r>
        <w:rPr>
          <w:rFonts w:ascii="Calibri" w:hAnsi="Calibri"/>
          <w:b w:val="0"/>
          <w:i w:val="0"/>
          <w:color w:val="222222"/>
          <w:sz w:val="21"/>
        </w:rPr>
        <w:t>•</w:t>
        <w:tab/>
      </w:r>
      <w:r>
        <w:rPr>
          <w:rFonts w:ascii="Calibri" w:hAnsi="Calibri"/>
          <w:b/>
          <w:i w:val="0"/>
          <w:color w:val="156082"/>
          <w:sz w:val="21"/>
        </w:rPr>
        <w:t>We build one harmonized dataset.</w:t>
      </w:r>
      <w:r>
        <w:rPr>
          <w:rFonts w:ascii="Calibri" w:hAnsi="Calibri"/>
          <w:b w:val="0"/>
          <w:i w:val="0"/>
          <w:color w:val="222222"/>
          <w:sz w:val="21"/>
        </w:rPr>
        <w:t xml:space="preserve"> We assembled eight public sources into one table, with one exact definition for every feature. A number from Kapucu's plate and a number from ScreenNeuroPharm's chamber are comparable because the same code computed both from the same kind of raw spike input. Every record says where it came from and under what license, and carries a checksum of its original file.</w:t>
      </w:r>
    </w:p>
    <w:p>
      <w:pPr>
        <w:spacing w:after="120"/>
        <w:ind w:left="432" w:hanging="259"/>
      </w:pPr>
      <w:r>
        <w:rPr>
          <w:rFonts w:ascii="Calibri" w:hAnsi="Calibri"/>
          <w:b w:val="0"/>
          <w:i w:val="0"/>
          <w:color w:val="222222"/>
          <w:sz w:val="21"/>
        </w:rPr>
        <w:t>•</w:t>
        <w:tab/>
      </w:r>
      <w:r>
        <w:rPr>
          <w:rFonts w:ascii="Calibri" w:hAnsi="Calibri"/>
          <w:b/>
          <w:i w:val="0"/>
          <w:color w:val="156082"/>
          <w:sz w:val="21"/>
        </w:rPr>
        <w:t>We ask what that dataset can support.</w:t>
      </w:r>
      <w:r>
        <w:rPr>
          <w:rFonts w:ascii="Calibri" w:hAnsi="Calibri"/>
          <w:b w:val="0"/>
          <w:i w:val="0"/>
          <w:color w:val="222222"/>
          <w:sz w:val="21"/>
        </w:rPr>
        <w:t xml:space="preserve"> We run models on the real recordings to find out which conclusions survive a change of laboratory, of species and of platform — and which questions a chamber-level readout cannot answer at all.</w:t>
      </w:r>
    </w:p>
    <w:p>
      <w:pPr>
        <w:keepNext/>
        <w:spacing w:after="120"/>
        <w:ind w:left="432" w:hanging="259"/>
      </w:pPr>
      <w:r>
        <w:rPr>
          <w:rFonts w:ascii="Calibri" w:hAnsi="Calibri"/>
          <w:b w:val="0"/>
          <w:i w:val="0"/>
          <w:color w:val="222222"/>
          <w:sz w:val="21"/>
        </w:rPr>
        <w:t>•</w:t>
        <w:tab/>
      </w:r>
      <w:r>
        <w:rPr>
          <w:rFonts w:ascii="Calibri" w:hAnsi="Calibri"/>
          <w:b/>
          <w:i w:val="0"/>
          <w:color w:val="156082"/>
          <w:sz w:val="21"/>
        </w:rPr>
        <w:t>We build a digital twin for the questions the recordings cannot answer.</w:t>
      </w:r>
      <w:r>
        <w:rPr>
          <w:rFonts w:ascii="Calibri" w:hAnsi="Calibri"/>
          <w:b w:val="0"/>
          <w:i w:val="0"/>
          <w:color w:val="222222"/>
          <w:sz w:val="21"/>
        </w:rPr>
        <w:t xml:space="preserve"> It is a forward simulation of a two-compartment neural chip: two populations of model neurons wired through a directional microchannel pathway, with virtual electrodes over them. We tune it against real chamber baselines from the dataset and score it with the same feature code, so it cannot make itself look good by being measured differently.</w:t>
      </w:r>
    </w:p>
    <w:p>
      <w:pPr>
        <w:keepNext/>
        <w:spacing w:before="120" w:after="40"/>
        <w:jc w:val="center"/>
      </w:pPr>
      <w:r>
        <w:drawing>
          <wp:inline xmlns:a="http://schemas.openxmlformats.org/drawingml/2006/main" xmlns:pic="http://schemas.openxmlformats.org/drawingml/2006/picture">
            <wp:extent cx="5394960" cy="2438130"/>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394960" cy="2438130"/>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System architecture. REAL recordings and SIMULATED twin output pass through the same feature extractor, and provenance is enforced at the boundary of the data asset.</w:t>
      </w:r>
    </w:p>
    <w:p>
      <w:pPr>
        <w:spacing w:after="120"/>
      </w:pPr>
      <w:r>
        <w:rPr>
          <w:rFonts w:ascii="Calibri" w:hAnsi="Calibri"/>
          <w:b/>
          <w:i w:val="0"/>
          <w:color w:val="156082"/>
          <w:sz w:val="21"/>
        </w:rPr>
        <w:t>What it is not.</w:t>
      </w:r>
      <w:r>
        <w:rPr>
          <w:rFonts w:ascii="Calibri" w:hAnsi="Calibri"/>
          <w:b w:val="0"/>
          <w:i w:val="0"/>
          <w:color w:val="222222"/>
          <w:sz w:val="21"/>
        </w:rPr>
        <w:t xml:space="preserve"> NeuroMPS is not an automated screening platform, and it does not predict whether an uncharacterized compound is safe or effective. Several of our most useful results are negative: they show that a measurement does not contain a signal people routinely assume it does. We treat those results (§18) as a core deliverable, not as an apology.</w:t>
      </w:r>
    </w:p>
    <w:p>
      <w:pPr>
        <w:keepNext/>
        <w:spacing w:before="240" w:after="60"/>
      </w:pPr>
      <w:r>
        <w:rPr>
          <w:rFonts w:ascii="Calibri" w:hAnsi="Calibri"/>
          <w:b/>
          <w:i w:val="0"/>
          <w:color w:val="1F4E79"/>
          <w:sz w:val="23"/>
        </w:rPr>
        <w:t>2. The data</w:t>
      </w:r>
    </w:p>
    <w:p>
      <w:pPr>
        <w:keepNext/>
        <w:spacing w:after="120"/>
      </w:pPr>
      <w:r>
        <w:rPr>
          <w:rFonts w:ascii="Calibri" w:hAnsi="Calibri"/>
          <w:b w:val="0"/>
          <w:i w:val="0"/>
          <w:color w:val="222222"/>
          <w:sz w:val="21"/>
        </w:rPr>
        <w:t>Our asset holds 21,887 records from eight public sources. They are not all the same kind of record, and that difference matters more than the count.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35"/>
        <w:gridCol w:w="1439"/>
        <w:gridCol w:w="4122"/>
      </w:tblGrid>
      <w:tr>
        <w:trPr>
          <w:cantSplit/>
          <w:tblHeader/>
        </w:trPr>
        <w:tc>
          <w:tcPr>
            <w:tcW w:type="dxa" w:w="2935"/>
            <w:shd w:val="clear" w:color="auto" w:fill="1F4E79"/>
            <w:vAlign w:val="center"/>
          </w:tcPr>
          <w:p>
            <w:pPr>
              <w:keepNext/>
              <w:spacing w:after="0"/>
            </w:pPr>
            <w:r>
              <w:rPr>
                <w:rFonts w:ascii="Calibri" w:hAnsi="Calibri"/>
                <w:b/>
                <w:i w:val="0"/>
                <w:color w:val="FFFFFF"/>
                <w:sz w:val="20"/>
              </w:rPr>
              <w:t>what the record holds</w:t>
            </w:r>
          </w:p>
        </w:tc>
        <w:tc>
          <w:tcPr>
            <w:tcW w:type="dxa" w:w="1439"/>
            <w:shd w:val="clear" w:color="auto" w:fill="1F4E79"/>
            <w:vAlign w:val="center"/>
          </w:tcPr>
          <w:p>
            <w:pPr>
              <w:keepNext/>
              <w:spacing w:after="0"/>
              <w:jc w:val="center"/>
            </w:pPr>
            <w:r>
              <w:rPr>
                <w:rFonts w:ascii="Calibri" w:hAnsi="Calibri"/>
                <w:b/>
                <w:i w:val="0"/>
                <w:color w:val="FFFFFF"/>
                <w:sz w:val="20"/>
              </w:rPr>
              <w:t>record count</w:t>
            </w:r>
          </w:p>
        </w:tc>
        <w:tc>
          <w:tcPr>
            <w:tcW w:type="dxa" w:w="4122"/>
            <w:shd w:val="clear" w:color="auto" w:fill="1F4E79"/>
            <w:vAlign w:val="center"/>
          </w:tcPr>
          <w:p>
            <w:pPr>
              <w:keepNext/>
              <w:spacing w:after="0"/>
            </w:pPr>
            <w:r>
              <w:rPr>
                <w:rFonts w:ascii="Calibri" w:hAnsi="Calibri"/>
                <w:b/>
                <w:i w:val="0"/>
                <w:color w:val="FFFFFF"/>
                <w:sz w:val="20"/>
              </w:rPr>
              <w:t>what you can do with it</w:t>
            </w:r>
          </w:p>
        </w:tc>
      </w:tr>
      <w:tr>
        <w:trPr>
          <w:cantSplit/>
        </w:trPr>
        <w:tc>
          <w:tcPr>
            <w:tcW w:type="dxa" w:w="2935"/>
            <w:shd w:val="clear" w:color="auto" w:fill="FFFFFF"/>
            <w:vAlign w:val="center"/>
          </w:tcPr>
          <w:p>
            <w:pPr>
              <w:keepNext/>
              <w:spacing w:after="0"/>
            </w:pPr>
            <w:r>
              <w:rPr>
                <w:rFonts w:ascii="Calibri" w:hAnsi="Calibri"/>
                <w:b/>
                <w:i w:val="0"/>
                <w:color w:val="222222"/>
                <w:sz w:val="20"/>
              </w:rPr>
              <w:t>spike times</w:t>
            </w:r>
          </w:p>
        </w:tc>
        <w:tc>
          <w:tcPr>
            <w:tcW w:type="dxa" w:w="1439"/>
            <w:shd w:val="clear" w:color="auto" w:fill="FFFFFF"/>
            <w:vAlign w:val="center"/>
          </w:tcPr>
          <w:p>
            <w:pPr>
              <w:keepNext/>
              <w:spacing w:after="0"/>
              <w:jc w:val="center"/>
            </w:pPr>
            <w:r>
              <w:rPr>
                <w:rFonts w:ascii="Calibri" w:hAnsi="Calibri"/>
                <w:b w:val="0"/>
                <w:i w:val="0"/>
                <w:color w:val="222222"/>
                <w:sz w:val="20"/>
              </w:rPr>
              <w:t>1,512</w:t>
            </w:r>
          </w:p>
        </w:tc>
        <w:tc>
          <w:tcPr>
            <w:tcW w:type="dxa" w:w="4122"/>
            <w:shd w:val="clear" w:color="auto" w:fill="FFFFFF"/>
            <w:vAlign w:val="center"/>
          </w:tcPr>
          <w:p>
            <w:pPr>
              <w:keepNext/>
              <w:spacing w:after="0"/>
            </w:pPr>
            <w:r>
              <w:rPr>
                <w:rFonts w:ascii="Calibri" w:hAnsi="Calibri"/>
                <w:b w:val="0"/>
                <w:i w:val="0"/>
                <w:color w:val="222222"/>
                <w:sz w:val="20"/>
              </w:rPr>
              <w:t>recompute any feature from scratch with our common code</w:t>
            </w:r>
          </w:p>
        </w:tc>
      </w:tr>
      <w:tr>
        <w:trPr>
          <w:cantSplit/>
        </w:trPr>
        <w:tc>
          <w:tcPr>
            <w:tcW w:type="dxa" w:w="2935"/>
            <w:shd w:val="clear" w:color="auto" w:fill="F7F9FB"/>
            <w:vAlign w:val="center"/>
          </w:tcPr>
          <w:p>
            <w:pPr>
              <w:keepNext w:val="0"/>
              <w:spacing w:after="0"/>
            </w:pPr>
            <w:r>
              <w:rPr>
                <w:rFonts w:ascii="Calibri" w:hAnsi="Calibri"/>
                <w:b/>
                <w:i w:val="0"/>
                <w:color w:val="222222"/>
                <w:sz w:val="20"/>
              </w:rPr>
              <w:t>fitted dose-response curves</w:t>
            </w:r>
          </w:p>
        </w:tc>
        <w:tc>
          <w:tcPr>
            <w:tcW w:type="dxa" w:w="1439"/>
            <w:shd w:val="clear" w:color="auto" w:fill="F7F9FB"/>
            <w:vAlign w:val="center"/>
          </w:tcPr>
          <w:p>
            <w:pPr>
              <w:keepNext w:val="0"/>
              <w:spacing w:after="0"/>
              <w:jc w:val="center"/>
            </w:pPr>
            <w:r>
              <w:rPr>
                <w:rFonts w:ascii="Calibri" w:hAnsi="Calibri"/>
                <w:b w:val="0"/>
                <w:i w:val="0"/>
                <w:color w:val="222222"/>
                <w:sz w:val="20"/>
              </w:rPr>
              <w:t>20,375</w:t>
            </w:r>
          </w:p>
        </w:tc>
        <w:tc>
          <w:tcPr>
            <w:tcW w:type="dxa" w:w="4122"/>
            <w:shd w:val="clear" w:color="auto" w:fill="F7F9FB"/>
            <w:vAlign w:val="center"/>
          </w:tcPr>
          <w:p>
            <w:pPr>
              <w:keepNext w:val="0"/>
              <w:spacing w:after="0"/>
            </w:pPr>
            <w:r>
              <w:rPr>
                <w:rFonts w:ascii="Calibri" w:hAnsi="Calibri"/>
                <w:b w:val="0"/>
                <w:i w:val="0"/>
                <w:color w:val="222222"/>
                <w:sz w:val="20"/>
              </w:rPr>
              <w:t>read a potency estimate that another laboratory fitted</w:t>
            </w:r>
          </w:p>
        </w:tc>
      </w:tr>
    </w:tbl>
    <w:p>
      <w:pPr>
        <w:spacing w:after="80"/>
      </w:pPr>
    </w:p>
    <w:p>
      <w:pPr>
        <w:spacing w:after="120"/>
      </w:pPr>
      <w:r>
        <w:rPr>
          <w:rFonts w:ascii="Calibri" w:hAnsi="Calibri"/>
          <w:b w:val="0"/>
          <w:i w:val="0"/>
          <w:color w:val="222222"/>
          <w:sz w:val="21"/>
        </w:rPr>
        <w:t>We require every record in our dataset to explicitly declare its data type. While that might sound like routine bookkeeping, it directly protects our pipeline: virtually all of our predictive modeling and twin calibration rely solely on spike-time recordings, because only those can pass through our unified feature extractor. If we had simply lumped the two record types together into a single table, the dataset would look twenty times larger — but it would be twenty times less useful to us.</w:t>
      </w:r>
    </w:p>
    <w:p>
      <w:pPr>
        <w:spacing w:after="120"/>
      </w:pPr>
      <w:r>
        <w:rPr>
          <w:rFonts w:ascii="Calibri" w:hAnsi="Calibri"/>
          <w:b/>
          <w:i w:val="0"/>
          <w:color w:val="156082"/>
          <w:sz w:val="21"/>
        </w:rPr>
        <w:t>The species imbalance.</w:t>
      </w:r>
      <w:r>
        <w:rPr>
          <w:rFonts w:ascii="Calibri" w:hAnsi="Calibri"/>
          <w:b w:val="0"/>
          <w:i w:val="0"/>
          <w:color w:val="222222"/>
          <w:sz w:val="21"/>
        </w:rPr>
        <w:t xml:space="preserve"> By species, our asset holds 21,530 rat and 357 human records. This imbalance is the single biggest limitation of the project, and no amount of clever coding can fix it: it reflects what is publicly available under licenses that permit reuse. Rather than hide it, we treat it as an explicit boundary whenever we test species transfer.</w:t>
      </w:r>
    </w:p>
    <w:p>
      <w:pPr>
        <w:spacing w:after="120"/>
      </w:pPr>
      <w:r>
        <w:rPr>
          <w:rFonts w:ascii="Calibri" w:hAnsi="Calibri"/>
          <w:b/>
          <w:i w:val="0"/>
          <w:color w:val="156082"/>
          <w:sz w:val="21"/>
        </w:rPr>
        <w:t>The case that tested our rules.</w:t>
      </w:r>
      <w:r>
        <w:rPr>
          <w:rFonts w:ascii="Calibri" w:hAnsi="Calibri"/>
          <w:b w:val="0"/>
          <w:i w:val="0"/>
          <w:color w:val="222222"/>
          <w:sz w:val="21"/>
        </w:rPr>
        <w:t xml:space="preserve"> One dataset (Tukker 2020) was an ideal scientific fit, and we still excluded it. It is licensed CC BY-NC, and the competition rules give the organizing committee joint ownership of entries — a right that a non-commercial license does not allow us to grant. We record the exclusion and its reason in </w:t>
      </w:r>
      <w:r>
        <w:rPr>
          <w:rFonts w:ascii="Consolas" w:hAnsi="Consolas"/>
          <w:b w:val="0"/>
          <w:i w:val="0"/>
          <w:color w:val="222222"/>
          <w:sz w:val="19"/>
        </w:rPr>
        <w:t>data/raw/MANIFEST.json</w:t>
      </w:r>
      <w:r>
        <w:rPr>
          <w:rFonts w:ascii="Calibri" w:hAnsi="Calibri"/>
          <w:b w:val="0"/>
          <w:i w:val="0"/>
          <w:color w:val="222222"/>
          <w:sz w:val="21"/>
        </w:rPr>
        <w:t>, next to the sources we accepted, instead of letting the dataset quietly disappear. We mention it because you should be able to check that our license discipline is real rather than claimed: every source re-checks its license at fetch time, and the build stops if any checksum disagrees with the manifest.</w:t>
      </w:r>
    </w:p>
    <w:p>
      <w:pPr>
        <w:keepNext/>
        <w:spacing w:before="360" w:after="120"/>
      </w:pPr>
      <w:r>
        <w:rPr>
          <w:rFonts w:ascii="Calibri" w:hAnsi="Calibri"/>
          <w:b/>
          <w:i w:val="0"/>
          <w:color w:val="2F5597"/>
          <w:sz w:val="27"/>
        </w:rPr>
        <w:t>ACT II: Standardizing the mess and benchmarking real biology</w:t>
      </w:r>
    </w:p>
    <w:p>
      <w:pPr>
        <w:keepNext/>
        <w:spacing w:before="240" w:after="60"/>
      </w:pPr>
      <w:r>
        <w:rPr>
          <w:rFonts w:ascii="Calibri" w:hAnsi="Calibri"/>
          <w:b/>
          <w:i w:val="0"/>
          <w:color w:val="1F4E79"/>
          <w:sz w:val="23"/>
        </w:rPr>
        <w:t>3. Are two laboratories' numbers actually comparable?</w:t>
      </w:r>
    </w:p>
    <w:p>
      <w:pPr>
        <w:spacing w:after="120"/>
      </w:pPr>
      <w:r>
        <w:rPr>
          <w:rFonts w:ascii="Calibri" w:hAnsi="Calibri"/>
          <w:b w:val="0"/>
          <w:i w:val="0"/>
          <w:color w:val="222222"/>
          <w:sz w:val="21"/>
        </w:rPr>
        <w:t xml:space="preserve">The whole dataset rests on this question, so we tested it instead of assuming it. One module, </w:t>
      </w:r>
      <w:r>
        <w:rPr>
          <w:rFonts w:ascii="Consolas" w:hAnsi="Consolas"/>
          <w:b w:val="0"/>
          <w:i w:val="0"/>
          <w:color w:val="222222"/>
          <w:sz w:val="19"/>
        </w:rPr>
        <w:t>features/mea.py</w:t>
      </w:r>
      <w:r>
        <w:rPr>
          <w:rFonts w:ascii="Calibri" w:hAnsi="Calibri"/>
          <w:b w:val="0"/>
          <w:i w:val="0"/>
          <w:color w:val="222222"/>
          <w:sz w:val="21"/>
        </w:rPr>
        <w:t>, computes all nine features directly from spike times: mean firing rate, burst rate, burst duration, spikes per burst, percentage of spikes in bursts, network burst rate, synchrony index, the coefficient of variation of inter-spike intervals, and the number of active electrodes.</w:t>
      </w:r>
    </w:p>
    <w:p>
      <w:pPr>
        <w:spacing w:after="120"/>
      </w:pPr>
      <w:r>
        <w:rPr>
          <w:rFonts w:ascii="Calibri" w:hAnsi="Calibri"/>
          <w:b w:val="0"/>
          <w:i w:val="0"/>
          <w:color w:val="222222"/>
          <w:sz w:val="21"/>
        </w:rPr>
        <w:t>We detect bursts with a stated rule — spikes closer than 100 ms, at least five in a row — rather than a vendor default. For synchrony we use the spike-time tiling coefficient (STTC) with a 50 ms coincidence window. Unlike a plain correlation, STTC does not reward two electrodes just for both being busy.</w:t>
      </w:r>
    </w:p>
    <w:p>
      <w:pPr>
        <w:keepNext/>
        <w:spacing w:after="120"/>
      </w:pPr>
      <w:r>
        <w:rPr>
          <w:rFonts w:ascii="Calibri" w:hAnsi="Calibri"/>
          <w:b/>
          <w:i w:val="0"/>
          <w:color w:val="156082"/>
          <w:sz w:val="21"/>
        </w:rPr>
        <w:t>The benchmark.</w:t>
      </w:r>
      <w:r>
        <w:rPr>
          <w:rFonts w:ascii="Calibri" w:hAnsi="Calibri"/>
          <w:b w:val="0"/>
          <w:i w:val="0"/>
          <w:color w:val="222222"/>
          <w:sz w:val="21"/>
        </w:rPr>
        <w:t xml:space="preserve"> Kapucu and colleagues deposited their own feature tables alongside their spike files, computed with </w:t>
      </w:r>
      <w:r>
        <w:rPr>
          <w:rFonts w:ascii="Consolas" w:hAnsi="Consolas"/>
          <w:b w:val="0"/>
          <w:i w:val="0"/>
          <w:color w:val="222222"/>
          <w:sz w:val="19"/>
        </w:rPr>
        <w:t>meaRtools</w:t>
      </w:r>
      <w:r>
        <w:rPr>
          <w:rFonts w:ascii="Calibri" w:hAnsi="Calibri"/>
          <w:b w:val="0"/>
          <w:i w:val="0"/>
          <w:color w:val="222222"/>
          <w:sz w:val="21"/>
        </w:rPr>
        <w:t>. That gave us an independent implementation to test against: we ran our code over their spikes and compared the results across 336 recordings on 3 plates, 2,298 paired values in total. We consider this the most important methodological result in the report, so here it is, plainly.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93"/>
        <w:gridCol w:w="1472"/>
        <w:gridCol w:w="1458"/>
        <w:gridCol w:w="2373"/>
      </w:tblGrid>
      <w:tr>
        <w:trPr>
          <w:cantSplit/>
          <w:tblHeader/>
        </w:trPr>
        <w:tc>
          <w:tcPr>
            <w:tcW w:type="dxa" w:w="3193"/>
            <w:shd w:val="clear" w:color="auto" w:fill="1F4E79"/>
            <w:vAlign w:val="center"/>
          </w:tcPr>
          <w:p>
            <w:pPr>
              <w:keepNext/>
              <w:spacing w:after="0"/>
            </w:pPr>
            <w:r>
              <w:rPr>
                <w:rFonts w:ascii="Calibri" w:hAnsi="Calibri"/>
                <w:b/>
                <w:i w:val="0"/>
                <w:color w:val="FFFFFF"/>
                <w:sz w:val="20"/>
              </w:rPr>
              <w:t>feature</w:t>
            </w:r>
          </w:p>
        </w:tc>
        <w:tc>
          <w:tcPr>
            <w:tcW w:type="dxa" w:w="1472"/>
            <w:shd w:val="clear" w:color="auto" w:fill="1F4E79"/>
            <w:vAlign w:val="center"/>
          </w:tcPr>
          <w:p>
            <w:pPr>
              <w:keepNext/>
              <w:spacing w:after="0"/>
              <w:jc w:val="center"/>
            </w:pPr>
            <w:r>
              <w:rPr>
                <w:rFonts w:ascii="Calibri" w:hAnsi="Calibri"/>
                <w:b/>
                <w:i w:val="0"/>
                <w:color w:val="FFFFFF"/>
                <w:sz w:val="20"/>
              </w:rPr>
              <w:t>rank agreement (ρ)</w:t>
            </w:r>
          </w:p>
        </w:tc>
        <w:tc>
          <w:tcPr>
            <w:tcW w:type="dxa" w:w="1458"/>
            <w:shd w:val="clear" w:color="auto" w:fill="1F4E79"/>
            <w:vAlign w:val="center"/>
          </w:tcPr>
          <w:p>
            <w:pPr>
              <w:keepNext/>
              <w:spacing w:after="0"/>
              <w:jc w:val="center"/>
            </w:pPr>
            <w:r>
              <w:rPr>
                <w:rFonts w:ascii="Calibri" w:hAnsi="Calibri"/>
                <w:b/>
                <w:i w:val="0"/>
                <w:color w:val="FFFFFF"/>
                <w:sz w:val="20"/>
              </w:rPr>
              <w:t>value ratio (ours / theirs)</w:t>
            </w:r>
          </w:p>
        </w:tc>
        <w:tc>
          <w:tcPr>
            <w:tcW w:type="dxa" w:w="2373"/>
            <w:shd w:val="clear" w:color="auto" w:fill="1F4E79"/>
            <w:vAlign w:val="center"/>
          </w:tcPr>
          <w:p>
            <w:pPr>
              <w:keepNext/>
              <w:spacing w:after="0"/>
            </w:pPr>
            <w:r>
              <w:rPr>
                <w:rFonts w:ascii="Calibri" w:hAnsi="Calibri"/>
                <w:b/>
                <w:i w:val="0"/>
                <w:color w:val="FFFFFF"/>
                <w:sz w:val="20"/>
              </w:rPr>
              <w:t>practical consequence</w:t>
            </w:r>
          </w:p>
        </w:tc>
      </w:tr>
      <w:tr>
        <w:trPr>
          <w:cantSplit/>
        </w:trPr>
        <w:tc>
          <w:tcPr>
            <w:tcW w:type="dxa" w:w="3193"/>
            <w:shd w:val="clear" w:color="auto" w:fill="FFFFFF"/>
            <w:vAlign w:val="center"/>
          </w:tcPr>
          <w:p>
            <w:pPr>
              <w:keepNext/>
              <w:spacing w:after="0"/>
            </w:pPr>
            <w:r>
              <w:rPr>
                <w:rFonts w:ascii="Consolas" w:hAnsi="Consolas"/>
                <w:b/>
                <w:i w:val="0"/>
                <w:color w:val="222222"/>
                <w:sz w:val="18"/>
              </w:rPr>
              <w:t>synchrony_index</w:t>
            </w:r>
          </w:p>
        </w:tc>
        <w:tc>
          <w:tcPr>
            <w:tcW w:type="dxa" w:w="1472"/>
            <w:shd w:val="clear" w:color="auto" w:fill="FFFFFF"/>
            <w:vAlign w:val="center"/>
          </w:tcPr>
          <w:p>
            <w:pPr>
              <w:keepNext/>
              <w:spacing w:after="0"/>
              <w:jc w:val="center"/>
            </w:pPr>
            <w:r>
              <w:rPr>
                <w:rFonts w:ascii="Calibri" w:hAnsi="Calibri"/>
                <w:b w:val="0"/>
                <w:i w:val="0"/>
                <w:color w:val="222222"/>
                <w:sz w:val="20"/>
              </w:rPr>
              <w:t>0.9839</w:t>
            </w:r>
          </w:p>
        </w:tc>
        <w:tc>
          <w:tcPr>
            <w:tcW w:type="dxa" w:w="1458"/>
            <w:shd w:val="clear" w:color="auto" w:fill="FFFFFF"/>
            <w:vAlign w:val="center"/>
          </w:tcPr>
          <w:p>
            <w:pPr>
              <w:keepNext/>
              <w:spacing w:after="0"/>
              <w:jc w:val="center"/>
            </w:pPr>
            <w:r>
              <w:rPr>
                <w:rFonts w:ascii="Calibri" w:hAnsi="Calibri"/>
                <w:b w:val="0"/>
                <w:i w:val="0"/>
                <w:color w:val="222222"/>
                <w:sz w:val="20"/>
              </w:rPr>
              <w:t>0.736</w:t>
            </w:r>
          </w:p>
        </w:tc>
        <w:tc>
          <w:tcPr>
            <w:tcW w:type="dxa" w:w="2373"/>
            <w:shd w:val="clear" w:color="auto" w:fill="FFFFFF"/>
            <w:vAlign w:val="center"/>
          </w:tcPr>
          <w:p>
            <w:pPr>
              <w:keepNext/>
              <w:spacing w:after="0"/>
            </w:pPr>
            <w:r>
              <w:rPr>
                <w:rFonts w:ascii="Calibri" w:hAnsi="Calibri"/>
                <w:b w:val="0"/>
                <w:i w:val="0"/>
                <w:color w:val="222222"/>
                <w:sz w:val="20"/>
              </w:rPr>
              <w:t>ranks match; our STTC is about a quarter lower</w:t>
            </w:r>
          </w:p>
        </w:tc>
      </w:tr>
      <w:tr>
        <w:trPr>
          <w:cantSplit/>
        </w:trPr>
        <w:tc>
          <w:tcPr>
            <w:tcW w:type="dxa" w:w="3193"/>
            <w:shd w:val="clear" w:color="auto" w:fill="F7F9FB"/>
            <w:vAlign w:val="center"/>
          </w:tcPr>
          <w:p>
            <w:pPr>
              <w:keepNext/>
              <w:spacing w:after="0"/>
            </w:pPr>
            <w:r>
              <w:rPr>
                <w:rFonts w:ascii="Consolas" w:hAnsi="Consolas"/>
                <w:b/>
                <w:i w:val="0"/>
                <w:color w:val="222222"/>
                <w:sz w:val="18"/>
              </w:rPr>
              <w:t>mfr_hz</w:t>
            </w:r>
          </w:p>
        </w:tc>
        <w:tc>
          <w:tcPr>
            <w:tcW w:type="dxa" w:w="1472"/>
            <w:shd w:val="clear" w:color="auto" w:fill="F7F9FB"/>
            <w:vAlign w:val="center"/>
          </w:tcPr>
          <w:p>
            <w:pPr>
              <w:keepNext/>
              <w:spacing w:after="0"/>
              <w:jc w:val="center"/>
            </w:pPr>
            <w:r>
              <w:rPr>
                <w:rFonts w:ascii="Calibri" w:hAnsi="Calibri"/>
                <w:b w:val="0"/>
                <w:i w:val="0"/>
                <w:color w:val="222222"/>
                <w:sz w:val="20"/>
              </w:rPr>
              <w:t>0.9831</w:t>
            </w:r>
          </w:p>
        </w:tc>
        <w:tc>
          <w:tcPr>
            <w:tcW w:type="dxa" w:w="1458"/>
            <w:shd w:val="clear" w:color="auto" w:fill="F7F9FB"/>
            <w:vAlign w:val="center"/>
          </w:tcPr>
          <w:p>
            <w:pPr>
              <w:keepNext/>
              <w:spacing w:after="0"/>
              <w:jc w:val="center"/>
            </w:pPr>
            <w:r>
              <w:rPr>
                <w:rFonts w:ascii="Calibri" w:hAnsi="Calibri"/>
                <w:b w:val="0"/>
                <w:i w:val="0"/>
                <w:color w:val="222222"/>
                <w:sz w:val="20"/>
              </w:rPr>
              <w:t>0.7539</w:t>
            </w:r>
          </w:p>
        </w:tc>
        <w:tc>
          <w:tcPr>
            <w:tcW w:type="dxa" w:w="2373"/>
            <w:shd w:val="clear" w:color="auto" w:fill="F7F9FB"/>
            <w:vAlign w:val="center"/>
          </w:tcPr>
          <w:p>
            <w:pPr>
              <w:keepNext/>
              <w:spacing w:after="0"/>
            </w:pPr>
            <w:r>
              <w:rPr>
                <w:rFonts w:ascii="Calibri" w:hAnsi="Calibri"/>
                <w:b w:val="0"/>
                <w:i w:val="0"/>
                <w:color w:val="222222"/>
                <w:sz w:val="20"/>
              </w:rPr>
              <w:t>ranks match; baseline firing rate scaled differently</w:t>
            </w:r>
          </w:p>
        </w:tc>
      </w:tr>
      <w:tr>
        <w:trPr>
          <w:cantSplit/>
        </w:trPr>
        <w:tc>
          <w:tcPr>
            <w:tcW w:type="dxa" w:w="3193"/>
            <w:shd w:val="clear" w:color="auto" w:fill="FFFFFF"/>
            <w:vAlign w:val="center"/>
          </w:tcPr>
          <w:p>
            <w:pPr>
              <w:keepNext/>
              <w:spacing w:after="0"/>
            </w:pPr>
            <w:r>
              <w:rPr>
                <w:rFonts w:ascii="Consolas" w:hAnsi="Consolas"/>
                <w:b/>
                <w:i w:val="0"/>
                <w:color w:val="222222"/>
                <w:sz w:val="18"/>
              </w:rPr>
              <w:t>active_electrodes</w:t>
            </w:r>
          </w:p>
        </w:tc>
        <w:tc>
          <w:tcPr>
            <w:tcW w:type="dxa" w:w="1472"/>
            <w:shd w:val="clear" w:color="auto" w:fill="FFFFFF"/>
            <w:vAlign w:val="center"/>
          </w:tcPr>
          <w:p>
            <w:pPr>
              <w:keepNext/>
              <w:spacing w:after="0"/>
              <w:jc w:val="center"/>
            </w:pPr>
            <w:r>
              <w:rPr>
                <w:rFonts w:ascii="Calibri" w:hAnsi="Calibri"/>
                <w:b w:val="0"/>
                <w:i w:val="0"/>
                <w:color w:val="222222"/>
                <w:sz w:val="20"/>
              </w:rPr>
              <w:t>0.9763</w:t>
            </w:r>
          </w:p>
        </w:tc>
        <w:tc>
          <w:tcPr>
            <w:tcW w:type="dxa" w:w="1458"/>
            <w:shd w:val="clear" w:color="auto" w:fill="FFFFFF"/>
            <w:vAlign w:val="center"/>
          </w:tcPr>
          <w:p>
            <w:pPr>
              <w:keepNext/>
              <w:spacing w:after="0"/>
              <w:jc w:val="center"/>
            </w:pPr>
            <w:r>
              <w:rPr>
                <w:rFonts w:ascii="Calibri" w:hAnsi="Calibri"/>
                <w:b w:val="0"/>
                <w:i w:val="0"/>
                <w:color w:val="222222"/>
                <w:sz w:val="20"/>
              </w:rPr>
              <w:t>1.3624</w:t>
            </w:r>
          </w:p>
        </w:tc>
        <w:tc>
          <w:tcPr>
            <w:tcW w:type="dxa" w:w="2373"/>
            <w:shd w:val="clear" w:color="auto" w:fill="FFFFFF"/>
            <w:vAlign w:val="center"/>
          </w:tcPr>
          <w:p>
            <w:pPr>
              <w:keepNext/>
              <w:spacing w:after="0"/>
            </w:pPr>
            <w:r>
              <w:rPr>
                <w:rFonts w:ascii="Calibri" w:hAnsi="Calibri"/>
                <w:b w:val="0"/>
                <w:i w:val="0"/>
                <w:color w:val="222222"/>
                <w:sz w:val="20"/>
              </w:rPr>
              <w:t>ranks match; our activity cutoff is more inclusive</w:t>
            </w:r>
          </w:p>
        </w:tc>
      </w:tr>
      <w:tr>
        <w:trPr>
          <w:cantSplit/>
        </w:trPr>
        <w:tc>
          <w:tcPr>
            <w:tcW w:type="dxa" w:w="3193"/>
            <w:shd w:val="clear" w:color="auto" w:fill="F7F9FB"/>
            <w:vAlign w:val="center"/>
          </w:tcPr>
          <w:p>
            <w:pPr>
              <w:keepNext/>
              <w:spacing w:after="0"/>
            </w:pPr>
            <w:r>
              <w:rPr>
                <w:rFonts w:ascii="Consolas" w:hAnsi="Consolas"/>
                <w:b/>
                <w:i w:val="0"/>
                <w:color w:val="222222"/>
                <w:sz w:val="18"/>
              </w:rPr>
              <w:t>pct_spikes_in_bursts</w:t>
            </w:r>
          </w:p>
        </w:tc>
        <w:tc>
          <w:tcPr>
            <w:tcW w:type="dxa" w:w="1472"/>
            <w:shd w:val="clear" w:color="auto" w:fill="F7F9FB"/>
            <w:vAlign w:val="center"/>
          </w:tcPr>
          <w:p>
            <w:pPr>
              <w:keepNext/>
              <w:spacing w:after="0"/>
              <w:jc w:val="center"/>
            </w:pPr>
            <w:r>
              <w:rPr>
                <w:rFonts w:ascii="Calibri" w:hAnsi="Calibri"/>
                <w:b w:val="0"/>
                <w:i w:val="0"/>
                <w:color w:val="222222"/>
                <w:sz w:val="20"/>
              </w:rPr>
              <w:t>0.9703</w:t>
            </w:r>
          </w:p>
        </w:tc>
        <w:tc>
          <w:tcPr>
            <w:tcW w:type="dxa" w:w="1458"/>
            <w:shd w:val="clear" w:color="auto" w:fill="F7F9FB"/>
            <w:vAlign w:val="center"/>
          </w:tcPr>
          <w:p>
            <w:pPr>
              <w:keepNext/>
              <w:spacing w:after="0"/>
              <w:jc w:val="center"/>
            </w:pPr>
            <w:r>
              <w:rPr>
                <w:rFonts w:ascii="Calibri" w:hAnsi="Calibri"/>
                <w:b w:val="0"/>
                <w:i w:val="0"/>
                <w:color w:val="222222"/>
                <w:sz w:val="20"/>
              </w:rPr>
              <w:t>0.9864</w:t>
            </w:r>
          </w:p>
        </w:tc>
        <w:tc>
          <w:tcPr>
            <w:tcW w:type="dxa" w:w="2373"/>
            <w:shd w:val="clear" w:color="auto" w:fill="F7F9FB"/>
            <w:vAlign w:val="center"/>
          </w:tcPr>
          <w:p>
            <w:pPr>
              <w:keepNext/>
              <w:spacing w:after="0"/>
            </w:pPr>
            <w:r>
              <w:rPr>
                <w:rFonts w:ascii="Calibri" w:hAnsi="Calibri"/>
                <w:b w:val="0"/>
                <w:i w:val="0"/>
                <w:color w:val="222222"/>
                <w:sz w:val="20"/>
              </w:rPr>
              <w:t>reproduces on both axes</w:t>
            </w:r>
          </w:p>
        </w:tc>
      </w:tr>
      <w:tr>
        <w:trPr>
          <w:cantSplit/>
        </w:trPr>
        <w:tc>
          <w:tcPr>
            <w:tcW w:type="dxa" w:w="3193"/>
            <w:shd w:val="clear" w:color="auto" w:fill="FFFFFF"/>
            <w:vAlign w:val="center"/>
          </w:tcPr>
          <w:p>
            <w:pPr>
              <w:keepNext/>
              <w:spacing w:after="0"/>
            </w:pPr>
            <w:r>
              <w:rPr>
                <w:rFonts w:ascii="Consolas" w:hAnsi="Consolas"/>
                <w:b/>
                <w:i w:val="0"/>
                <w:color w:val="222222"/>
                <w:sz w:val="18"/>
              </w:rPr>
              <w:t>spikes_per_burst</w:t>
            </w:r>
          </w:p>
        </w:tc>
        <w:tc>
          <w:tcPr>
            <w:tcW w:type="dxa" w:w="1472"/>
            <w:shd w:val="clear" w:color="auto" w:fill="FFFFFF"/>
            <w:vAlign w:val="center"/>
          </w:tcPr>
          <w:p>
            <w:pPr>
              <w:keepNext/>
              <w:spacing w:after="0"/>
              <w:jc w:val="center"/>
            </w:pPr>
            <w:r>
              <w:rPr>
                <w:rFonts w:ascii="Calibri" w:hAnsi="Calibri"/>
                <w:b w:val="0"/>
                <w:i w:val="0"/>
                <w:color w:val="222222"/>
                <w:sz w:val="20"/>
              </w:rPr>
              <w:t>0.9167</w:t>
            </w:r>
          </w:p>
        </w:tc>
        <w:tc>
          <w:tcPr>
            <w:tcW w:type="dxa" w:w="1458"/>
            <w:shd w:val="clear" w:color="auto" w:fill="FFFFFF"/>
            <w:vAlign w:val="center"/>
          </w:tcPr>
          <w:p>
            <w:pPr>
              <w:keepNext/>
              <w:spacing w:after="0"/>
              <w:jc w:val="center"/>
            </w:pPr>
            <w:r>
              <w:rPr>
                <w:rFonts w:ascii="Calibri" w:hAnsi="Calibri"/>
                <w:b w:val="0"/>
                <w:i w:val="0"/>
                <w:color w:val="222222"/>
                <w:sz w:val="20"/>
              </w:rPr>
              <w:t>0.9418</w:t>
            </w:r>
          </w:p>
        </w:tc>
        <w:tc>
          <w:tcPr>
            <w:tcW w:type="dxa" w:w="2373"/>
            <w:shd w:val="clear" w:color="auto" w:fill="FFFFFF"/>
            <w:vAlign w:val="center"/>
          </w:tcPr>
          <w:p>
            <w:pPr>
              <w:keepNext/>
              <w:spacing w:after="0"/>
            </w:pPr>
            <w:r>
              <w:rPr>
                <w:rFonts w:ascii="Calibri" w:hAnsi="Calibri"/>
                <w:b w:val="0"/>
                <w:i w:val="0"/>
                <w:color w:val="222222"/>
                <w:sz w:val="20"/>
              </w:rPr>
              <w:t>close numerical agreement</w:t>
            </w:r>
          </w:p>
        </w:tc>
      </w:tr>
      <w:tr>
        <w:trPr>
          <w:cantSplit/>
        </w:trPr>
        <w:tc>
          <w:tcPr>
            <w:tcW w:type="dxa" w:w="3193"/>
            <w:shd w:val="clear" w:color="auto" w:fill="F7F9FB"/>
            <w:vAlign w:val="center"/>
          </w:tcPr>
          <w:p>
            <w:pPr>
              <w:keepNext/>
              <w:spacing w:after="0"/>
            </w:pPr>
            <w:r>
              <w:rPr>
                <w:rFonts w:ascii="Consolas" w:hAnsi="Consolas"/>
                <w:b/>
                <w:i w:val="0"/>
                <w:color w:val="222222"/>
                <w:sz w:val="18"/>
              </w:rPr>
              <w:t>burst_rate_per_min</w:t>
            </w:r>
          </w:p>
        </w:tc>
        <w:tc>
          <w:tcPr>
            <w:tcW w:type="dxa" w:w="1472"/>
            <w:shd w:val="clear" w:color="auto" w:fill="F7F9FB"/>
            <w:vAlign w:val="center"/>
          </w:tcPr>
          <w:p>
            <w:pPr>
              <w:keepNext/>
              <w:spacing w:after="0"/>
              <w:jc w:val="center"/>
            </w:pPr>
            <w:r>
              <w:rPr>
                <w:rFonts w:ascii="Calibri" w:hAnsi="Calibri"/>
                <w:b w:val="0"/>
                <w:i w:val="0"/>
                <w:color w:val="222222"/>
                <w:sz w:val="20"/>
              </w:rPr>
              <w:t>0.8907</w:t>
            </w:r>
          </w:p>
        </w:tc>
        <w:tc>
          <w:tcPr>
            <w:tcW w:type="dxa" w:w="1458"/>
            <w:shd w:val="clear" w:color="auto" w:fill="F7F9FB"/>
            <w:vAlign w:val="center"/>
          </w:tcPr>
          <w:p>
            <w:pPr>
              <w:keepNext/>
              <w:spacing w:after="0"/>
              <w:jc w:val="center"/>
            </w:pPr>
            <w:r>
              <w:rPr>
                <w:rFonts w:ascii="Calibri" w:hAnsi="Calibri"/>
                <w:b w:val="0"/>
                <w:i w:val="0"/>
                <w:color w:val="222222"/>
                <w:sz w:val="20"/>
              </w:rPr>
              <w:t>0.4423</w:t>
            </w:r>
          </w:p>
        </w:tc>
        <w:tc>
          <w:tcPr>
            <w:tcW w:type="dxa" w:w="2373"/>
            <w:shd w:val="clear" w:color="auto" w:fill="F7F9FB"/>
            <w:vAlign w:val="center"/>
          </w:tcPr>
          <w:p>
            <w:pPr>
              <w:keepNext/>
              <w:spacing w:after="0"/>
            </w:pPr>
            <w:r>
              <w:rPr>
                <w:rFonts w:ascii="Calibri" w:hAnsi="Calibri"/>
                <w:b w:val="0"/>
                <w:i w:val="0"/>
                <w:color w:val="222222"/>
                <w:sz w:val="20"/>
              </w:rPr>
              <w:t>disagrees twofold, purely from definition</w:t>
            </w:r>
          </w:p>
        </w:tc>
      </w:tr>
      <w:tr>
        <w:trPr>
          <w:cantSplit/>
        </w:trPr>
        <w:tc>
          <w:tcPr>
            <w:tcW w:type="dxa" w:w="3193"/>
            <w:shd w:val="clear" w:color="auto" w:fill="FFFFFF"/>
            <w:vAlign w:val="center"/>
          </w:tcPr>
          <w:p>
            <w:pPr>
              <w:keepNext w:val="0"/>
              <w:spacing w:after="0"/>
            </w:pPr>
            <w:r>
              <w:rPr>
                <w:rFonts w:ascii="Consolas" w:hAnsi="Consolas"/>
                <w:b/>
                <w:i w:val="0"/>
                <w:color w:val="222222"/>
                <w:sz w:val="18"/>
              </w:rPr>
              <w:t>burst_duration_s</w:t>
            </w:r>
          </w:p>
        </w:tc>
        <w:tc>
          <w:tcPr>
            <w:tcW w:type="dxa" w:w="1472"/>
            <w:shd w:val="clear" w:color="auto" w:fill="FFFFFF"/>
            <w:vAlign w:val="center"/>
          </w:tcPr>
          <w:p>
            <w:pPr>
              <w:keepNext w:val="0"/>
              <w:spacing w:after="0"/>
              <w:jc w:val="center"/>
            </w:pPr>
            <w:r>
              <w:rPr>
                <w:rFonts w:ascii="Calibri" w:hAnsi="Calibri"/>
                <w:b w:val="0"/>
                <w:i w:val="0"/>
                <w:color w:val="222222"/>
                <w:sz w:val="20"/>
              </w:rPr>
              <w:t>0.7926</w:t>
            </w:r>
          </w:p>
        </w:tc>
        <w:tc>
          <w:tcPr>
            <w:tcW w:type="dxa" w:w="1458"/>
            <w:shd w:val="clear" w:color="auto" w:fill="FFFFFF"/>
            <w:vAlign w:val="center"/>
          </w:tcPr>
          <w:p>
            <w:pPr>
              <w:keepNext w:val="0"/>
              <w:spacing w:after="0"/>
              <w:jc w:val="center"/>
            </w:pPr>
            <w:r>
              <w:rPr>
                <w:rFonts w:ascii="Calibri" w:hAnsi="Calibri"/>
                <w:b w:val="0"/>
                <w:i w:val="0"/>
                <w:color w:val="222222"/>
                <w:sz w:val="20"/>
              </w:rPr>
              <w:t>0.8189</w:t>
            </w:r>
          </w:p>
        </w:tc>
        <w:tc>
          <w:tcPr>
            <w:tcW w:type="dxa" w:w="2373"/>
            <w:shd w:val="clear" w:color="auto" w:fill="FFFFFF"/>
            <w:vAlign w:val="center"/>
          </w:tcPr>
          <w:p>
            <w:pPr>
              <w:keepNext w:val="0"/>
              <w:spacing w:after="0"/>
            </w:pPr>
            <w:r>
              <w:rPr>
                <w:rFonts w:ascii="Calibri" w:hAnsi="Calibri"/>
                <w:b w:val="0"/>
                <w:i w:val="0"/>
                <w:color w:val="222222"/>
                <w:sz w:val="20"/>
              </w:rPr>
              <w:t>the weakest rank agreement of the seven</w:t>
            </w:r>
          </w:p>
        </w:tc>
      </w:tr>
    </w:tbl>
    <w:p>
      <w:pPr>
        <w:spacing w:after="80"/>
      </w:pPr>
    </w:p>
    <w:p>
      <w:pPr>
        <w:keepNext/>
        <w:spacing w:before="120" w:after="40"/>
        <w:jc w:val="center"/>
      </w:pPr>
      <w:r>
        <w:drawing>
          <wp:inline xmlns:a="http://schemas.openxmlformats.org/drawingml/2006/main" xmlns:pic="http://schemas.openxmlformats.org/drawingml/2006/picture">
            <wp:extent cx="5394960" cy="3549316"/>
            <wp:docPr id="2" name="Picture 2"/>
            <wp:cNvGraphicFramePr>
              <a:graphicFrameLocks noChangeAspect="1"/>
            </wp:cNvGraphicFramePr>
            <a:graphic>
              <a:graphicData uri="http://schemas.openxmlformats.org/drawingml/2006/picture">
                <pic:pic>
                  <pic:nvPicPr>
                    <pic:cNvPr id="0" name="extractor_agreement_real.png"/>
                    <pic:cNvPicPr/>
                  </pic:nvPicPr>
                  <pic:blipFill>
                    <a:blip r:embed="rId14"/>
                    <a:stretch>
                      <a:fillRect/>
                    </a:stretch>
                  </pic:blipFill>
                  <pic:spPr>
                    <a:xfrm>
                      <a:off x="0" y="0"/>
                      <a:ext cx="5394960" cy="3549316"/>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 xml:space="preserve">Our extractor against the meaRtools output the depositors published, REAL recordings. One panel per feature: our value (vertical) against their published value (horizontal) for each well and DIV, coloured by plate; the dashed line is equality. Only </w:t>
      </w:r>
      <w:r>
        <w:rPr>
          <w:rFonts w:ascii="Consolas" w:hAnsi="Consolas"/>
          <w:b w:val="0"/>
          <w:i/>
          <w:color w:val="222222"/>
          <w:sz w:val="15"/>
        </w:rPr>
        <w:t>pct_spikes_in_bursts</w:t>
      </w:r>
      <w:r>
        <w:rPr>
          <w:rFonts w:ascii="Calibri" w:hAnsi="Calibri"/>
          <w:b w:val="0"/>
          <w:i/>
          <w:color w:val="222222"/>
          <w:sz w:val="17"/>
        </w:rPr>
        <w:t xml:space="preserve"> lands on equality; burst rate differs about twofold.</w:t>
      </w:r>
    </w:p>
    <w:p>
      <w:pPr>
        <w:spacing w:after="120"/>
      </w:pPr>
      <w:r>
        <w:rPr>
          <w:rFonts w:ascii="Calibri" w:hAnsi="Calibri"/>
          <w:b w:val="0"/>
          <w:i w:val="0"/>
          <w:color w:val="222222"/>
          <w:sz w:val="21"/>
        </w:rPr>
        <w:t xml:space="preserve">Read the two columns separately. The left one asks "do we rank recordings the same way?", and the right one asks "do we get the same number?" Only one feature passes both tests. Three rank recordings almost identically but on a different scale. And the burst measures disagree about </w:t>
      </w:r>
      <w:r>
        <w:rPr>
          <w:rFonts w:ascii="Calibri" w:hAnsi="Calibri"/>
          <w:b w:val="0"/>
          <w:i/>
          <w:color w:val="222222"/>
          <w:sz w:val="21"/>
        </w:rPr>
        <w:t>which</w:t>
      </w:r>
      <w:r>
        <w:rPr>
          <w:rFonts w:ascii="Calibri" w:hAnsi="Calibri"/>
          <w:b w:val="0"/>
          <w:i w:val="0"/>
          <w:color w:val="222222"/>
          <w:sz w:val="21"/>
        </w:rPr>
        <w:t xml:space="preserve"> recordings burst more: </w:t>
      </w:r>
      <w:r>
        <w:rPr>
          <w:rFonts w:ascii="Consolas" w:hAnsi="Consolas"/>
          <w:b w:val="0"/>
          <w:i w:val="0"/>
          <w:color w:val="222222"/>
          <w:sz w:val="19"/>
        </w:rPr>
        <w:t>burst_rate_per_min</w:t>
      </w:r>
      <w:r>
        <w:rPr>
          <w:rFonts w:ascii="Calibri" w:hAnsi="Calibri"/>
          <w:b w:val="0"/>
          <w:i w:val="0"/>
          <w:color w:val="222222"/>
          <w:sz w:val="21"/>
        </w:rPr>
        <w:t xml:space="preserve"> differs by more than a factor of two.</w:t>
      </w:r>
    </w:p>
    <w:p>
      <w:pPr>
        <w:spacing w:after="120"/>
      </w:pPr>
      <w:r>
        <w:rPr>
          <w:rFonts w:ascii="Calibri" w:hAnsi="Calibri"/>
          <w:b/>
          <w:i w:val="0"/>
          <w:color w:val="156082"/>
          <w:sz w:val="21"/>
        </w:rPr>
        <w:t>What this means.</w:t>
      </w:r>
      <w:r>
        <w:rPr>
          <w:rFonts w:ascii="Calibri" w:hAnsi="Calibri"/>
          <w:b w:val="0"/>
          <w:i w:val="0"/>
          <w:color w:val="222222"/>
          <w:sz w:val="21"/>
        </w:rPr>
        <w:t xml:space="preserve"> Inside our dataset, comparisons are safe, because one code path produced every number. Across papers they are not: "bursts per minute" from two laboratories can differ twofold from the algorithm definitions alone, before any biology enters the picture. That is exactly why we recompute everything from raw spikes instead of pooling published summary tables.</w:t>
      </w:r>
    </w:p>
    <w:p>
      <w:pPr>
        <w:keepNext/>
        <w:spacing w:after="120"/>
      </w:pPr>
      <w:r>
        <w:rPr>
          <w:rFonts w:ascii="Calibri" w:hAnsi="Calibri"/>
          <w:b/>
          <w:i w:val="0"/>
          <w:color w:val="156082"/>
          <w:sz w:val="21"/>
        </w:rPr>
        <w:t>Where the difference comes from (post hoc).</w:t>
      </w:r>
      <w:r>
        <w:rPr>
          <w:rFonts w:ascii="Calibri" w:hAnsi="Calibri"/>
          <w:b w:val="0"/>
          <w:i w:val="0"/>
          <w:color w:val="222222"/>
          <w:sz w:val="21"/>
        </w:rPr>
        <w:t xml:space="preserve"> The comparison above runs our extractor on the depositors' spike files and sets it beside the output they published; it does not rerun meaRtools. To find out which choices separate the two, we reran our own extractor with the depositors' stated settings (Kapucu et al. 2022, Methods) switched on one at a time. This is post hoc: a scratch analysis showed the result before the code in </w:t>
      </w:r>
      <w:r>
        <w:rPr>
          <w:rFonts w:ascii="Consolas" w:hAnsi="Consolas"/>
          <w:b w:val="0"/>
          <w:i w:val="0"/>
          <w:color w:val="222222"/>
          <w:sz w:val="19"/>
        </w:rPr>
        <w:t>models/extractor_ladder.py</w:t>
      </w:r>
      <w:r>
        <w:rPr>
          <w:rFonts w:ascii="Calibri" w:hAnsi="Calibri"/>
          <w:b w:val="0"/>
          <w:i w:val="0"/>
          <w:color w:val="222222"/>
          <w:sz w:val="21"/>
        </w:rPr>
        <w:t xml:space="preserve"> was written, so it is labelled exploratory and is not registered.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36"/>
        <w:gridCol w:w="2437"/>
        <w:gridCol w:w="2632"/>
        <w:gridCol w:w="1691"/>
      </w:tblGrid>
      <w:tr>
        <w:trPr>
          <w:cantSplit/>
          <w:tblHeader/>
        </w:trPr>
        <w:tc>
          <w:tcPr>
            <w:tcW w:type="dxa" w:w="1736"/>
            <w:shd w:val="clear" w:color="auto" w:fill="1F4E79"/>
            <w:vAlign w:val="center"/>
          </w:tcPr>
          <w:p>
            <w:pPr>
              <w:keepNext/>
              <w:spacing w:after="0"/>
            </w:pPr>
            <w:r>
              <w:rPr>
                <w:rFonts w:ascii="Calibri" w:hAnsi="Calibri"/>
                <w:b/>
                <w:i w:val="0"/>
                <w:color w:val="FFFFFF"/>
                <w:sz w:val="20"/>
              </w:rPr>
              <w:t>setting</w:t>
            </w:r>
          </w:p>
        </w:tc>
        <w:tc>
          <w:tcPr>
            <w:tcW w:type="dxa" w:w="2437"/>
            <w:shd w:val="clear" w:color="auto" w:fill="1F4E79"/>
            <w:vAlign w:val="center"/>
          </w:tcPr>
          <w:p>
            <w:pPr>
              <w:keepNext/>
              <w:spacing w:after="0"/>
            </w:pPr>
            <w:r>
              <w:rPr>
                <w:rFonts w:ascii="Calibri" w:hAnsi="Calibri"/>
                <w:b/>
                <w:i w:val="0"/>
                <w:color w:val="FFFFFF"/>
                <w:sz w:val="20"/>
              </w:rPr>
              <w:t>depositors (meaRtools, as stated)</w:t>
            </w:r>
          </w:p>
        </w:tc>
        <w:tc>
          <w:tcPr>
            <w:tcW w:type="dxa" w:w="2632"/>
            <w:shd w:val="clear" w:color="auto" w:fill="1F4E79"/>
            <w:vAlign w:val="center"/>
          </w:tcPr>
          <w:p>
            <w:pPr>
              <w:keepNext/>
              <w:spacing w:after="0"/>
            </w:pPr>
            <w:r>
              <w:rPr>
                <w:rFonts w:ascii="Calibri" w:hAnsi="Calibri"/>
                <w:b/>
                <w:i w:val="0"/>
                <w:color w:val="FFFFFF"/>
                <w:sz w:val="20"/>
              </w:rPr>
              <w:t>ours (</w:t>
            </w:r>
            <w:r>
              <w:rPr>
                <w:rFonts w:ascii="Consolas" w:hAnsi="Consolas"/>
                <w:b/>
                <w:i w:val="0"/>
                <w:color w:val="FFFFFF"/>
                <w:sz w:val="18"/>
              </w:rPr>
              <w:t>features/mea.py</w:t>
            </w:r>
            <w:r>
              <w:rPr>
                <w:rFonts w:ascii="Calibri" w:hAnsi="Calibri"/>
                <w:b/>
                <w:i w:val="0"/>
                <w:color w:val="FFFFFF"/>
                <w:sz w:val="20"/>
              </w:rPr>
              <w:t>)</w:t>
            </w:r>
          </w:p>
        </w:tc>
        <w:tc>
          <w:tcPr>
            <w:tcW w:type="dxa" w:w="1691"/>
            <w:shd w:val="clear" w:color="auto" w:fill="1F4E79"/>
            <w:vAlign w:val="center"/>
          </w:tcPr>
          <w:p>
            <w:pPr>
              <w:keepNext/>
              <w:spacing w:after="0"/>
            </w:pPr>
            <w:r>
              <w:rPr>
                <w:rFonts w:ascii="Calibri" w:hAnsi="Calibri"/>
                <w:b/>
                <w:i w:val="0"/>
                <w:color w:val="FFFFFF"/>
                <w:sz w:val="20"/>
              </w:rPr>
              <w:t>ladder step</w:t>
            </w:r>
          </w:p>
        </w:tc>
      </w:tr>
      <w:tr>
        <w:trPr>
          <w:cantSplit/>
        </w:trPr>
        <w:tc>
          <w:tcPr>
            <w:tcW w:type="dxa" w:w="1736"/>
            <w:shd w:val="clear" w:color="auto" w:fill="FFFFFF"/>
            <w:vAlign w:val="center"/>
          </w:tcPr>
          <w:p>
            <w:pPr>
              <w:keepNext/>
              <w:spacing w:after="0"/>
            </w:pPr>
            <w:r>
              <w:rPr>
                <w:rFonts w:ascii="Calibri" w:hAnsi="Calibri"/>
                <w:b/>
                <w:i w:val="0"/>
                <w:color w:val="222222"/>
                <w:sz w:val="20"/>
              </w:rPr>
              <w:t>active electrode</w:t>
            </w:r>
          </w:p>
        </w:tc>
        <w:tc>
          <w:tcPr>
            <w:tcW w:type="dxa" w:w="2437"/>
            <w:shd w:val="clear" w:color="auto" w:fill="FFFFFF"/>
            <w:vAlign w:val="center"/>
          </w:tcPr>
          <w:p>
            <w:pPr>
              <w:keepNext/>
              <w:spacing w:after="0"/>
            </w:pPr>
            <w:r>
              <w:rPr>
                <w:rFonts w:ascii="Calibri" w:hAnsi="Calibri"/>
                <w:b w:val="0"/>
                <w:i w:val="0"/>
                <w:color w:val="222222"/>
                <w:sz w:val="20"/>
              </w:rPr>
              <w:t>more than 10 spikes/min</w:t>
            </w:r>
          </w:p>
        </w:tc>
        <w:tc>
          <w:tcPr>
            <w:tcW w:type="dxa" w:w="2632"/>
            <w:shd w:val="clear" w:color="auto" w:fill="FFFFFF"/>
            <w:vAlign w:val="center"/>
          </w:tcPr>
          <w:p>
            <w:pPr>
              <w:keepNext/>
              <w:spacing w:after="0"/>
            </w:pPr>
            <w:r>
              <w:rPr>
                <w:rFonts w:ascii="Calibri" w:hAnsi="Calibri"/>
                <w:b w:val="0"/>
                <w:i w:val="0"/>
                <w:color w:val="222222"/>
                <w:sz w:val="20"/>
              </w:rPr>
              <w:t>at least 5 spikes/min</w:t>
            </w:r>
          </w:p>
        </w:tc>
        <w:tc>
          <w:tcPr>
            <w:tcW w:type="dxa" w:w="1691"/>
            <w:shd w:val="clear" w:color="auto" w:fill="FFFFFF"/>
            <w:vAlign w:val="center"/>
          </w:tcPr>
          <w:p>
            <w:pPr>
              <w:keepNext/>
              <w:spacing w:after="0"/>
            </w:pPr>
            <w:r>
              <w:rPr>
                <w:rFonts w:ascii="Calibri" w:hAnsi="Calibri"/>
                <w:b w:val="0"/>
                <w:i w:val="0"/>
                <w:color w:val="222222"/>
                <w:sz w:val="20"/>
              </w:rPr>
              <w:t>S1</w:t>
            </w:r>
          </w:p>
        </w:tc>
      </w:tr>
      <w:tr>
        <w:trPr>
          <w:cantSplit/>
        </w:trPr>
        <w:tc>
          <w:tcPr>
            <w:tcW w:type="dxa" w:w="1736"/>
            <w:shd w:val="clear" w:color="auto" w:fill="F7F9FB"/>
            <w:vAlign w:val="center"/>
          </w:tcPr>
          <w:p>
            <w:pPr>
              <w:keepNext/>
              <w:spacing w:after="0"/>
            </w:pPr>
            <w:r>
              <w:rPr>
                <w:rFonts w:ascii="Calibri" w:hAnsi="Calibri"/>
                <w:b/>
                <w:i w:val="0"/>
                <w:color w:val="222222"/>
                <w:sz w:val="20"/>
              </w:rPr>
              <w:t>noisy electrodes</w:t>
            </w:r>
          </w:p>
        </w:tc>
        <w:tc>
          <w:tcPr>
            <w:tcW w:type="dxa" w:w="2437"/>
            <w:shd w:val="clear" w:color="auto" w:fill="F7F9FB"/>
            <w:vAlign w:val="center"/>
          </w:tcPr>
          <w:p>
            <w:pPr>
              <w:keepNext/>
              <w:spacing w:after="0"/>
            </w:pPr>
            <w:r>
              <w:rPr>
                <w:rFonts w:ascii="Calibri" w:hAnsi="Calibri"/>
                <w:b w:val="0"/>
                <w:i w:val="0"/>
                <w:color w:val="222222"/>
                <w:sz w:val="20"/>
              </w:rPr>
              <w:t>discarded</w:t>
            </w:r>
          </w:p>
        </w:tc>
        <w:tc>
          <w:tcPr>
            <w:tcW w:type="dxa" w:w="2632"/>
            <w:shd w:val="clear" w:color="auto" w:fill="F7F9FB"/>
            <w:vAlign w:val="center"/>
          </w:tcPr>
          <w:p>
            <w:pPr>
              <w:keepNext/>
              <w:spacing w:after="0"/>
            </w:pPr>
            <w:r>
              <w:rPr>
                <w:rFonts w:ascii="Calibri" w:hAnsi="Calibri"/>
                <w:b w:val="0"/>
                <w:i w:val="0"/>
                <w:color w:val="222222"/>
                <w:sz w:val="20"/>
              </w:rPr>
              <w:t>flagged, kept</w:t>
            </w:r>
          </w:p>
        </w:tc>
        <w:tc>
          <w:tcPr>
            <w:tcW w:type="dxa" w:w="1691"/>
            <w:shd w:val="clear" w:color="auto" w:fill="F7F9FB"/>
            <w:vAlign w:val="center"/>
          </w:tcPr>
          <w:p>
            <w:pPr>
              <w:keepNext/>
              <w:spacing w:after="0"/>
            </w:pPr>
            <w:r>
              <w:rPr>
                <w:rFonts w:ascii="Calibri" w:hAnsi="Calibri"/>
                <w:b w:val="0"/>
                <w:i w:val="0"/>
                <w:color w:val="222222"/>
                <w:sz w:val="20"/>
              </w:rPr>
              <w:t>S2</w:t>
            </w:r>
          </w:p>
        </w:tc>
      </w:tr>
      <w:tr>
        <w:trPr>
          <w:cantSplit/>
        </w:trPr>
        <w:tc>
          <w:tcPr>
            <w:tcW w:type="dxa" w:w="1736"/>
            <w:shd w:val="clear" w:color="auto" w:fill="FFFFFF"/>
            <w:vAlign w:val="center"/>
          </w:tcPr>
          <w:p>
            <w:pPr>
              <w:keepNext/>
              <w:spacing w:after="0"/>
            </w:pPr>
            <w:r>
              <w:rPr>
                <w:rFonts w:ascii="Calibri" w:hAnsi="Calibri"/>
                <w:b/>
                <w:i w:val="0"/>
                <w:color w:val="222222"/>
                <w:sz w:val="20"/>
              </w:rPr>
              <w:t>burst rate divided by</w:t>
            </w:r>
          </w:p>
        </w:tc>
        <w:tc>
          <w:tcPr>
            <w:tcW w:type="dxa" w:w="2437"/>
            <w:shd w:val="clear" w:color="auto" w:fill="FFFFFF"/>
            <w:vAlign w:val="center"/>
          </w:tcPr>
          <w:p>
            <w:pPr>
              <w:keepNext/>
              <w:spacing w:after="0"/>
            </w:pPr>
            <w:r>
              <w:rPr>
                <w:rFonts w:ascii="Calibri" w:hAnsi="Calibri"/>
                <w:b w:val="0"/>
                <w:i w:val="0"/>
                <w:color w:val="222222"/>
                <w:sz w:val="20"/>
              </w:rPr>
              <w:t>electrodes that burst</w:t>
            </w:r>
          </w:p>
        </w:tc>
        <w:tc>
          <w:tcPr>
            <w:tcW w:type="dxa" w:w="2632"/>
            <w:shd w:val="clear" w:color="auto" w:fill="FFFFFF"/>
            <w:vAlign w:val="center"/>
          </w:tcPr>
          <w:p>
            <w:pPr>
              <w:keepNext/>
              <w:spacing w:after="0"/>
            </w:pPr>
            <w:r>
              <w:rPr>
                <w:rFonts w:ascii="Calibri" w:hAnsi="Calibri"/>
                <w:b w:val="0"/>
                <w:i w:val="0"/>
                <w:color w:val="222222"/>
                <w:sz w:val="20"/>
              </w:rPr>
              <w:t>every active electrode</w:t>
            </w:r>
          </w:p>
        </w:tc>
        <w:tc>
          <w:tcPr>
            <w:tcW w:type="dxa" w:w="1691"/>
            <w:shd w:val="clear" w:color="auto" w:fill="FFFFFF"/>
            <w:vAlign w:val="center"/>
          </w:tcPr>
          <w:p>
            <w:pPr>
              <w:keepNext/>
              <w:spacing w:after="0"/>
            </w:pPr>
            <w:r>
              <w:rPr>
                <w:rFonts w:ascii="Calibri" w:hAnsi="Calibri"/>
                <w:b w:val="0"/>
                <w:i w:val="0"/>
                <w:color w:val="222222"/>
                <w:sz w:val="20"/>
              </w:rPr>
              <w:t>S3</w:t>
            </w:r>
          </w:p>
        </w:tc>
      </w:tr>
      <w:tr>
        <w:trPr>
          <w:cantSplit/>
        </w:trPr>
        <w:tc>
          <w:tcPr>
            <w:tcW w:type="dxa" w:w="1736"/>
            <w:shd w:val="clear" w:color="auto" w:fill="F7F9FB"/>
            <w:vAlign w:val="center"/>
          </w:tcPr>
          <w:p>
            <w:pPr>
              <w:keepNext/>
              <w:spacing w:after="0"/>
            </w:pPr>
            <w:r>
              <w:rPr>
                <w:rFonts w:ascii="Calibri" w:hAnsi="Calibri"/>
                <w:b/>
                <w:i w:val="0"/>
                <w:color w:val="222222"/>
                <w:sz w:val="20"/>
              </w:rPr>
              <w:t>burst detector</w:t>
            </w:r>
          </w:p>
        </w:tc>
        <w:tc>
          <w:tcPr>
            <w:tcW w:type="dxa" w:w="2437"/>
            <w:shd w:val="clear" w:color="auto" w:fill="F7F9FB"/>
            <w:vAlign w:val="center"/>
          </w:tcPr>
          <w:p>
            <w:pPr>
              <w:keepNext/>
              <w:spacing w:after="0"/>
            </w:pPr>
            <w:r>
              <w:rPr>
                <w:rFonts w:ascii="Calibri" w:hAnsi="Calibri"/>
                <w:b w:val="0"/>
                <w:i w:val="0"/>
                <w:color w:val="222222"/>
                <w:sz w:val="20"/>
              </w:rPr>
              <w:t>logISI (adaptive); bursts closer than 100 ms merged</w:t>
            </w:r>
          </w:p>
        </w:tc>
        <w:tc>
          <w:tcPr>
            <w:tcW w:type="dxa" w:w="2632"/>
            <w:shd w:val="clear" w:color="auto" w:fill="F7F9FB"/>
            <w:vAlign w:val="center"/>
          </w:tcPr>
          <w:p>
            <w:pPr>
              <w:keepNext/>
              <w:spacing w:after="0"/>
            </w:pPr>
            <w:r>
              <w:rPr>
                <w:rFonts w:ascii="Calibri" w:hAnsi="Calibri"/>
                <w:b w:val="0"/>
                <w:i w:val="0"/>
                <w:color w:val="222222"/>
                <w:sz w:val="20"/>
              </w:rPr>
              <w:t>fixed: ISI ≤ 100 ms</w:t>
            </w:r>
          </w:p>
        </w:tc>
        <w:tc>
          <w:tcPr>
            <w:tcW w:type="dxa" w:w="1691"/>
            <w:shd w:val="clear" w:color="auto" w:fill="F7F9FB"/>
            <w:vAlign w:val="center"/>
          </w:tcPr>
          <w:p>
            <w:pPr>
              <w:keepNext/>
              <w:spacing w:after="0"/>
            </w:pPr>
            <w:r>
              <w:rPr>
                <w:rFonts w:ascii="Calibri" w:hAnsi="Calibri"/>
                <w:b w:val="0"/>
                <w:i w:val="0"/>
                <w:color w:val="222222"/>
                <w:sz w:val="20"/>
              </w:rPr>
              <w:t>S4, registered (below)</w:t>
            </w:r>
          </w:p>
        </w:tc>
      </w:tr>
      <w:tr>
        <w:trPr>
          <w:cantSplit/>
        </w:trPr>
        <w:tc>
          <w:tcPr>
            <w:tcW w:type="dxa" w:w="1736"/>
            <w:shd w:val="clear" w:color="auto" w:fill="FFFFFF"/>
            <w:vAlign w:val="center"/>
          </w:tcPr>
          <w:p>
            <w:pPr>
              <w:keepNext/>
              <w:spacing w:after="0"/>
            </w:pPr>
            <w:r>
              <w:rPr>
                <w:rFonts w:ascii="Calibri" w:hAnsi="Calibri"/>
                <w:b/>
                <w:i w:val="0"/>
                <w:color w:val="222222"/>
                <w:sz w:val="20"/>
              </w:rPr>
              <w:t>minimum spikes per burst</w:t>
            </w:r>
          </w:p>
        </w:tc>
        <w:tc>
          <w:tcPr>
            <w:tcW w:type="dxa" w:w="2437"/>
            <w:shd w:val="clear" w:color="auto" w:fill="FFFFFF"/>
            <w:vAlign w:val="center"/>
          </w:tcPr>
          <w:p>
            <w:pPr>
              <w:keepNext/>
              <w:spacing w:after="0"/>
              <w:jc w:val="center"/>
            </w:pPr>
            <w:r>
              <w:rPr>
                <w:rFonts w:ascii="Calibri" w:hAnsi="Calibri"/>
                <w:b w:val="0"/>
                <w:i w:val="0"/>
                <w:color w:val="222222"/>
                <w:sz w:val="20"/>
              </w:rPr>
              <w:t>5</w:t>
            </w:r>
          </w:p>
        </w:tc>
        <w:tc>
          <w:tcPr>
            <w:tcW w:type="dxa" w:w="2632"/>
            <w:shd w:val="clear" w:color="auto" w:fill="FFFFFF"/>
            <w:vAlign w:val="center"/>
          </w:tcPr>
          <w:p>
            <w:pPr>
              <w:keepNext/>
              <w:spacing w:after="0"/>
              <w:jc w:val="center"/>
            </w:pPr>
            <w:r>
              <w:rPr>
                <w:rFonts w:ascii="Calibri" w:hAnsi="Calibri"/>
                <w:b w:val="0"/>
                <w:i w:val="0"/>
                <w:color w:val="222222"/>
                <w:sz w:val="20"/>
              </w:rPr>
              <w:t>5</w:t>
            </w:r>
          </w:p>
        </w:tc>
        <w:tc>
          <w:tcPr>
            <w:tcW w:type="dxa" w:w="1691"/>
            <w:shd w:val="clear" w:color="auto" w:fill="FFFFFF"/>
            <w:vAlign w:val="center"/>
          </w:tcPr>
          <w:p>
            <w:pPr>
              <w:keepNext/>
              <w:spacing w:after="0"/>
            </w:pPr>
            <w:r>
              <w:rPr>
                <w:rFonts w:ascii="Calibri" w:hAnsi="Calibri"/>
                <w:b w:val="0"/>
                <w:i w:val="0"/>
                <w:color w:val="222222"/>
                <w:sz w:val="20"/>
              </w:rPr>
              <w:t>same</w:t>
            </w:r>
          </w:p>
        </w:tc>
      </w:tr>
      <w:tr>
        <w:trPr>
          <w:cantSplit/>
        </w:trPr>
        <w:tc>
          <w:tcPr>
            <w:tcW w:type="dxa" w:w="1736"/>
            <w:shd w:val="clear" w:color="auto" w:fill="F7F9FB"/>
            <w:vAlign w:val="center"/>
          </w:tcPr>
          <w:p>
            <w:pPr>
              <w:keepNext w:val="0"/>
              <w:spacing w:after="0"/>
            </w:pPr>
            <w:r>
              <w:rPr>
                <w:rFonts w:ascii="Calibri" w:hAnsi="Calibri"/>
                <w:b/>
                <w:i w:val="0"/>
                <w:color w:val="222222"/>
                <w:sz w:val="20"/>
              </w:rPr>
              <w:t>STTC window</w:t>
            </w:r>
          </w:p>
        </w:tc>
        <w:tc>
          <w:tcPr>
            <w:tcW w:type="dxa" w:w="2437"/>
            <w:shd w:val="clear" w:color="auto" w:fill="F7F9FB"/>
            <w:vAlign w:val="center"/>
          </w:tcPr>
          <w:p>
            <w:pPr>
              <w:keepNext w:val="0"/>
              <w:spacing w:after="0"/>
            </w:pPr>
            <w:r>
              <w:rPr>
                <w:rFonts w:ascii="Calibri" w:hAnsi="Calibri"/>
                <w:b w:val="0"/>
                <w:i w:val="0"/>
                <w:color w:val="222222"/>
                <w:sz w:val="20"/>
              </w:rPr>
              <w:t>50 ms</w:t>
            </w:r>
          </w:p>
        </w:tc>
        <w:tc>
          <w:tcPr>
            <w:tcW w:type="dxa" w:w="2632"/>
            <w:shd w:val="clear" w:color="auto" w:fill="F7F9FB"/>
            <w:vAlign w:val="center"/>
          </w:tcPr>
          <w:p>
            <w:pPr>
              <w:keepNext w:val="0"/>
              <w:spacing w:after="0"/>
            </w:pPr>
            <w:r>
              <w:rPr>
                <w:rFonts w:ascii="Calibri" w:hAnsi="Calibri"/>
                <w:b w:val="0"/>
                <w:i w:val="0"/>
                <w:color w:val="222222"/>
                <w:sz w:val="20"/>
              </w:rPr>
              <w:t>50 ms</w:t>
            </w:r>
          </w:p>
        </w:tc>
        <w:tc>
          <w:tcPr>
            <w:tcW w:type="dxa" w:w="1691"/>
            <w:shd w:val="clear" w:color="auto" w:fill="F7F9FB"/>
            <w:vAlign w:val="center"/>
          </w:tcPr>
          <w:p>
            <w:pPr>
              <w:keepNext w:val="0"/>
              <w:spacing w:after="0"/>
            </w:pPr>
            <w:r>
              <w:rPr>
                <w:rFonts w:ascii="Calibri" w:hAnsi="Calibri"/>
                <w:b w:val="0"/>
                <w:i w:val="0"/>
                <w:color w:val="222222"/>
                <w:sz w:val="20"/>
              </w:rPr>
              <w:t>same</w:t>
            </w:r>
          </w:p>
        </w:tc>
      </w:tr>
    </w:tbl>
    <w:p>
      <w:pPr>
        <w:spacing w:after="80"/>
      </w:pPr>
    </w:p>
    <w:p>
      <w:pPr>
        <w:keepNext/>
        <w:spacing w:after="120"/>
      </w:pPr>
      <w:r>
        <w:rPr>
          <w:rFonts w:ascii="Calibri" w:hAnsi="Calibri"/>
          <w:b w:val="0"/>
          <w:i w:val="0"/>
          <w:color w:val="222222"/>
          <w:sz w:val="21"/>
        </w:rPr>
        <w:t>Each step keeps the one before it; the median ratio ours/theirs for burst rate, per plate:</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20"/>
        <w:gridCol w:w="1096"/>
        <w:gridCol w:w="1543"/>
        <w:gridCol w:w="1543"/>
        <w:gridCol w:w="1394"/>
      </w:tblGrid>
      <w:tr>
        <w:trPr>
          <w:cantSplit/>
          <w:tblHeader/>
        </w:trPr>
        <w:tc>
          <w:tcPr>
            <w:tcW w:type="dxa" w:w="2920"/>
            <w:shd w:val="clear" w:color="auto" w:fill="1F4E79"/>
            <w:vAlign w:val="center"/>
          </w:tcPr>
          <w:p>
            <w:pPr>
              <w:keepNext/>
              <w:spacing w:after="0"/>
            </w:pPr>
            <w:r>
              <w:rPr>
                <w:rFonts w:ascii="Calibri" w:hAnsi="Calibri"/>
                <w:b/>
                <w:i w:val="0"/>
                <w:color w:val="FFFFFF"/>
                <w:sz w:val="20"/>
              </w:rPr>
              <w:t>burst rate</w:t>
            </w:r>
          </w:p>
        </w:tc>
        <w:tc>
          <w:tcPr>
            <w:tcW w:type="dxa" w:w="1096"/>
            <w:shd w:val="clear" w:color="auto" w:fill="1F4E79"/>
            <w:vAlign w:val="center"/>
          </w:tcPr>
          <w:p>
            <w:pPr>
              <w:keepNext/>
              <w:spacing w:after="0"/>
              <w:jc w:val="center"/>
            </w:pPr>
            <w:r>
              <w:rPr>
                <w:rFonts w:ascii="Calibri" w:hAnsi="Calibri"/>
                <w:b/>
                <w:i w:val="0"/>
                <w:color w:val="FFFFFF"/>
                <w:sz w:val="20"/>
              </w:rPr>
              <w:t>pooled</w:t>
            </w:r>
          </w:p>
        </w:tc>
        <w:tc>
          <w:tcPr>
            <w:tcW w:type="dxa" w:w="1543"/>
            <w:shd w:val="clear" w:color="auto" w:fill="1F4E79"/>
            <w:vAlign w:val="center"/>
          </w:tcPr>
          <w:p>
            <w:pPr>
              <w:keepNext/>
              <w:spacing w:after="0"/>
              <w:jc w:val="center"/>
            </w:pPr>
            <w:r>
              <w:rPr>
                <w:rFonts w:ascii="Calibri" w:hAnsi="Calibri"/>
                <w:b/>
                <w:i w:val="0"/>
                <w:color w:val="FFFFFF"/>
                <w:sz w:val="20"/>
              </w:rPr>
              <w:t>hPSC_MEA1</w:t>
            </w:r>
          </w:p>
        </w:tc>
        <w:tc>
          <w:tcPr>
            <w:tcW w:type="dxa" w:w="1543"/>
            <w:shd w:val="clear" w:color="auto" w:fill="1F4E79"/>
            <w:vAlign w:val="center"/>
          </w:tcPr>
          <w:p>
            <w:pPr>
              <w:keepNext/>
              <w:spacing w:after="0"/>
              <w:jc w:val="center"/>
            </w:pPr>
            <w:r>
              <w:rPr>
                <w:rFonts w:ascii="Calibri" w:hAnsi="Calibri"/>
                <w:b/>
                <w:i w:val="0"/>
                <w:color w:val="FFFFFF"/>
                <w:sz w:val="20"/>
              </w:rPr>
              <w:t>hPSC_MEA2</w:t>
            </w:r>
          </w:p>
        </w:tc>
        <w:tc>
          <w:tcPr>
            <w:tcW w:type="dxa" w:w="1394"/>
            <w:shd w:val="clear" w:color="auto" w:fill="1F4E79"/>
            <w:vAlign w:val="center"/>
          </w:tcPr>
          <w:p>
            <w:pPr>
              <w:keepNext/>
              <w:spacing w:after="0"/>
              <w:jc w:val="center"/>
            </w:pPr>
            <w:r>
              <w:rPr>
                <w:rFonts w:ascii="Calibri" w:hAnsi="Calibri"/>
                <w:b/>
                <w:i w:val="0"/>
                <w:color w:val="FFFFFF"/>
                <w:sz w:val="20"/>
              </w:rPr>
              <w:t>Rat_MEA1</w:t>
            </w:r>
          </w:p>
        </w:tc>
      </w:tr>
      <w:tr>
        <w:trPr>
          <w:cantSplit/>
        </w:trPr>
        <w:tc>
          <w:tcPr>
            <w:tcW w:type="dxa" w:w="2920"/>
            <w:shd w:val="clear" w:color="auto" w:fill="FFFFFF"/>
            <w:vAlign w:val="center"/>
          </w:tcPr>
          <w:p>
            <w:pPr>
              <w:keepNext/>
              <w:spacing w:after="0"/>
            </w:pPr>
            <w:r>
              <w:rPr>
                <w:rFonts w:ascii="Calibri" w:hAnsi="Calibri"/>
                <w:b/>
                <w:i w:val="0"/>
                <w:color w:val="222222"/>
                <w:sz w:val="20"/>
              </w:rPr>
              <w:t>S0, ours</w:t>
            </w:r>
          </w:p>
        </w:tc>
        <w:tc>
          <w:tcPr>
            <w:tcW w:type="dxa" w:w="1096"/>
            <w:shd w:val="clear" w:color="auto" w:fill="FFFFFF"/>
            <w:vAlign w:val="center"/>
          </w:tcPr>
          <w:p>
            <w:pPr>
              <w:keepNext/>
              <w:spacing w:after="0"/>
              <w:jc w:val="center"/>
            </w:pPr>
            <w:r>
              <w:rPr>
                <w:rFonts w:ascii="Calibri" w:hAnsi="Calibri"/>
                <w:b w:val="0"/>
                <w:i w:val="0"/>
                <w:color w:val="222222"/>
                <w:sz w:val="20"/>
              </w:rPr>
              <w:t>0.4423</w:t>
            </w:r>
          </w:p>
        </w:tc>
        <w:tc>
          <w:tcPr>
            <w:tcW w:type="dxa" w:w="1543"/>
            <w:shd w:val="clear" w:color="auto" w:fill="FFFFFF"/>
            <w:vAlign w:val="center"/>
          </w:tcPr>
          <w:p>
            <w:pPr>
              <w:keepNext/>
              <w:spacing w:after="0"/>
              <w:jc w:val="center"/>
            </w:pPr>
            <w:r>
              <w:rPr>
                <w:rFonts w:ascii="Calibri" w:hAnsi="Calibri"/>
                <w:b w:val="0"/>
                <w:i w:val="0"/>
                <w:color w:val="222222"/>
                <w:sz w:val="20"/>
              </w:rPr>
              <w:t>0.3417</w:t>
            </w:r>
          </w:p>
        </w:tc>
        <w:tc>
          <w:tcPr>
            <w:tcW w:type="dxa" w:w="1543"/>
            <w:shd w:val="clear" w:color="auto" w:fill="FFFFFF"/>
            <w:vAlign w:val="center"/>
          </w:tcPr>
          <w:p>
            <w:pPr>
              <w:keepNext/>
              <w:spacing w:after="0"/>
              <w:jc w:val="center"/>
            </w:pPr>
            <w:r>
              <w:rPr>
                <w:rFonts w:ascii="Calibri" w:hAnsi="Calibri"/>
                <w:b w:val="0"/>
                <w:i w:val="0"/>
                <w:color w:val="222222"/>
                <w:sz w:val="20"/>
              </w:rPr>
              <w:t>0.3841</w:t>
            </w:r>
          </w:p>
        </w:tc>
        <w:tc>
          <w:tcPr>
            <w:tcW w:type="dxa" w:w="1394"/>
            <w:shd w:val="clear" w:color="auto" w:fill="FFFFFF"/>
            <w:vAlign w:val="center"/>
          </w:tcPr>
          <w:p>
            <w:pPr>
              <w:keepNext/>
              <w:spacing w:after="0"/>
              <w:jc w:val="center"/>
            </w:pPr>
            <w:r>
              <w:rPr>
                <w:rFonts w:ascii="Calibri" w:hAnsi="Calibri"/>
                <w:b w:val="0"/>
                <w:i w:val="0"/>
                <w:color w:val="222222"/>
                <w:sz w:val="20"/>
              </w:rPr>
              <w:t>0.9573</w:t>
            </w:r>
          </w:p>
        </w:tc>
      </w:tr>
      <w:tr>
        <w:trPr>
          <w:cantSplit/>
        </w:trPr>
        <w:tc>
          <w:tcPr>
            <w:tcW w:type="dxa" w:w="2920"/>
            <w:shd w:val="clear" w:color="auto" w:fill="F7F9FB"/>
            <w:vAlign w:val="center"/>
          </w:tcPr>
          <w:p>
            <w:pPr>
              <w:keepNext/>
              <w:spacing w:after="0"/>
            </w:pPr>
            <w:r>
              <w:rPr>
                <w:rFonts w:ascii="Calibri" w:hAnsi="Calibri"/>
                <w:b/>
                <w:i w:val="0"/>
                <w:color w:val="222222"/>
                <w:sz w:val="20"/>
              </w:rPr>
              <w:t>S1, active above 10 spikes/min</w:t>
            </w:r>
          </w:p>
        </w:tc>
        <w:tc>
          <w:tcPr>
            <w:tcW w:type="dxa" w:w="1096"/>
            <w:shd w:val="clear" w:color="auto" w:fill="F7F9FB"/>
            <w:vAlign w:val="center"/>
          </w:tcPr>
          <w:p>
            <w:pPr>
              <w:keepNext/>
              <w:spacing w:after="0"/>
              <w:jc w:val="center"/>
            </w:pPr>
            <w:r>
              <w:rPr>
                <w:rFonts w:ascii="Calibri" w:hAnsi="Calibri"/>
                <w:b w:val="0"/>
                <w:i w:val="0"/>
                <w:color w:val="222222"/>
                <w:sz w:val="20"/>
              </w:rPr>
              <w:t>0.6998</w:t>
            </w:r>
          </w:p>
        </w:tc>
        <w:tc>
          <w:tcPr>
            <w:tcW w:type="dxa" w:w="1543"/>
            <w:shd w:val="clear" w:color="auto" w:fill="F7F9FB"/>
            <w:vAlign w:val="center"/>
          </w:tcPr>
          <w:p>
            <w:pPr>
              <w:keepNext/>
              <w:spacing w:after="0"/>
              <w:jc w:val="center"/>
            </w:pPr>
            <w:r>
              <w:rPr>
                <w:rFonts w:ascii="Calibri" w:hAnsi="Calibri"/>
                <w:b w:val="0"/>
                <w:i w:val="0"/>
                <w:color w:val="222222"/>
                <w:sz w:val="20"/>
              </w:rPr>
              <w:t>0.5273</w:t>
            </w:r>
          </w:p>
        </w:tc>
        <w:tc>
          <w:tcPr>
            <w:tcW w:type="dxa" w:w="1543"/>
            <w:shd w:val="clear" w:color="auto" w:fill="F7F9FB"/>
            <w:vAlign w:val="center"/>
          </w:tcPr>
          <w:p>
            <w:pPr>
              <w:keepNext/>
              <w:spacing w:after="0"/>
              <w:jc w:val="center"/>
            </w:pPr>
            <w:r>
              <w:rPr>
                <w:rFonts w:ascii="Calibri" w:hAnsi="Calibri"/>
                <w:b w:val="0"/>
                <w:i w:val="0"/>
                <w:color w:val="222222"/>
                <w:sz w:val="20"/>
              </w:rPr>
              <w:t>0.5567</w:t>
            </w:r>
          </w:p>
        </w:tc>
        <w:tc>
          <w:tcPr>
            <w:tcW w:type="dxa" w:w="1394"/>
            <w:shd w:val="clear" w:color="auto" w:fill="F7F9FB"/>
            <w:vAlign w:val="center"/>
          </w:tcPr>
          <w:p>
            <w:pPr>
              <w:keepNext/>
              <w:spacing w:after="0"/>
              <w:jc w:val="center"/>
            </w:pPr>
            <w:r>
              <w:rPr>
                <w:rFonts w:ascii="Calibri" w:hAnsi="Calibri"/>
                <w:b w:val="0"/>
                <w:i w:val="0"/>
                <w:color w:val="222222"/>
                <w:sz w:val="20"/>
              </w:rPr>
              <w:t>1.0191</w:t>
            </w:r>
          </w:p>
        </w:tc>
      </w:tr>
      <w:tr>
        <w:trPr>
          <w:cantSplit/>
        </w:trPr>
        <w:tc>
          <w:tcPr>
            <w:tcW w:type="dxa" w:w="2920"/>
            <w:shd w:val="clear" w:color="auto" w:fill="FFFFFF"/>
            <w:vAlign w:val="center"/>
          </w:tcPr>
          <w:p>
            <w:pPr>
              <w:keepNext/>
              <w:spacing w:after="0"/>
            </w:pPr>
            <w:r>
              <w:rPr>
                <w:rFonts w:ascii="Calibri" w:hAnsi="Calibri"/>
                <w:b/>
                <w:i w:val="0"/>
                <w:color w:val="222222"/>
                <w:sz w:val="20"/>
              </w:rPr>
              <w:t>S2, + noisy electrodes dropped</w:t>
            </w:r>
          </w:p>
        </w:tc>
        <w:tc>
          <w:tcPr>
            <w:tcW w:type="dxa" w:w="1096"/>
            <w:shd w:val="clear" w:color="auto" w:fill="FFFFFF"/>
            <w:vAlign w:val="center"/>
          </w:tcPr>
          <w:p>
            <w:pPr>
              <w:keepNext/>
              <w:spacing w:after="0"/>
              <w:jc w:val="center"/>
            </w:pPr>
            <w:r>
              <w:rPr>
                <w:rFonts w:ascii="Calibri" w:hAnsi="Calibri"/>
                <w:b w:val="0"/>
                <w:i w:val="0"/>
                <w:color w:val="222222"/>
                <w:sz w:val="20"/>
              </w:rPr>
              <w:t>0.6967</w:t>
            </w:r>
          </w:p>
        </w:tc>
        <w:tc>
          <w:tcPr>
            <w:tcW w:type="dxa" w:w="1543"/>
            <w:shd w:val="clear" w:color="auto" w:fill="FFFFFF"/>
            <w:vAlign w:val="center"/>
          </w:tcPr>
          <w:p>
            <w:pPr>
              <w:keepNext/>
              <w:spacing w:after="0"/>
              <w:jc w:val="center"/>
            </w:pPr>
            <w:r>
              <w:rPr>
                <w:rFonts w:ascii="Calibri" w:hAnsi="Calibri"/>
                <w:b w:val="0"/>
                <w:i w:val="0"/>
                <w:color w:val="222222"/>
                <w:sz w:val="20"/>
              </w:rPr>
              <w:t>0.5273</w:t>
            </w:r>
          </w:p>
        </w:tc>
        <w:tc>
          <w:tcPr>
            <w:tcW w:type="dxa" w:w="1543"/>
            <w:shd w:val="clear" w:color="auto" w:fill="FFFFFF"/>
            <w:vAlign w:val="center"/>
          </w:tcPr>
          <w:p>
            <w:pPr>
              <w:keepNext/>
              <w:spacing w:after="0"/>
              <w:jc w:val="center"/>
            </w:pPr>
            <w:r>
              <w:rPr>
                <w:rFonts w:ascii="Calibri" w:hAnsi="Calibri"/>
                <w:b w:val="0"/>
                <w:i w:val="0"/>
                <w:color w:val="222222"/>
                <w:sz w:val="20"/>
              </w:rPr>
              <w:t>0.5508</w:t>
            </w:r>
          </w:p>
        </w:tc>
        <w:tc>
          <w:tcPr>
            <w:tcW w:type="dxa" w:w="1394"/>
            <w:shd w:val="clear" w:color="auto" w:fill="FFFFFF"/>
            <w:vAlign w:val="center"/>
          </w:tcPr>
          <w:p>
            <w:pPr>
              <w:keepNext/>
              <w:spacing w:after="0"/>
              <w:jc w:val="center"/>
            </w:pPr>
            <w:r>
              <w:rPr>
                <w:rFonts w:ascii="Calibri" w:hAnsi="Calibri"/>
                <w:b w:val="0"/>
                <w:i w:val="0"/>
                <w:color w:val="222222"/>
                <w:sz w:val="20"/>
              </w:rPr>
              <w:t>1.0191</w:t>
            </w:r>
          </w:p>
        </w:tc>
      </w:tr>
      <w:tr>
        <w:trPr>
          <w:cantSplit/>
        </w:trPr>
        <w:tc>
          <w:tcPr>
            <w:tcW w:type="dxa" w:w="2920"/>
            <w:shd w:val="clear" w:color="auto" w:fill="F7F9FB"/>
            <w:vAlign w:val="center"/>
          </w:tcPr>
          <w:p>
            <w:pPr>
              <w:keepNext/>
              <w:spacing w:after="0"/>
            </w:pPr>
            <w:r>
              <w:rPr>
                <w:rFonts w:ascii="Calibri" w:hAnsi="Calibri"/>
                <w:b/>
                <w:i w:val="0"/>
                <w:color w:val="222222"/>
                <w:sz w:val="20"/>
              </w:rPr>
              <w:t>S3, + rate per bursting electrode</w:t>
            </w:r>
          </w:p>
        </w:tc>
        <w:tc>
          <w:tcPr>
            <w:tcW w:type="dxa" w:w="1096"/>
            <w:shd w:val="clear" w:color="auto" w:fill="F7F9FB"/>
            <w:vAlign w:val="center"/>
          </w:tcPr>
          <w:p>
            <w:pPr>
              <w:keepNext/>
              <w:spacing w:after="0"/>
              <w:jc w:val="center"/>
            </w:pPr>
            <w:r>
              <w:rPr>
                <w:rFonts w:ascii="Calibri" w:hAnsi="Calibri"/>
                <w:b w:val="0"/>
                <w:i w:val="0"/>
                <w:color w:val="222222"/>
                <w:sz w:val="20"/>
              </w:rPr>
              <w:t>0.944</w:t>
            </w:r>
          </w:p>
        </w:tc>
        <w:tc>
          <w:tcPr>
            <w:tcW w:type="dxa" w:w="1543"/>
            <w:shd w:val="clear" w:color="auto" w:fill="F7F9FB"/>
            <w:vAlign w:val="center"/>
          </w:tcPr>
          <w:p>
            <w:pPr>
              <w:keepNext/>
              <w:spacing w:after="0"/>
              <w:jc w:val="center"/>
            </w:pPr>
            <w:r>
              <w:rPr>
                <w:rFonts w:ascii="Calibri" w:hAnsi="Calibri"/>
                <w:b w:val="0"/>
                <w:i w:val="0"/>
                <w:color w:val="222222"/>
                <w:sz w:val="20"/>
              </w:rPr>
              <w:t>0.8579</w:t>
            </w:r>
          </w:p>
        </w:tc>
        <w:tc>
          <w:tcPr>
            <w:tcW w:type="dxa" w:w="1543"/>
            <w:shd w:val="clear" w:color="auto" w:fill="F7F9FB"/>
            <w:vAlign w:val="center"/>
          </w:tcPr>
          <w:p>
            <w:pPr>
              <w:keepNext/>
              <w:spacing w:after="0"/>
              <w:jc w:val="center"/>
            </w:pPr>
            <w:r>
              <w:rPr>
                <w:rFonts w:ascii="Calibri" w:hAnsi="Calibri"/>
                <w:b w:val="0"/>
                <w:i w:val="0"/>
                <w:color w:val="222222"/>
                <w:sz w:val="20"/>
              </w:rPr>
              <w:t>0.8973</w:t>
            </w:r>
          </w:p>
        </w:tc>
        <w:tc>
          <w:tcPr>
            <w:tcW w:type="dxa" w:w="1394"/>
            <w:shd w:val="clear" w:color="auto" w:fill="F7F9FB"/>
            <w:vAlign w:val="center"/>
          </w:tcPr>
          <w:p>
            <w:pPr>
              <w:keepNext/>
              <w:spacing w:after="0"/>
              <w:jc w:val="center"/>
            </w:pPr>
            <w:r>
              <w:rPr>
                <w:rFonts w:ascii="Calibri" w:hAnsi="Calibri"/>
                <w:b w:val="0"/>
                <w:i w:val="0"/>
                <w:color w:val="222222"/>
                <w:sz w:val="20"/>
              </w:rPr>
              <w:t>1.04</w:t>
            </w:r>
          </w:p>
        </w:tc>
      </w:tr>
      <w:tr>
        <w:trPr>
          <w:cantSplit/>
        </w:trPr>
        <w:tc>
          <w:tcPr>
            <w:tcW w:type="dxa" w:w="2920"/>
            <w:shd w:val="clear" w:color="auto" w:fill="FFFFFF"/>
            <w:vAlign w:val="center"/>
          </w:tcPr>
          <w:p>
            <w:pPr>
              <w:keepNext w:val="0"/>
              <w:spacing w:after="0"/>
            </w:pPr>
            <w:r>
              <w:rPr>
                <w:rFonts w:ascii="Calibri" w:hAnsi="Calibri"/>
                <w:b/>
                <w:i w:val="0"/>
                <w:color w:val="222222"/>
                <w:sz w:val="20"/>
              </w:rPr>
              <w:t>the denominator alone, from S0</w:t>
            </w:r>
          </w:p>
        </w:tc>
        <w:tc>
          <w:tcPr>
            <w:tcW w:type="dxa" w:w="1096"/>
            <w:shd w:val="clear" w:color="auto" w:fill="FFFFFF"/>
            <w:vAlign w:val="center"/>
          </w:tcPr>
          <w:p>
            <w:pPr>
              <w:keepNext w:val="0"/>
              <w:spacing w:after="0"/>
              <w:jc w:val="center"/>
            </w:pPr>
            <w:r>
              <w:rPr>
                <w:rFonts w:ascii="Calibri" w:hAnsi="Calibri"/>
                <w:b w:val="0"/>
                <w:i w:val="0"/>
                <w:color w:val="222222"/>
                <w:sz w:val="20"/>
              </w:rPr>
              <w:t>0.9087</w:t>
            </w:r>
          </w:p>
        </w:tc>
        <w:tc>
          <w:tcPr>
            <w:tcW w:type="dxa" w:w="1543"/>
            <w:shd w:val="clear" w:color="auto" w:fill="FFFFFF"/>
            <w:vAlign w:val="center"/>
          </w:tcPr>
          <w:p>
            <w:pPr>
              <w:keepNext w:val="0"/>
              <w:spacing w:after="0"/>
              <w:jc w:val="center"/>
            </w:pPr>
            <w:r>
              <w:rPr>
                <w:rFonts w:ascii="Calibri" w:hAnsi="Calibri"/>
                <w:b w:val="0"/>
                <w:i w:val="0"/>
                <w:color w:val="222222"/>
                <w:sz w:val="20"/>
              </w:rPr>
              <w:t>0.8333</w:t>
            </w:r>
          </w:p>
        </w:tc>
        <w:tc>
          <w:tcPr>
            <w:tcW w:type="dxa" w:w="1543"/>
            <w:shd w:val="clear" w:color="auto" w:fill="FFFFFF"/>
            <w:vAlign w:val="center"/>
          </w:tcPr>
          <w:p>
            <w:pPr>
              <w:keepNext w:val="0"/>
              <w:spacing w:after="0"/>
              <w:jc w:val="center"/>
            </w:pPr>
            <w:r>
              <w:rPr>
                <w:rFonts w:ascii="Calibri" w:hAnsi="Calibri"/>
                <w:b w:val="0"/>
                <w:i w:val="0"/>
                <w:color w:val="222222"/>
                <w:sz w:val="20"/>
              </w:rPr>
              <w:t>0.8681</w:t>
            </w:r>
          </w:p>
        </w:tc>
        <w:tc>
          <w:tcPr>
            <w:tcW w:type="dxa" w:w="1394"/>
            <w:shd w:val="clear" w:color="auto" w:fill="FFFFFF"/>
            <w:vAlign w:val="center"/>
          </w:tcPr>
          <w:p>
            <w:pPr>
              <w:keepNext w:val="0"/>
              <w:spacing w:after="0"/>
              <w:jc w:val="center"/>
            </w:pPr>
            <w:r>
              <w:rPr>
                <w:rFonts w:ascii="Calibri" w:hAnsi="Calibri"/>
                <w:b w:val="0"/>
                <w:i w:val="0"/>
                <w:color w:val="222222"/>
                <w:sz w:val="20"/>
              </w:rPr>
              <w:t>1.0269</w:t>
            </w:r>
          </w:p>
        </w:tc>
      </w:tr>
    </w:tbl>
    <w:p>
      <w:pPr>
        <w:spacing w:after="80"/>
      </w:pPr>
    </w:p>
    <w:p>
      <w:pPr>
        <w:keepNext/>
        <w:spacing w:before="120" w:after="40"/>
        <w:jc w:val="center"/>
      </w:pPr>
      <w:r>
        <w:drawing>
          <wp:inline xmlns:a="http://schemas.openxmlformats.org/drawingml/2006/main" xmlns:pic="http://schemas.openxmlformats.org/drawingml/2006/picture">
            <wp:extent cx="5394960" cy="2413535"/>
            <wp:docPr id="3" name="Picture 3"/>
            <wp:cNvGraphicFramePr>
              <a:graphicFrameLocks noChangeAspect="1"/>
            </wp:cNvGraphicFramePr>
            <a:graphic>
              <a:graphicData uri="http://schemas.openxmlformats.org/drawingml/2006/picture">
                <pic:pic>
                  <pic:nvPicPr>
                    <pic:cNvPr id="0" name="extractor_settings_ladder_real.png"/>
                    <pic:cNvPicPr/>
                  </pic:nvPicPr>
                  <pic:blipFill>
                    <a:blip r:embed="rId15"/>
                    <a:stretch>
                      <a:fillRect/>
                    </a:stretch>
                  </pic:blipFill>
                  <pic:spPr>
                    <a:xfrm>
                      <a:off x="0" y="0"/>
                      <a:ext cx="5394960" cy="2413535"/>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Our extractor with the depositors' stated settings, one change at a time; REAL recordings, post hoc. Left: burst rate, median ratio ours/theirs per plate across the ladder. Right: active electrodes, firing rate and STTC (pooled) under our settings and after steps S1 and S2. Dashed line is equality.</w:t>
      </w:r>
    </w:p>
    <w:p>
      <w:pPr>
        <w:spacing w:after="120"/>
      </w:pPr>
      <w:r>
        <w:rPr>
          <w:rFonts w:ascii="Calibri" w:hAnsi="Calibri"/>
          <w:b/>
          <w:i w:val="0"/>
          <w:color w:val="156082"/>
          <w:sz w:val="21"/>
        </w:rPr>
        <w:t>The reading.</w:t>
      </w:r>
      <w:r>
        <w:rPr>
          <w:rFonts w:ascii="Calibri" w:hAnsi="Calibri"/>
          <w:b w:val="0"/>
          <w:i w:val="0"/>
          <w:color w:val="222222"/>
          <w:sz w:val="21"/>
        </w:rPr>
        <w:t xml:space="preserve"> With the same electrodes, our firing rate, active-electrode count and STTC reproduce theirs. The activity threshold alone brings all three to a pooled median ratio of 1.0, and dropping the deposit's noisy electrodes as well brings their rank agreement to 1.0, with the active-electrode count identical in a share of 1.0 of recordings. Most of the burst-rate gap is the denominator: from S0 to S3 the ladder closes a share of 0.9293 of the pooled log-ratio gap, and the rank agreement rises from 0.8907 to 0.9819. It is an hPSC effect. On the rat plate our burst rate already sat at a ratio of 0.9573 to theirs, while in a median hPSC recording only a share of 0.6225 (hPSC_MEA1) and 0.6283 (hPSC_MEA2) of the active electrodes burst at all, against 0.9815 on the rat plate. Dividing by every active electrode therefore lowers the human rate and hardly moves the rat one. The ladder leaves the rest to the burst detector, which it does not change: burst duration stays at a pooled ratio of 0.8208 and spikes per burst at 0.9433 at S3. Whether the detector accounts for that remainder was then tested, as registered (below). The ladder's first step reproduces the published comparison above exactly (check: true). One assumption could mislead here: that the deposit's noisy-electrode file lists electrodes per DIV column. Under the alternative reading, that an electrode listed on any DIV is noisy throughout, the active-electrode count matches theirs in a share of only 0.253 of recordings, so the per-DIV reading is the one their output follows. A per-electrode averaging hypothesis, tried in the scratch analysis, moved the share of spikes in bursts further from theirs; it was dropped and is not in the code.</w:t>
      </w:r>
    </w:p>
    <w:p>
      <w:pPr>
        <w:keepNext/>
        <w:spacing w:after="120"/>
      </w:pPr>
      <w:r>
        <w:rPr>
          <w:rFonts w:ascii="Calibri" w:hAnsi="Calibri"/>
          <w:b/>
          <w:i w:val="0"/>
          <w:color w:val="156082"/>
          <w:sz w:val="21"/>
        </w:rPr>
        <w:t>The detector, tested (registered).</w:t>
      </w:r>
      <w:r>
        <w:rPr>
          <w:rFonts w:ascii="Calibri" w:hAnsi="Calibri"/>
          <w:b w:val="0"/>
          <w:i w:val="0"/>
          <w:color w:val="222222"/>
          <w:sz w:val="21"/>
        </w:rPr>
        <w:t xml:space="preserve"> We then implemented the depositors' adaptive detector, logISI (Pasquale et al. 2010, with their minimum of five spikes and their merging of bursts that lie closer than the merge interval), as an option of the same extractor, off by default (</w:t>
      </w:r>
      <w:r>
        <w:rPr>
          <w:rFonts w:ascii="Consolas" w:hAnsi="Consolas"/>
          <w:b w:val="0"/>
          <w:i w:val="0"/>
          <w:color w:val="222222"/>
          <w:sz w:val="19"/>
        </w:rPr>
        <w:t>FeatureParams.burst_detector</w:t>
      </w:r>
      <w:r>
        <w:rPr>
          <w:rFonts w:ascii="Calibri" w:hAnsi="Calibri"/>
          <w:b w:val="0"/>
          <w:i w:val="0"/>
          <w:color w:val="222222"/>
          <w:sz w:val="21"/>
        </w:rPr>
        <w:t xml:space="preserve">), and registered four predictions before running it on any Kapucu recording (decision D34, </w:t>
      </w:r>
      <w:r>
        <w:rPr>
          <w:rFonts w:ascii="Consolas" w:hAnsi="Consolas"/>
          <w:b w:val="0"/>
          <w:i w:val="0"/>
          <w:color w:val="222222"/>
          <w:sz w:val="19"/>
        </w:rPr>
        <w:t>preregistration/extractor_logisi.json</w:t>
      </w:r>
      <w:r>
        <w:rPr>
          <w:rFonts w:ascii="Calibri" w:hAnsi="Calibri"/>
          <w:b w:val="0"/>
          <w:i w:val="0"/>
          <w:color w:val="222222"/>
          <w:sz w:val="21"/>
        </w:rPr>
        <w:t>; its implementation section, committed before the run, gives each choice of binning, smoothing, peaks, cutoff, extension, fallback and merging with its source). Each electrode gets its own ISI threshold from the valley of its log-ISI histogram; an electrode with no valid threshold falls back to the fixed rule. S4 is S3 with logISI, so the electrodes and the denominator stay the depositors'.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15"/>
        <w:gridCol w:w="1886"/>
        <w:gridCol w:w="1843"/>
        <w:gridCol w:w="3252"/>
      </w:tblGrid>
      <w:tr>
        <w:trPr>
          <w:cantSplit/>
          <w:tblHeader/>
        </w:trPr>
        <w:tc>
          <w:tcPr>
            <w:tcW w:type="dxa" w:w="1515"/>
            <w:shd w:val="clear" w:color="auto" w:fill="1F4E79"/>
            <w:vAlign w:val="center"/>
          </w:tcPr>
          <w:p>
            <w:pPr>
              <w:keepNext/>
              <w:spacing w:after="0"/>
            </w:pPr>
            <w:r>
              <w:rPr>
                <w:rFonts w:ascii="Calibri" w:hAnsi="Calibri"/>
                <w:b/>
                <w:i w:val="0"/>
                <w:color w:val="FFFFFF"/>
                <w:sz w:val="20"/>
              </w:rPr>
              <w:t>prediction</w:t>
            </w:r>
          </w:p>
        </w:tc>
        <w:tc>
          <w:tcPr>
            <w:tcW w:type="dxa" w:w="1886"/>
            <w:shd w:val="clear" w:color="auto" w:fill="1F4E79"/>
            <w:vAlign w:val="center"/>
          </w:tcPr>
          <w:p>
            <w:pPr>
              <w:keepNext/>
              <w:spacing w:after="0"/>
            </w:pPr>
            <w:r>
              <w:rPr>
                <w:rFonts w:ascii="Calibri" w:hAnsi="Calibri"/>
                <w:b/>
                <w:i w:val="0"/>
                <w:color w:val="FFFFFF"/>
                <w:sz w:val="20"/>
              </w:rPr>
              <w:t>registered test</w:t>
            </w:r>
          </w:p>
        </w:tc>
        <w:tc>
          <w:tcPr>
            <w:tcW w:type="dxa" w:w="1843"/>
            <w:shd w:val="clear" w:color="auto" w:fill="1F4E79"/>
            <w:vAlign w:val="center"/>
          </w:tcPr>
          <w:p>
            <w:pPr>
              <w:keepNext/>
              <w:spacing w:after="0"/>
            </w:pPr>
            <w:r>
              <w:rPr>
                <w:rFonts w:ascii="Calibri" w:hAnsi="Calibri"/>
                <w:b/>
                <w:i w:val="0"/>
                <w:color w:val="FFFFFF"/>
                <w:sz w:val="20"/>
              </w:rPr>
              <w:t>S4</w:t>
            </w:r>
          </w:p>
        </w:tc>
        <w:tc>
          <w:tcPr>
            <w:tcW w:type="dxa" w:w="3252"/>
            <w:shd w:val="clear" w:color="auto" w:fill="1F4E79"/>
            <w:vAlign w:val="center"/>
          </w:tcPr>
          <w:p>
            <w:pPr>
              <w:keepNext/>
              <w:spacing w:after="0"/>
            </w:pPr>
            <w:r>
              <w:rPr>
                <w:rFonts w:ascii="Calibri" w:hAnsi="Calibri"/>
                <w:b/>
                <w:i w:val="0"/>
                <w:color w:val="FFFFFF"/>
                <w:sz w:val="20"/>
              </w:rPr>
              <w:t>outcome</w:t>
            </w:r>
          </w:p>
        </w:tc>
      </w:tr>
      <w:tr>
        <w:trPr>
          <w:cantSplit/>
        </w:trPr>
        <w:tc>
          <w:tcPr>
            <w:tcW w:type="dxa" w:w="1515"/>
            <w:shd w:val="clear" w:color="auto" w:fill="FFFFFF"/>
            <w:vAlign w:val="center"/>
          </w:tcPr>
          <w:p>
            <w:pPr>
              <w:keepNext/>
              <w:spacing w:after="0"/>
            </w:pPr>
            <w:r>
              <w:rPr>
                <w:rFonts w:ascii="Calibri" w:hAnsi="Calibri"/>
                <w:b/>
                <w:i w:val="0"/>
                <w:color w:val="222222"/>
                <w:sz w:val="20"/>
              </w:rPr>
              <w:t>L1, burst duration closes</w:t>
            </w:r>
          </w:p>
        </w:tc>
        <w:tc>
          <w:tcPr>
            <w:tcW w:type="dxa" w:w="1886"/>
            <w:shd w:val="clear" w:color="auto" w:fill="FFFFFF"/>
            <w:vAlign w:val="center"/>
          </w:tcPr>
          <w:p>
            <w:pPr>
              <w:keepNext/>
              <w:spacing w:after="0"/>
            </w:pPr>
            <w:r>
              <w:rPr>
                <w:rFonts w:ascii="Calibri" w:hAnsi="Calibri"/>
                <w:b w:val="0"/>
                <w:i w:val="0"/>
                <w:color w:val="222222"/>
                <w:sz w:val="20"/>
              </w:rPr>
              <w:t>pooled ratio 0.9 to 1.1, rho at least 0.9</w:t>
            </w:r>
          </w:p>
        </w:tc>
        <w:tc>
          <w:tcPr>
            <w:tcW w:type="dxa" w:w="1843"/>
            <w:shd w:val="clear" w:color="auto" w:fill="FFFFFF"/>
            <w:vAlign w:val="center"/>
          </w:tcPr>
          <w:p>
            <w:pPr>
              <w:keepNext/>
              <w:spacing w:after="0"/>
            </w:pPr>
            <w:r>
              <w:rPr>
                <w:rFonts w:ascii="Calibri" w:hAnsi="Calibri"/>
                <w:b w:val="0"/>
                <w:i w:val="0"/>
                <w:color w:val="222222"/>
                <w:sz w:val="20"/>
              </w:rPr>
              <w:t>ratio 0.9611, rho 0.8347</w:t>
            </w:r>
          </w:p>
        </w:tc>
        <w:tc>
          <w:tcPr>
            <w:tcW w:type="dxa" w:w="3252"/>
            <w:shd w:val="clear" w:color="auto" w:fill="FFFFFF"/>
            <w:vAlign w:val="center"/>
          </w:tcPr>
          <w:p>
            <w:pPr>
              <w:keepNext/>
              <w:spacing w:after="0"/>
            </w:pPr>
            <w:r>
              <w:rPr>
                <w:rFonts w:ascii="Consolas" w:hAnsi="Consolas"/>
                <w:b w:val="0"/>
                <w:i w:val="0"/>
                <w:color w:val="222222"/>
                <w:sz w:val="18"/>
              </w:rPr>
              <w:t>fail</w:t>
            </w:r>
          </w:p>
        </w:tc>
      </w:tr>
      <w:tr>
        <w:trPr>
          <w:cantSplit/>
        </w:trPr>
        <w:tc>
          <w:tcPr>
            <w:tcW w:type="dxa" w:w="1515"/>
            <w:shd w:val="clear" w:color="auto" w:fill="F7F9FB"/>
            <w:vAlign w:val="center"/>
          </w:tcPr>
          <w:p>
            <w:pPr>
              <w:keepNext/>
              <w:spacing w:after="0"/>
            </w:pPr>
            <w:r>
              <w:rPr>
                <w:rFonts w:ascii="Calibri" w:hAnsi="Calibri"/>
                <w:b/>
                <w:i w:val="0"/>
                <w:color w:val="222222"/>
                <w:sz w:val="20"/>
              </w:rPr>
              <w:t>L2, spikes per burst closes</w:t>
            </w:r>
          </w:p>
        </w:tc>
        <w:tc>
          <w:tcPr>
            <w:tcW w:type="dxa" w:w="1886"/>
            <w:shd w:val="clear" w:color="auto" w:fill="F7F9FB"/>
            <w:vAlign w:val="center"/>
          </w:tcPr>
          <w:p>
            <w:pPr>
              <w:keepNext/>
              <w:spacing w:after="0"/>
            </w:pPr>
            <w:r>
              <w:rPr>
                <w:rFonts w:ascii="Calibri" w:hAnsi="Calibri"/>
                <w:b w:val="0"/>
                <w:i w:val="0"/>
                <w:color w:val="222222"/>
                <w:sz w:val="20"/>
              </w:rPr>
              <w:t>pooled ratio 0.95 to 1.05, rho at least 0.95</w:t>
            </w:r>
          </w:p>
        </w:tc>
        <w:tc>
          <w:tcPr>
            <w:tcW w:type="dxa" w:w="1843"/>
            <w:shd w:val="clear" w:color="auto" w:fill="F7F9FB"/>
            <w:vAlign w:val="center"/>
          </w:tcPr>
          <w:p>
            <w:pPr>
              <w:keepNext/>
              <w:spacing w:after="0"/>
            </w:pPr>
            <w:r>
              <w:rPr>
                <w:rFonts w:ascii="Calibri" w:hAnsi="Calibri"/>
                <w:b w:val="0"/>
                <w:i w:val="0"/>
                <w:color w:val="222222"/>
                <w:sz w:val="20"/>
              </w:rPr>
              <w:t>ratio 0.9986, rho 0.9467</w:t>
            </w:r>
          </w:p>
        </w:tc>
        <w:tc>
          <w:tcPr>
            <w:tcW w:type="dxa" w:w="3252"/>
            <w:shd w:val="clear" w:color="auto" w:fill="F7F9FB"/>
            <w:vAlign w:val="center"/>
          </w:tcPr>
          <w:p>
            <w:pPr>
              <w:keepNext/>
              <w:spacing w:after="0"/>
            </w:pPr>
            <w:r>
              <w:rPr>
                <w:rFonts w:ascii="Consolas" w:hAnsi="Consolas"/>
                <w:b w:val="0"/>
                <w:i w:val="0"/>
                <w:color w:val="222222"/>
                <w:sz w:val="18"/>
              </w:rPr>
              <w:t>fail</w:t>
            </w:r>
          </w:p>
        </w:tc>
      </w:tr>
      <w:tr>
        <w:trPr>
          <w:cantSplit/>
        </w:trPr>
        <w:tc>
          <w:tcPr>
            <w:tcW w:type="dxa" w:w="1515"/>
            <w:shd w:val="clear" w:color="auto" w:fill="FFFFFF"/>
            <w:vAlign w:val="center"/>
          </w:tcPr>
          <w:p>
            <w:pPr>
              <w:keepNext/>
              <w:spacing w:after="0"/>
            </w:pPr>
            <w:r>
              <w:rPr>
                <w:rFonts w:ascii="Calibri" w:hAnsi="Calibri"/>
                <w:b/>
                <w:i w:val="0"/>
                <w:color w:val="222222"/>
                <w:sz w:val="20"/>
              </w:rPr>
              <w:t>L3, hPSC burst rate closes</w:t>
            </w:r>
          </w:p>
        </w:tc>
        <w:tc>
          <w:tcPr>
            <w:tcW w:type="dxa" w:w="1886"/>
            <w:shd w:val="clear" w:color="auto" w:fill="FFFFFF"/>
            <w:vAlign w:val="center"/>
          </w:tcPr>
          <w:p>
            <w:pPr>
              <w:keepNext/>
              <w:spacing w:after="0"/>
            </w:pPr>
            <w:r>
              <w:rPr>
                <w:rFonts w:ascii="Calibri" w:hAnsi="Calibri"/>
                <w:b w:val="0"/>
                <w:i w:val="0"/>
                <w:color w:val="222222"/>
                <w:sz w:val="20"/>
              </w:rPr>
              <w:t>ratio 0.95 to 1.05 on both hPSC plates</w:t>
            </w:r>
          </w:p>
        </w:tc>
        <w:tc>
          <w:tcPr>
            <w:tcW w:type="dxa" w:w="1843"/>
            <w:shd w:val="clear" w:color="auto" w:fill="FFFFFF"/>
            <w:vAlign w:val="center"/>
          </w:tcPr>
          <w:p>
            <w:pPr>
              <w:keepNext/>
              <w:spacing w:after="0"/>
            </w:pPr>
            <w:r>
              <w:rPr>
                <w:rFonts w:ascii="Calibri" w:hAnsi="Calibri"/>
                <w:b w:val="0"/>
                <w:i w:val="0"/>
                <w:color w:val="222222"/>
                <w:sz w:val="20"/>
              </w:rPr>
              <w:t>1.0847 (hPSC_MEA1), 1.1438 (hPSC_MEA2)</w:t>
            </w:r>
          </w:p>
        </w:tc>
        <w:tc>
          <w:tcPr>
            <w:tcW w:type="dxa" w:w="3252"/>
            <w:shd w:val="clear" w:color="auto" w:fill="FFFFFF"/>
            <w:vAlign w:val="center"/>
          </w:tcPr>
          <w:p>
            <w:pPr>
              <w:keepNext/>
              <w:spacing w:after="0"/>
            </w:pPr>
            <w:r>
              <w:rPr>
                <w:rFonts w:ascii="Consolas" w:hAnsi="Consolas"/>
                <w:b w:val="0"/>
                <w:i w:val="0"/>
                <w:color w:val="222222"/>
                <w:sz w:val="18"/>
              </w:rPr>
              <w:t>uninterpretable</w:t>
            </w:r>
            <w:r>
              <w:rPr>
                <w:rFonts w:ascii="Calibri" w:hAnsi="Calibri"/>
                <w:b w:val="0"/>
                <w:i w:val="0"/>
                <w:color w:val="222222"/>
                <w:sz w:val="20"/>
              </w:rPr>
              <w:t>: the fallback covers a share of 0.515 of the hPSC active electrodes, more than half</w:t>
            </w:r>
          </w:p>
        </w:tc>
      </w:tr>
      <w:tr>
        <w:trPr>
          <w:cantSplit/>
        </w:trPr>
        <w:tc>
          <w:tcPr>
            <w:tcW w:type="dxa" w:w="1515"/>
            <w:shd w:val="clear" w:color="auto" w:fill="F7F9FB"/>
            <w:vAlign w:val="center"/>
          </w:tcPr>
          <w:p>
            <w:pPr>
              <w:keepNext w:val="0"/>
              <w:spacing w:after="0"/>
            </w:pPr>
            <w:r>
              <w:rPr>
                <w:rFonts w:ascii="Calibri" w:hAnsi="Calibri"/>
                <w:b/>
                <w:i w:val="0"/>
                <w:color w:val="222222"/>
                <w:sz w:val="20"/>
              </w:rPr>
              <w:t>L4, rat not worse</w:t>
            </w:r>
          </w:p>
        </w:tc>
        <w:tc>
          <w:tcPr>
            <w:tcW w:type="dxa" w:w="1886"/>
            <w:shd w:val="clear" w:color="auto" w:fill="F7F9FB"/>
            <w:vAlign w:val="center"/>
          </w:tcPr>
          <w:p>
            <w:pPr>
              <w:keepNext w:val="0"/>
              <w:spacing w:after="0"/>
            </w:pPr>
            <w:r>
              <w:rPr>
                <w:rFonts w:ascii="Calibri" w:hAnsi="Calibri"/>
                <w:b w:val="0"/>
                <w:i w:val="0"/>
                <w:color w:val="222222"/>
                <w:sz w:val="20"/>
              </w:rPr>
              <w:t>Rat_MEA1 burst rate 0.95 to 1.05, burst duration 0.9 to 1.1</w:t>
            </w:r>
          </w:p>
        </w:tc>
        <w:tc>
          <w:tcPr>
            <w:tcW w:type="dxa" w:w="1843"/>
            <w:shd w:val="clear" w:color="auto" w:fill="F7F9FB"/>
            <w:vAlign w:val="center"/>
          </w:tcPr>
          <w:p>
            <w:pPr>
              <w:keepNext w:val="0"/>
              <w:spacing w:after="0"/>
            </w:pPr>
            <w:r>
              <w:rPr>
                <w:rFonts w:ascii="Calibri" w:hAnsi="Calibri"/>
                <w:b w:val="0"/>
                <w:i w:val="0"/>
                <w:color w:val="222222"/>
                <w:sz w:val="20"/>
              </w:rPr>
              <w:t>0.9816 and 0.9825</w:t>
            </w:r>
          </w:p>
        </w:tc>
        <w:tc>
          <w:tcPr>
            <w:tcW w:type="dxa" w:w="3252"/>
            <w:shd w:val="clear" w:color="auto" w:fill="F7F9FB"/>
            <w:vAlign w:val="center"/>
          </w:tcPr>
          <w:p>
            <w:pPr>
              <w:keepNext w:val="0"/>
              <w:spacing w:after="0"/>
            </w:pPr>
            <w:r>
              <w:rPr>
                <w:rFonts w:ascii="Consolas" w:hAnsi="Consolas"/>
                <w:b w:val="0"/>
                <w:i w:val="0"/>
                <w:color w:val="222222"/>
                <w:sz w:val="18"/>
              </w:rPr>
              <w:t>pass</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97"/>
        <w:gridCol w:w="1600"/>
        <w:gridCol w:w="1600"/>
        <w:gridCol w:w="1500"/>
        <w:gridCol w:w="1300"/>
      </w:tblGrid>
      <w:tr>
        <w:trPr>
          <w:cantSplit/>
          <w:tblHeader/>
        </w:trPr>
        <w:tc>
          <w:tcPr>
            <w:tcW w:type="dxa" w:w="2497"/>
            <w:shd w:val="clear" w:color="auto" w:fill="1F4E79"/>
            <w:vAlign w:val="center"/>
          </w:tcPr>
          <w:p>
            <w:pPr>
              <w:keepNext/>
              <w:spacing w:after="0"/>
            </w:pPr>
            <w:r>
              <w:rPr>
                <w:rFonts w:ascii="Calibri" w:hAnsi="Calibri"/>
                <w:b/>
                <w:i w:val="0"/>
                <w:color w:val="FFFFFF"/>
                <w:sz w:val="20"/>
              </w:rPr>
              <w:t>median ratio ours/theirs, S3 → S4</w:t>
            </w:r>
          </w:p>
        </w:tc>
        <w:tc>
          <w:tcPr>
            <w:tcW w:type="dxa" w:w="1600"/>
            <w:shd w:val="clear" w:color="auto" w:fill="1F4E79"/>
            <w:vAlign w:val="center"/>
          </w:tcPr>
          <w:p>
            <w:pPr>
              <w:keepNext/>
              <w:spacing w:after="0"/>
            </w:pPr>
            <w:r>
              <w:rPr>
                <w:rFonts w:ascii="Calibri" w:hAnsi="Calibri"/>
                <w:b/>
                <w:i w:val="0"/>
                <w:color w:val="FFFFFF"/>
                <w:sz w:val="20"/>
              </w:rPr>
              <w:t>hPSC_MEA1</w:t>
            </w:r>
          </w:p>
        </w:tc>
        <w:tc>
          <w:tcPr>
            <w:tcW w:type="dxa" w:w="1600"/>
            <w:shd w:val="clear" w:color="auto" w:fill="1F4E79"/>
            <w:vAlign w:val="center"/>
          </w:tcPr>
          <w:p>
            <w:pPr>
              <w:keepNext/>
              <w:spacing w:after="0"/>
            </w:pPr>
            <w:r>
              <w:rPr>
                <w:rFonts w:ascii="Calibri" w:hAnsi="Calibri"/>
                <w:b/>
                <w:i w:val="0"/>
                <w:color w:val="FFFFFF"/>
                <w:sz w:val="20"/>
              </w:rPr>
              <w:t>hPSC_MEA2</w:t>
            </w:r>
          </w:p>
        </w:tc>
        <w:tc>
          <w:tcPr>
            <w:tcW w:type="dxa" w:w="1500"/>
            <w:shd w:val="clear" w:color="auto" w:fill="1F4E79"/>
            <w:vAlign w:val="center"/>
          </w:tcPr>
          <w:p>
            <w:pPr>
              <w:keepNext/>
              <w:spacing w:after="0"/>
            </w:pPr>
            <w:r>
              <w:rPr>
                <w:rFonts w:ascii="Calibri" w:hAnsi="Calibri"/>
                <w:b/>
                <w:i w:val="0"/>
                <w:color w:val="FFFFFF"/>
                <w:sz w:val="20"/>
              </w:rPr>
              <w:t>Rat_MEA1</w:t>
            </w:r>
          </w:p>
        </w:tc>
        <w:tc>
          <w:tcPr>
            <w:tcW w:type="dxa" w:w="1300"/>
            <w:shd w:val="clear" w:color="auto" w:fill="1F4E79"/>
            <w:vAlign w:val="center"/>
          </w:tcPr>
          <w:p>
            <w:pPr>
              <w:keepNext/>
              <w:spacing w:after="0"/>
            </w:pPr>
            <w:r>
              <w:rPr>
                <w:rFonts w:ascii="Calibri" w:hAnsi="Calibri"/>
                <w:b/>
                <w:i w:val="0"/>
                <w:color w:val="FFFFFF"/>
                <w:sz w:val="20"/>
              </w:rPr>
              <w:t>pooled</w:t>
            </w:r>
          </w:p>
        </w:tc>
      </w:tr>
      <w:tr>
        <w:trPr>
          <w:cantSplit/>
        </w:trPr>
        <w:tc>
          <w:tcPr>
            <w:tcW w:type="dxa" w:w="2497"/>
            <w:shd w:val="clear" w:color="auto" w:fill="FFFFFF"/>
            <w:vAlign w:val="center"/>
          </w:tcPr>
          <w:p>
            <w:pPr>
              <w:keepNext/>
              <w:spacing w:after="0"/>
            </w:pPr>
            <w:r>
              <w:rPr>
                <w:rFonts w:ascii="Calibri" w:hAnsi="Calibri"/>
                <w:b/>
                <w:i w:val="0"/>
                <w:color w:val="222222"/>
                <w:sz w:val="20"/>
              </w:rPr>
              <w:t>burst duration</w:t>
            </w:r>
          </w:p>
        </w:tc>
        <w:tc>
          <w:tcPr>
            <w:tcW w:type="dxa" w:w="1600"/>
            <w:shd w:val="clear" w:color="auto" w:fill="FFFFFF"/>
            <w:vAlign w:val="center"/>
          </w:tcPr>
          <w:p>
            <w:pPr>
              <w:keepNext/>
              <w:spacing w:after="0"/>
            </w:pPr>
            <w:r>
              <w:rPr>
                <w:rFonts w:ascii="Calibri" w:hAnsi="Calibri"/>
                <w:b w:val="0"/>
                <w:i w:val="0"/>
                <w:color w:val="222222"/>
                <w:sz w:val="20"/>
              </w:rPr>
              <w:t>0.9275 → 0.9686</w:t>
            </w:r>
          </w:p>
        </w:tc>
        <w:tc>
          <w:tcPr>
            <w:tcW w:type="dxa" w:w="1600"/>
            <w:shd w:val="clear" w:color="auto" w:fill="FFFFFF"/>
            <w:vAlign w:val="center"/>
          </w:tcPr>
          <w:p>
            <w:pPr>
              <w:keepNext/>
              <w:spacing w:after="0"/>
            </w:pPr>
            <w:r>
              <w:rPr>
                <w:rFonts w:ascii="Calibri" w:hAnsi="Calibri"/>
                <w:b w:val="0"/>
                <w:i w:val="0"/>
                <w:color w:val="222222"/>
                <w:sz w:val="20"/>
              </w:rPr>
              <w:t>0.8804 → 0.9191</w:t>
            </w:r>
          </w:p>
        </w:tc>
        <w:tc>
          <w:tcPr>
            <w:tcW w:type="dxa" w:w="1500"/>
            <w:shd w:val="clear" w:color="auto" w:fill="FFFFFF"/>
            <w:vAlign w:val="center"/>
          </w:tcPr>
          <w:p>
            <w:pPr>
              <w:keepNext/>
              <w:spacing w:after="0"/>
            </w:pPr>
            <w:r>
              <w:rPr>
                <w:rFonts w:ascii="Calibri" w:hAnsi="Calibri"/>
                <w:b w:val="0"/>
                <w:i w:val="0"/>
                <w:color w:val="222222"/>
                <w:sz w:val="20"/>
              </w:rPr>
              <w:t>0.7705 → 0.9825</w:t>
            </w:r>
          </w:p>
        </w:tc>
        <w:tc>
          <w:tcPr>
            <w:tcW w:type="dxa" w:w="1300"/>
            <w:shd w:val="clear" w:color="auto" w:fill="FFFFFF"/>
            <w:vAlign w:val="center"/>
          </w:tcPr>
          <w:p>
            <w:pPr>
              <w:keepNext/>
              <w:spacing w:after="0"/>
            </w:pPr>
            <w:r>
              <w:rPr>
                <w:rFonts w:ascii="Calibri" w:hAnsi="Calibri"/>
                <w:b w:val="0"/>
                <w:i w:val="0"/>
                <w:color w:val="222222"/>
                <w:sz w:val="20"/>
              </w:rPr>
              <w:t>0.8208 → 0.9611</w:t>
            </w:r>
          </w:p>
        </w:tc>
      </w:tr>
      <w:tr>
        <w:trPr>
          <w:cantSplit/>
        </w:trPr>
        <w:tc>
          <w:tcPr>
            <w:tcW w:type="dxa" w:w="2497"/>
            <w:shd w:val="clear" w:color="auto" w:fill="F7F9FB"/>
            <w:vAlign w:val="center"/>
          </w:tcPr>
          <w:p>
            <w:pPr>
              <w:keepNext/>
              <w:spacing w:after="0"/>
            </w:pPr>
            <w:r>
              <w:rPr>
                <w:rFonts w:ascii="Calibri" w:hAnsi="Calibri"/>
                <w:b/>
                <w:i w:val="0"/>
                <w:color w:val="222222"/>
                <w:sz w:val="20"/>
              </w:rPr>
              <w:t>spikes per burst</w:t>
            </w:r>
          </w:p>
        </w:tc>
        <w:tc>
          <w:tcPr>
            <w:tcW w:type="dxa" w:w="1600"/>
            <w:shd w:val="clear" w:color="auto" w:fill="F7F9FB"/>
            <w:vAlign w:val="center"/>
          </w:tcPr>
          <w:p>
            <w:pPr>
              <w:keepNext/>
              <w:spacing w:after="0"/>
            </w:pPr>
            <w:r>
              <w:rPr>
                <w:rFonts w:ascii="Calibri" w:hAnsi="Calibri"/>
                <w:b w:val="0"/>
                <w:i w:val="0"/>
                <w:color w:val="222222"/>
                <w:sz w:val="20"/>
              </w:rPr>
              <w:t>0.9523 → 1.0005</w:t>
            </w:r>
          </w:p>
        </w:tc>
        <w:tc>
          <w:tcPr>
            <w:tcW w:type="dxa" w:w="1600"/>
            <w:shd w:val="clear" w:color="auto" w:fill="F7F9FB"/>
            <w:vAlign w:val="center"/>
          </w:tcPr>
          <w:p>
            <w:pPr>
              <w:keepNext/>
              <w:spacing w:after="0"/>
            </w:pPr>
            <w:r>
              <w:rPr>
                <w:rFonts w:ascii="Calibri" w:hAnsi="Calibri"/>
                <w:b w:val="0"/>
                <w:i w:val="0"/>
                <w:color w:val="222222"/>
                <w:sz w:val="20"/>
              </w:rPr>
              <w:t>0.9466 → 0.9851</w:t>
            </w:r>
          </w:p>
        </w:tc>
        <w:tc>
          <w:tcPr>
            <w:tcW w:type="dxa" w:w="1500"/>
            <w:shd w:val="clear" w:color="auto" w:fill="F7F9FB"/>
            <w:vAlign w:val="center"/>
          </w:tcPr>
          <w:p>
            <w:pPr>
              <w:keepNext/>
              <w:spacing w:after="0"/>
            </w:pPr>
            <w:r>
              <w:rPr>
                <w:rFonts w:ascii="Calibri" w:hAnsi="Calibri"/>
                <w:b w:val="0"/>
                <w:i w:val="0"/>
                <w:color w:val="222222"/>
                <w:sz w:val="20"/>
              </w:rPr>
              <w:t>0.9378 → 1.0041</w:t>
            </w:r>
          </w:p>
        </w:tc>
        <w:tc>
          <w:tcPr>
            <w:tcW w:type="dxa" w:w="1300"/>
            <w:shd w:val="clear" w:color="auto" w:fill="F7F9FB"/>
            <w:vAlign w:val="center"/>
          </w:tcPr>
          <w:p>
            <w:pPr>
              <w:keepNext/>
              <w:spacing w:after="0"/>
            </w:pPr>
            <w:r>
              <w:rPr>
                <w:rFonts w:ascii="Calibri" w:hAnsi="Calibri"/>
                <w:b w:val="0"/>
                <w:i w:val="0"/>
                <w:color w:val="222222"/>
                <w:sz w:val="20"/>
              </w:rPr>
              <w:t>0.9433 → 0.9986</w:t>
            </w:r>
          </w:p>
        </w:tc>
      </w:tr>
      <w:tr>
        <w:trPr>
          <w:cantSplit/>
        </w:trPr>
        <w:tc>
          <w:tcPr>
            <w:tcW w:type="dxa" w:w="2497"/>
            <w:shd w:val="clear" w:color="auto" w:fill="FFFFFF"/>
            <w:vAlign w:val="center"/>
          </w:tcPr>
          <w:p>
            <w:pPr>
              <w:keepNext w:val="0"/>
              <w:spacing w:after="0"/>
            </w:pPr>
            <w:r>
              <w:rPr>
                <w:rFonts w:ascii="Calibri" w:hAnsi="Calibri"/>
                <w:b/>
                <w:i w:val="0"/>
                <w:color w:val="222222"/>
                <w:sz w:val="20"/>
              </w:rPr>
              <w:t>burst rate</w:t>
            </w:r>
          </w:p>
        </w:tc>
        <w:tc>
          <w:tcPr>
            <w:tcW w:type="dxa" w:w="1600"/>
            <w:shd w:val="clear" w:color="auto" w:fill="FFFFFF"/>
            <w:vAlign w:val="center"/>
          </w:tcPr>
          <w:p>
            <w:pPr>
              <w:keepNext w:val="0"/>
              <w:spacing w:after="0"/>
            </w:pPr>
            <w:r>
              <w:rPr>
                <w:rFonts w:ascii="Calibri" w:hAnsi="Calibri"/>
                <w:b w:val="0"/>
                <w:i w:val="0"/>
                <w:color w:val="222222"/>
                <w:sz w:val="20"/>
              </w:rPr>
              <w:t>0.8579 → 1.0847</w:t>
            </w:r>
          </w:p>
        </w:tc>
        <w:tc>
          <w:tcPr>
            <w:tcW w:type="dxa" w:w="1600"/>
            <w:shd w:val="clear" w:color="auto" w:fill="FFFFFF"/>
            <w:vAlign w:val="center"/>
          </w:tcPr>
          <w:p>
            <w:pPr>
              <w:keepNext w:val="0"/>
              <w:spacing w:after="0"/>
            </w:pPr>
            <w:r>
              <w:rPr>
                <w:rFonts w:ascii="Calibri" w:hAnsi="Calibri"/>
                <w:b w:val="0"/>
                <w:i w:val="0"/>
                <w:color w:val="222222"/>
                <w:sz w:val="20"/>
              </w:rPr>
              <w:t>0.8973 → 1.1438</w:t>
            </w:r>
          </w:p>
        </w:tc>
        <w:tc>
          <w:tcPr>
            <w:tcW w:type="dxa" w:w="1500"/>
            <w:shd w:val="clear" w:color="auto" w:fill="FFFFFF"/>
            <w:vAlign w:val="center"/>
          </w:tcPr>
          <w:p>
            <w:pPr>
              <w:keepNext w:val="0"/>
              <w:spacing w:after="0"/>
            </w:pPr>
            <w:r>
              <w:rPr>
                <w:rFonts w:ascii="Calibri" w:hAnsi="Calibri"/>
                <w:b w:val="0"/>
                <w:i w:val="0"/>
                <w:color w:val="222222"/>
                <w:sz w:val="20"/>
              </w:rPr>
              <w:t>1.04 → 0.9816</w:t>
            </w:r>
          </w:p>
        </w:tc>
        <w:tc>
          <w:tcPr>
            <w:tcW w:type="dxa" w:w="1300"/>
            <w:shd w:val="clear" w:color="auto" w:fill="FFFFFF"/>
            <w:vAlign w:val="center"/>
          </w:tcPr>
          <w:p>
            <w:pPr>
              <w:keepNext w:val="0"/>
              <w:spacing w:after="0"/>
            </w:pPr>
            <w:r>
              <w:rPr>
                <w:rFonts w:ascii="Calibri" w:hAnsi="Calibri"/>
                <w:b w:val="0"/>
                <w:i w:val="0"/>
                <w:color w:val="222222"/>
                <w:sz w:val="20"/>
              </w:rPr>
              <w:t>0.944 → 1.0488</w:t>
            </w:r>
          </w:p>
        </w:tc>
      </w:tr>
    </w:tbl>
    <w:p>
      <w:pPr>
        <w:spacing w:after="80"/>
      </w:pPr>
    </w:p>
    <w:p>
      <w:pPr>
        <w:keepNext/>
        <w:spacing w:before="120" w:after="40"/>
        <w:jc w:val="center"/>
      </w:pPr>
      <w:r>
        <w:drawing>
          <wp:inline xmlns:a="http://schemas.openxmlformats.org/drawingml/2006/main" xmlns:pic="http://schemas.openxmlformats.org/drawingml/2006/picture">
            <wp:extent cx="5394960" cy="2129589"/>
            <wp:docPr id="4" name="Picture 4"/>
            <wp:cNvGraphicFramePr>
              <a:graphicFrameLocks noChangeAspect="1"/>
            </wp:cNvGraphicFramePr>
            <a:graphic>
              <a:graphicData uri="http://schemas.openxmlformats.org/drawingml/2006/picture">
                <pic:pic>
                  <pic:nvPicPr>
                    <pic:cNvPr id="0" name="extractor_logisi_real.png"/>
                    <pic:cNvPicPr/>
                  </pic:nvPicPr>
                  <pic:blipFill>
                    <a:blip r:embed="rId16"/>
                    <a:stretch>
                      <a:fillRect/>
                    </a:stretch>
                  </pic:blipFill>
                  <pic:spPr>
                    <a:xfrm>
                      <a:off x="0" y="0"/>
                      <a:ext cx="5394960" cy="2129589"/>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Burst duration, spikes per burst and burst rate, median ratio ours/theirs per plate and pooled, for our definitions (S0), the depositors' stated settings (S3) and S3 with the logISI detector (S4, registered); REAL recordings. Dashed line is equality.</w:t>
      </w:r>
    </w:p>
    <w:p>
      <w:pPr>
        <w:spacing w:after="120"/>
      </w:pPr>
      <w:r>
        <w:rPr>
          <w:rFonts w:ascii="Calibri" w:hAnsi="Calibri"/>
          <w:b/>
          <w:i w:val="0"/>
          <w:color w:val="156082"/>
          <w:sz w:val="21"/>
        </w:rPr>
        <w:t>The reading.</w:t>
      </w:r>
      <w:r>
        <w:rPr>
          <w:rFonts w:ascii="Calibri" w:hAnsi="Calibri"/>
          <w:b w:val="0"/>
          <w:i w:val="0"/>
          <w:color w:val="222222"/>
          <w:sz w:val="21"/>
        </w:rPr>
        <w:t xml:space="preserve"> As we implemented it, the detector puts burst duration and spikes per burst on the depositors' scale but does not make the two implementations order the recordings the same way: rank agreement moves only from 0.8167 to 0.8347 for burst duration and from 0.9443 to 0.9467 for spikes per burst. On the human plates it overshoots the burst rate instead of closing it; on the rat plate it closes most of the burst-duration gap and leaves the burst rate in agreement. So the registered answer is no: the detector does not explain the rest of the difference, or our implementation of it differs from theirs, and these data cannot tell the two apart. The attribution stays open. Two diagnostics point at the implementation as much as at the detector. On the hPSC plates about half of the active electrode-recordings found no valid threshold (a share of 0.4982 on hPSC_MEA1 and 0.5321 on hPSC_MEA2, against 0.2313 on the rat plate), most often because their histogram has no valley after its first peak. And of those that did, a share of 0.2786 (hPSC_MEA1) and 0.2133 (hPSC_MEA2) set it below a millisecond: a peak of near-coincident spike pairs is taken as the intraburst peak, and that electrode then has almost no bursts. On the rat plate the median threshold is 281.84 ms, above the cutoff for a share of 0.8985 of its electrodes, so there logISI extends bursts at their edges, which is what lengthens them. Post hoc, and labelled so in the output: from S3 to S4 the hPSC burst rate changes by more than a tenth in a share of 0.8273 and 0.7632 of recordings, the rat burst duration in 0.8723; and two hPSC recordings lose every burst under S4 (318 pairs against 320). Whether the depositors' implementation treats near-coincident spikes the same way we cannot say: their analysis scripts are shared with the deposit (G-Node GIN) and were not read for this test, and reading them is the next step if the attribution matters.</w:t>
      </w:r>
    </w:p>
    <w:p>
      <w:pPr>
        <w:spacing w:after="120"/>
      </w:pPr>
      <w:r>
        <w:rPr>
          <w:rFonts w:ascii="Calibri" w:hAnsi="Calibri"/>
          <w:b/>
          <w:i w:val="0"/>
          <w:color w:val="156082"/>
          <w:sz w:val="21"/>
        </w:rPr>
        <w:t>What this does and does not say.</w:t>
      </w:r>
      <w:r>
        <w:rPr>
          <w:rFonts w:ascii="Calibri" w:hAnsi="Calibri"/>
          <w:b w:val="0"/>
          <w:i w:val="0"/>
          <w:color w:val="222222"/>
          <w:sz w:val="21"/>
        </w:rPr>
        <w:t xml:space="preserve"> We do not claim our definitions are more correct than the depositors'. They are fixed, stated, recorded in every record's method block, and applied identically to every source and to the twin (decision D33). A fixed rule keeps "burst" meaning the same thing in an immature hPSC culture and a mature rat one, which is what pooling across sources needs; an adaptive detector such as logISI moves with each culture's own spike-interval distribution, which suits describing one culture and complicates comparing two. No burst detector performs best on every data set (Cotterill et al. 2016, </w:t>
      </w:r>
      <w:r>
        <w:rPr>
          <w:rFonts w:ascii="Calibri" w:hAnsi="Calibri"/>
          <w:b w:val="0"/>
          <w:i/>
          <w:color w:val="222222"/>
          <w:sz w:val="21"/>
        </w:rPr>
        <w:t>J Neurophysiol</w:t>
      </w:r>
      <w:r>
        <w:rPr>
          <w:rFonts w:ascii="Calibri" w:hAnsi="Calibri"/>
          <w:b w:val="0"/>
          <w:i w:val="0"/>
          <w:color w:val="222222"/>
          <w:sz w:val="21"/>
        </w:rPr>
        <w:t>), and ours has a known cost: the fixed 100 ms rule trims bursts whose spikes loosen towards their edges; with logISI, burst duration moved most on the rat plate, where the per-electrode thresholds sit above the cutoff (above). A reader pooling our features with meaRtools output should convert, or recompute, rather than mix them.</w:t>
      </w:r>
    </w:p>
    <w:p>
      <w:pPr>
        <w:keepNext/>
        <w:spacing w:before="240" w:after="60"/>
      </w:pPr>
      <w:r>
        <w:rPr>
          <w:rFonts w:ascii="Calibri" w:hAnsi="Calibri"/>
          <w:b/>
          <w:i w:val="0"/>
          <w:color w:val="1F4E79"/>
          <w:sz w:val="23"/>
        </w:rPr>
        <w:t>4. The three questions we asked the data</w:t>
      </w:r>
    </w:p>
    <w:p>
      <w:pPr>
        <w:spacing w:after="120"/>
      </w:pPr>
      <w:r>
        <w:rPr>
          <w:rFonts w:ascii="Calibri" w:hAnsi="Calibri"/>
          <w:b w:val="0"/>
          <w:i w:val="0"/>
          <w:color w:val="222222"/>
          <w:sz w:val="21"/>
        </w:rPr>
        <w:t>Every model in this report works on changes, not on static states. We pair each treated well with its own pre-treatment baseline, and the model sees the log2 fold-change of each feature between the two. This is the most consequential design decision in our analysis, and we made it for the same reason an experimenter would: cultures differ enormously from one another. If one culture fires at 4 Hz and another at 8 Hz, that tells you about the cultures. If a culture drops from 8 Hz to 4 Hz after a compound goes in, that is a pharmacological response.</w:t>
      </w:r>
    </w:p>
    <w:p>
      <w:pPr>
        <w:spacing w:after="120"/>
      </w:pPr>
      <w:r>
        <w:rPr>
          <w:rFonts w:ascii="Calibri" w:hAnsi="Calibri"/>
          <w:b w:val="0"/>
          <w:i w:val="0"/>
          <w:color w:val="222222"/>
          <w:sz w:val="21"/>
        </w:rPr>
        <w:t>For each feature, measured in the same well before and during exposure, the model sees</w:t>
      </w:r>
    </w:p>
    <w:p>
      <w:pPr>
        <w:spacing w:after="120" w:before="40"/>
        <w:jc w:val="center"/>
      </w:pPr>
      <w:r>
        <w:rPr>
          <w:rFonts w:ascii="Calibri" w:hAnsi="Calibri"/>
          <w:b w:val="0"/>
          <w:i w:val="0"/>
          <w:color w:val="222222"/>
          <w:sz w:val="23"/>
        </w:rPr>
        <w:t>Δ = log</w:t>
      </w:r>
      <w:r>
        <w:rPr>
          <w:rFonts w:ascii="Calibri" w:hAnsi="Calibri"/>
          <w:b w:val="0"/>
          <w:i w:val="0"/>
          <w:color w:val="222222"/>
          <w:sz w:val="23"/>
          <w:vertAlign w:val="subscript"/>
        </w:rPr>
        <w:t>2</w:t>
      </w:r>
      <w:r>
        <w:rPr>
          <w:rFonts w:ascii="Calibri" w:hAnsi="Calibri"/>
          <w:b w:val="0"/>
          <w:i w:val="0"/>
          <w:color w:val="222222"/>
          <w:sz w:val="23"/>
        </w:rPr>
        <w:t>(</w:t>
      </w:r>
      <w:r>
        <w:rPr>
          <w:rFonts w:ascii="Calibri" w:hAnsi="Calibri"/>
          <w:b w:val="0"/>
          <w:i/>
          <w:color w:val="222222"/>
          <w:sz w:val="23"/>
        </w:rPr>
        <w:t>x</w:t>
      </w:r>
      <w:r>
        <w:rPr>
          <w:rFonts w:ascii="Calibri" w:hAnsi="Calibri"/>
          <w:b w:val="0"/>
          <w:i w:val="0"/>
          <w:color w:val="222222"/>
          <w:sz w:val="23"/>
          <w:vertAlign w:val="subscript"/>
        </w:rPr>
        <w:t>exposure</w:t>
      </w:r>
      <w:r>
        <w:rPr>
          <w:rFonts w:ascii="Calibri" w:hAnsi="Calibri"/>
          <w:b w:val="0"/>
          <w:i w:val="0"/>
          <w:color w:val="222222"/>
          <w:sz w:val="23"/>
        </w:rPr>
        <w:t xml:space="preserve"> / </w:t>
      </w:r>
      <w:r>
        <w:rPr>
          <w:rFonts w:ascii="Calibri" w:hAnsi="Calibri"/>
          <w:b w:val="0"/>
          <w:i/>
          <w:color w:val="222222"/>
          <w:sz w:val="23"/>
        </w:rPr>
        <w:t>x</w:t>
      </w:r>
      <w:r>
        <w:rPr>
          <w:rFonts w:ascii="Calibri" w:hAnsi="Calibri"/>
          <w:b w:val="0"/>
          <w:i w:val="0"/>
          <w:color w:val="222222"/>
          <w:sz w:val="23"/>
          <w:vertAlign w:val="subscript"/>
        </w:rPr>
        <w:t>baseline</w:t>
      </w:r>
      <w:r>
        <w:rPr>
          <w:rFonts w:ascii="Calibri" w:hAnsi="Calibri"/>
          <w:b w:val="0"/>
          <w:i w:val="0"/>
          <w:color w:val="222222"/>
          <w:sz w:val="23"/>
        </w:rPr>
        <w:t>)</w:t>
      </w:r>
    </w:p>
    <w:p>
      <w:pPr>
        <w:spacing w:after="120"/>
      </w:pPr>
      <w:r>
        <w:rPr>
          <w:rFonts w:ascii="Calibri" w:hAnsi="Calibri"/>
          <w:b w:val="0"/>
          <w:i w:val="0"/>
          <w:color w:val="222222"/>
          <w:sz w:val="21"/>
        </w:rPr>
        <w:t>so every halving or doubling moves Δ by one unit, whatever the culture's starting rate. A well that falls silent is floored at one twentieth of its baseline, so abolished activity stays a finite number, and a zero baseline leaves the ratio undefined rather than inventing a value for it.</w:t>
      </w:r>
    </w:p>
    <w:p>
      <w:pPr>
        <w:spacing w:after="120"/>
        <w:ind w:left="432" w:hanging="259"/>
      </w:pPr>
      <w:r>
        <w:rPr>
          <w:rFonts w:ascii="Calibri" w:hAnsi="Calibri"/>
          <w:b w:val="0"/>
          <w:i w:val="0"/>
          <w:color w:val="222222"/>
          <w:sz w:val="21"/>
        </w:rPr>
        <w:t>1.</w:t>
        <w:tab/>
      </w:r>
      <w:r>
        <w:rPr>
          <w:rFonts w:ascii="Calibri" w:hAnsi="Calibri"/>
          <w:b/>
          <w:i w:val="0"/>
          <w:color w:val="156082"/>
          <w:sz w:val="21"/>
        </w:rPr>
        <w:t>Mechanism.</w:t>
      </w:r>
      <w:r>
        <w:rPr>
          <w:rFonts w:ascii="Calibri" w:hAnsi="Calibri"/>
          <w:b w:val="0"/>
          <w:i w:val="0"/>
          <w:color w:val="222222"/>
          <w:sz w:val="21"/>
        </w:rPr>
        <w:t xml:space="preserve"> Given the change in the nine features, can we tell which class of compound caused it — GABA-A antagonist, sodium-channel blocker, glutamatergic antagonist, and so on?</w:t>
      </w:r>
    </w:p>
    <w:p>
      <w:pPr>
        <w:spacing w:after="120"/>
        <w:ind w:left="432" w:hanging="259"/>
      </w:pPr>
      <w:r>
        <w:rPr>
          <w:rFonts w:ascii="Calibri" w:hAnsi="Calibri"/>
          <w:b w:val="0"/>
          <w:i w:val="0"/>
          <w:color w:val="222222"/>
          <w:sz w:val="21"/>
        </w:rPr>
        <w:t>2.</w:t>
        <w:tab/>
      </w:r>
      <w:r>
        <w:rPr>
          <w:rFonts w:ascii="Calibri" w:hAnsi="Calibri"/>
          <w:b/>
          <w:i w:val="0"/>
          <w:color w:val="156082"/>
          <w:sz w:val="21"/>
        </w:rPr>
        <w:t>Detection.</w:t>
      </w:r>
      <w:r>
        <w:rPr>
          <w:rFonts w:ascii="Calibri" w:hAnsi="Calibri"/>
          <w:b w:val="0"/>
          <w:i w:val="0"/>
          <w:color w:val="222222"/>
          <w:sz w:val="21"/>
        </w:rPr>
        <w:t xml:space="preserve"> Can a model trained on one laboratory's data flag a known compound in a different laboratory's recordings?</w:t>
      </w:r>
    </w:p>
    <w:p>
      <w:pPr>
        <w:spacing w:after="120"/>
        <w:ind w:left="432" w:hanging="259"/>
      </w:pPr>
      <w:r>
        <w:rPr>
          <w:rFonts w:ascii="Calibri" w:hAnsi="Calibri"/>
          <w:b w:val="0"/>
          <w:i w:val="0"/>
          <w:color w:val="222222"/>
          <w:sz w:val="21"/>
        </w:rPr>
        <w:t>3.</w:t>
        <w:tab/>
      </w:r>
      <w:r>
        <w:rPr>
          <w:rFonts w:ascii="Calibri" w:hAnsi="Calibri"/>
          <w:b/>
          <w:i w:val="0"/>
          <w:color w:val="156082"/>
          <w:sz w:val="21"/>
        </w:rPr>
        <w:t>Platform contrast.</w:t>
      </w:r>
      <w:r>
        <w:rPr>
          <w:rFonts w:ascii="Calibri" w:hAnsi="Calibri"/>
          <w:b w:val="0"/>
          <w:i w:val="0"/>
          <w:color w:val="222222"/>
          <w:sz w:val="21"/>
        </w:rPr>
        <w:t xml:space="preserve"> Does the same mechanism look the same on two different platforms?</w:t>
      </w:r>
    </w:p>
    <w:p>
      <w:pPr>
        <w:keepNext/>
        <w:spacing w:after="120"/>
      </w:pPr>
      <w:r>
        <w:rPr>
          <w:rFonts w:ascii="Calibri" w:hAnsi="Calibri"/>
          <w:b/>
          <w:i w:val="0"/>
          <w:color w:val="156082"/>
          <w:sz w:val="21"/>
        </w:rPr>
        <w:t>Two rules we never break</w:t>
      </w:r>
      <w:r>
        <w:rPr>
          <w:rFonts w:ascii="Calibri" w:hAnsi="Calibri"/>
          <w:b w:val="0"/>
          <w:i w:val="0"/>
          <w:color w:val="222222"/>
          <w:sz w:val="21"/>
        </w:rPr>
        <w:t xml:space="preserve">, and they are why our scores look lower than many published ones. First, </w:t>
      </w:r>
      <w:r>
        <w:rPr>
          <w:rFonts w:ascii="Calibri" w:hAnsi="Calibri"/>
          <w:b w:val="0"/>
          <w:i/>
          <w:color w:val="222222"/>
          <w:sz w:val="21"/>
        </w:rPr>
        <w:t>we split strictly by culture</w:t>
      </w:r>
      <w:r>
        <w:rPr>
          <w:rFonts w:ascii="Calibri" w:hAnsi="Calibri"/>
          <w:b w:val="0"/>
          <w:i w:val="0"/>
          <w:color w:val="222222"/>
          <w:sz w:val="21"/>
        </w:rPr>
        <w:t xml:space="preserve">: wells from the same culture never end up on both sides of a training/testing split. Wells within a culture are near-copies of each other, so splitting them would let a model score well just by recognizing the culture — like seeing the exam questions in advance. Second, </w:t>
      </w:r>
      <w:r>
        <w:rPr>
          <w:rFonts w:ascii="Calibri" w:hAnsi="Calibri"/>
          <w:b w:val="0"/>
          <w:i/>
          <w:color w:val="222222"/>
          <w:sz w:val="21"/>
        </w:rPr>
        <w:t>we resample uncertainty over cultures, not rows</w:t>
      </w:r>
      <w:r>
        <w:rPr>
          <w:rFonts w:ascii="Calibri" w:hAnsi="Calibri"/>
          <w:b w:val="0"/>
          <w:i w:val="0"/>
          <w:color w:val="222222"/>
          <w:sz w:val="21"/>
        </w:rPr>
        <w:t>: every interval is a cluster bootstrap over whole cultures. With 73 pairs from 50 cultures, treating each row as independent would produce intervals about half as wide — and wrong.</w:t>
      </w:r>
    </w:p>
    <w:p>
      <w:pPr>
        <w:keepNext/>
        <w:spacing w:before="120" w:after="40"/>
        <w:jc w:val="center"/>
      </w:pPr>
      <w:r>
        <w:drawing>
          <wp:inline xmlns:a="http://schemas.openxmlformats.org/drawingml/2006/main" xmlns:pic="http://schemas.openxmlformats.org/drawingml/2006/picture">
            <wp:extent cx="5394960" cy="2315969"/>
            <wp:docPr id="5" name="Picture 5"/>
            <wp:cNvGraphicFramePr>
              <a:graphicFrameLocks noChangeAspect="1"/>
            </wp:cNvGraphicFramePr>
            <a:graphic>
              <a:graphicData uri="http://schemas.openxmlformats.org/drawingml/2006/picture">
                <pic:pic>
                  <pic:nvPicPr>
                    <pic:cNvPr id="0" name="mechanism_classifier_real.png"/>
                    <pic:cNvPicPr/>
                  </pic:nvPicPr>
                  <pic:blipFill>
                    <a:blip r:embed="rId17"/>
                    <a:stretch>
                      <a:fillRect/>
                    </a:stretch>
                  </pic:blipFill>
                  <pic:spPr>
                    <a:xfrm>
                      <a:off x="0" y="0"/>
                      <a:ext cx="5394960" cy="2315969"/>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How a mechanism call is made, on REAL recordings: each culture's paired wells become a nine-feature log-ratio vector, one regularized logistic regression maps it to a mechanism class, and cross-validation keeps every culture inside a single fold.</w:t>
      </w:r>
    </w:p>
    <w:p>
      <w:pPr>
        <w:keepNext/>
        <w:spacing w:before="240" w:after="60"/>
      </w:pPr>
      <w:r>
        <w:rPr>
          <w:rFonts w:ascii="Calibri" w:hAnsi="Calibri"/>
          <w:b/>
          <w:i w:val="0"/>
          <w:color w:val="1F4E79"/>
          <w:sz w:val="23"/>
        </w:rPr>
        <w:t>5. Can you read a mechanism from the features?</w:t>
      </w:r>
    </w:p>
    <w:p>
      <w:pPr>
        <w:keepNext/>
        <w:spacing w:after="120"/>
      </w:pPr>
      <w:r>
        <w:rPr>
          <w:rFonts w:ascii="Calibri" w:hAnsi="Calibri"/>
          <w:b w:val="0"/>
          <w:i w:val="0"/>
          <w:color w:val="222222"/>
          <w:sz w:val="21"/>
        </w:rPr>
        <w:t>Within one platform, we worked with 73 treated/baseline pairs from 50 cultures across six mechanism classes (Kapucu 2022):</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280"/>
        <w:gridCol w:w="1656"/>
        <w:gridCol w:w="1718"/>
        <w:gridCol w:w="2842"/>
      </w:tblGrid>
      <w:tr>
        <w:trPr>
          <w:cantSplit/>
          <w:tblHeader/>
        </w:trPr>
        <w:tc>
          <w:tcPr>
            <w:tcW w:type="dxa" w:w="2280"/>
            <w:shd w:val="clear" w:color="auto" w:fill="1F4E79"/>
            <w:vAlign w:val="center"/>
          </w:tcPr>
          <w:p>
            <w:pPr>
              <w:keepNext/>
              <w:spacing w:after="0"/>
            </w:pPr>
            <w:r>
              <w:rPr>
                <w:rFonts w:ascii="Calibri" w:hAnsi="Calibri"/>
                <w:b/>
                <w:i w:val="0"/>
                <w:color w:val="FFFFFF"/>
                <w:sz w:val="20"/>
              </w:rPr>
              <w:t>model</w:t>
            </w:r>
          </w:p>
        </w:tc>
        <w:tc>
          <w:tcPr>
            <w:tcW w:type="dxa" w:w="1656"/>
            <w:shd w:val="clear" w:color="auto" w:fill="1F4E79"/>
            <w:vAlign w:val="center"/>
          </w:tcPr>
          <w:p>
            <w:pPr>
              <w:keepNext/>
              <w:spacing w:after="0"/>
              <w:jc w:val="center"/>
            </w:pPr>
            <w:r>
              <w:rPr>
                <w:rFonts w:ascii="Calibri" w:hAnsi="Calibri"/>
                <w:b/>
                <w:i w:val="0"/>
                <w:color w:val="FFFFFF"/>
                <w:sz w:val="20"/>
              </w:rPr>
              <w:t>balanced accuracy</w:t>
            </w:r>
          </w:p>
        </w:tc>
        <w:tc>
          <w:tcPr>
            <w:tcW w:type="dxa" w:w="1718"/>
            <w:shd w:val="clear" w:color="auto" w:fill="1F4E79"/>
            <w:vAlign w:val="center"/>
          </w:tcPr>
          <w:p>
            <w:pPr>
              <w:keepNext/>
              <w:spacing w:after="0"/>
            </w:pPr>
            <w:r>
              <w:rPr>
                <w:rFonts w:ascii="Calibri" w:hAnsi="Calibri"/>
                <w:b/>
                <w:i w:val="0"/>
                <w:color w:val="FFFFFF"/>
                <w:sz w:val="20"/>
              </w:rPr>
              <w:t>95% bootstrap CI</w:t>
            </w:r>
          </w:p>
        </w:tc>
        <w:tc>
          <w:tcPr>
            <w:tcW w:type="dxa" w:w="2842"/>
            <w:shd w:val="clear" w:color="auto" w:fill="1F4E79"/>
            <w:vAlign w:val="center"/>
          </w:tcPr>
          <w:p>
            <w:pPr>
              <w:keepNext/>
              <w:spacing w:after="0"/>
            </w:pPr>
            <w:r>
              <w:rPr>
                <w:rFonts w:ascii="Calibri" w:hAnsi="Calibri"/>
                <w:b/>
                <w:i w:val="0"/>
                <w:color w:val="FFFFFF"/>
                <w:sz w:val="20"/>
              </w:rPr>
              <w:t>operational note</w:t>
            </w:r>
          </w:p>
        </w:tc>
      </w:tr>
      <w:tr>
        <w:trPr>
          <w:cantSplit/>
        </w:trPr>
        <w:tc>
          <w:tcPr>
            <w:tcW w:type="dxa" w:w="2280"/>
            <w:shd w:val="clear" w:color="auto" w:fill="FFFFFF"/>
            <w:vAlign w:val="center"/>
          </w:tcPr>
          <w:p>
            <w:pPr>
              <w:keepNext/>
              <w:spacing w:after="0"/>
            </w:pPr>
            <w:r>
              <w:rPr>
                <w:rFonts w:ascii="Calibri" w:hAnsi="Calibri"/>
                <w:b/>
                <w:i w:val="0"/>
                <w:color w:val="222222"/>
                <w:sz w:val="20"/>
              </w:rPr>
              <w:t>always guess commonest class</w:t>
            </w:r>
          </w:p>
        </w:tc>
        <w:tc>
          <w:tcPr>
            <w:tcW w:type="dxa" w:w="1656"/>
            <w:shd w:val="clear" w:color="auto" w:fill="FFFFFF"/>
            <w:vAlign w:val="center"/>
          </w:tcPr>
          <w:p>
            <w:pPr>
              <w:keepNext/>
              <w:spacing w:after="0"/>
              <w:jc w:val="center"/>
            </w:pPr>
            <w:r>
              <w:rPr>
                <w:rFonts w:ascii="Calibri" w:hAnsi="Calibri"/>
                <w:b w:val="0"/>
                <w:i w:val="0"/>
                <w:color w:val="222222"/>
                <w:sz w:val="20"/>
              </w:rPr>
              <w:t>0.167</w:t>
            </w:r>
          </w:p>
        </w:tc>
        <w:tc>
          <w:tcPr>
            <w:tcW w:type="dxa" w:w="1718"/>
            <w:shd w:val="clear" w:color="auto" w:fill="FFFFFF"/>
            <w:vAlign w:val="center"/>
          </w:tcPr>
          <w:p>
            <w:pPr>
              <w:keepNext/>
              <w:spacing w:after="0"/>
              <w:jc w:val="center"/>
            </w:pPr>
            <w:r>
              <w:rPr>
                <w:rFonts w:ascii="Calibri" w:hAnsi="Calibri"/>
                <w:b w:val="0"/>
                <w:i w:val="0"/>
                <w:color w:val="222222"/>
                <w:sz w:val="20"/>
              </w:rPr>
              <w:t>—</w:t>
            </w:r>
          </w:p>
        </w:tc>
        <w:tc>
          <w:tcPr>
            <w:tcW w:type="dxa" w:w="2842"/>
            <w:shd w:val="clear" w:color="auto" w:fill="FFFFFF"/>
            <w:vAlign w:val="center"/>
          </w:tcPr>
          <w:p>
            <w:pPr>
              <w:keepNext/>
              <w:spacing w:after="0"/>
            </w:pPr>
            <w:r>
              <w:rPr>
                <w:rFonts w:ascii="Calibri" w:hAnsi="Calibri"/>
                <w:b w:val="0"/>
                <w:i w:val="0"/>
                <w:color w:val="222222"/>
                <w:sz w:val="20"/>
              </w:rPr>
              <w:t>theoretical chance across 6 classes</w:t>
            </w:r>
          </w:p>
        </w:tc>
      </w:tr>
      <w:tr>
        <w:trPr>
          <w:cantSplit/>
        </w:trPr>
        <w:tc>
          <w:tcPr>
            <w:tcW w:type="dxa" w:w="2280"/>
            <w:shd w:val="clear" w:color="auto" w:fill="F7F9FB"/>
            <w:vAlign w:val="center"/>
          </w:tcPr>
          <w:p>
            <w:pPr>
              <w:keepNext/>
              <w:spacing w:after="0"/>
            </w:pPr>
            <w:r>
              <w:rPr>
                <w:rFonts w:ascii="Calibri" w:hAnsi="Calibri"/>
                <w:b/>
                <w:i w:val="0"/>
                <w:color w:val="222222"/>
                <w:sz w:val="20"/>
              </w:rPr>
              <w:t>gradient boosting</w:t>
            </w:r>
          </w:p>
        </w:tc>
        <w:tc>
          <w:tcPr>
            <w:tcW w:type="dxa" w:w="1656"/>
            <w:shd w:val="clear" w:color="auto" w:fill="F7F9FB"/>
            <w:vAlign w:val="center"/>
          </w:tcPr>
          <w:p>
            <w:pPr>
              <w:keepNext/>
              <w:spacing w:after="0"/>
              <w:jc w:val="center"/>
            </w:pPr>
            <w:r>
              <w:rPr>
                <w:rFonts w:ascii="Calibri" w:hAnsi="Calibri"/>
                <w:b w:val="0"/>
                <w:i w:val="0"/>
                <w:color w:val="222222"/>
                <w:sz w:val="20"/>
              </w:rPr>
              <w:t>0.398</w:t>
            </w:r>
          </w:p>
        </w:tc>
        <w:tc>
          <w:tcPr>
            <w:tcW w:type="dxa" w:w="1718"/>
            <w:shd w:val="clear" w:color="auto" w:fill="F7F9FB"/>
            <w:vAlign w:val="center"/>
          </w:tcPr>
          <w:p>
            <w:pPr>
              <w:keepNext/>
              <w:spacing w:after="0"/>
            </w:pPr>
            <w:r>
              <w:rPr>
                <w:rFonts w:ascii="Calibri" w:hAnsi="Calibri"/>
                <w:b w:val="0"/>
                <w:i w:val="0"/>
                <w:color w:val="222222"/>
                <w:sz w:val="20"/>
              </w:rPr>
              <w:t>0.2762 to 0.5178</w:t>
            </w:r>
          </w:p>
        </w:tc>
        <w:tc>
          <w:tcPr>
            <w:tcW w:type="dxa" w:w="2842"/>
            <w:shd w:val="clear" w:color="auto" w:fill="F7F9FB"/>
            <w:vAlign w:val="center"/>
          </w:tcPr>
          <w:p>
            <w:pPr>
              <w:keepNext/>
              <w:spacing w:after="0"/>
            </w:pPr>
            <w:r>
              <w:rPr>
                <w:rFonts w:ascii="Calibri" w:hAnsi="Calibri"/>
                <w:b w:val="0"/>
                <w:i w:val="0"/>
                <w:color w:val="222222"/>
                <w:sz w:val="20"/>
              </w:rPr>
              <w:t>expressive model over-fits 73 examples</w:t>
            </w:r>
          </w:p>
        </w:tc>
      </w:tr>
      <w:tr>
        <w:trPr>
          <w:cantSplit/>
        </w:trPr>
        <w:tc>
          <w:tcPr>
            <w:tcW w:type="dxa" w:w="2280"/>
            <w:shd w:val="clear" w:color="auto" w:fill="FFFFFF"/>
            <w:vAlign w:val="center"/>
          </w:tcPr>
          <w:p>
            <w:pPr>
              <w:keepNext w:val="0"/>
              <w:spacing w:after="0"/>
            </w:pPr>
            <w:r>
              <w:rPr>
                <w:rFonts w:ascii="Calibri" w:hAnsi="Calibri"/>
                <w:b/>
                <w:i w:val="0"/>
                <w:color w:val="222222"/>
                <w:sz w:val="20"/>
              </w:rPr>
              <w:t>logistic regression (L2)</w:t>
            </w:r>
          </w:p>
        </w:tc>
        <w:tc>
          <w:tcPr>
            <w:tcW w:type="dxa" w:w="1656"/>
            <w:shd w:val="clear" w:color="auto" w:fill="FFFFFF"/>
            <w:vAlign w:val="center"/>
          </w:tcPr>
          <w:p>
            <w:pPr>
              <w:keepNext w:val="0"/>
              <w:spacing w:after="0"/>
              <w:jc w:val="center"/>
            </w:pPr>
            <w:r>
              <w:rPr>
                <w:rFonts w:ascii="Calibri" w:hAnsi="Calibri"/>
                <w:b/>
                <w:i w:val="0"/>
                <w:color w:val="222222"/>
                <w:sz w:val="20"/>
              </w:rPr>
              <w:t>0.537</w:t>
            </w:r>
          </w:p>
        </w:tc>
        <w:tc>
          <w:tcPr>
            <w:tcW w:type="dxa" w:w="1718"/>
            <w:shd w:val="clear" w:color="auto" w:fill="FFFFFF"/>
            <w:vAlign w:val="center"/>
          </w:tcPr>
          <w:p>
            <w:pPr>
              <w:keepNext w:val="0"/>
              <w:spacing w:after="0"/>
            </w:pPr>
            <w:r>
              <w:rPr>
                <w:rFonts w:ascii="Calibri" w:hAnsi="Calibri"/>
                <w:b w:val="0"/>
                <w:i w:val="0"/>
                <w:color w:val="222222"/>
                <w:sz w:val="20"/>
              </w:rPr>
              <w:t>0.4216 to 0.6845</w:t>
            </w:r>
          </w:p>
        </w:tc>
        <w:tc>
          <w:tcPr>
            <w:tcW w:type="dxa" w:w="2842"/>
            <w:shd w:val="clear" w:color="auto" w:fill="FFFFFF"/>
            <w:vAlign w:val="center"/>
          </w:tcPr>
          <w:p>
            <w:pPr>
              <w:keepNext w:val="0"/>
              <w:spacing w:after="0"/>
            </w:pPr>
            <w:r>
              <w:rPr>
                <w:rFonts w:ascii="Calibri" w:hAnsi="Calibri"/>
                <w:b w:val="0"/>
                <w:i w:val="0"/>
                <w:color w:val="222222"/>
                <w:sz w:val="20"/>
              </w:rPr>
              <w:t>simpler linear boundary generalizes best</w:t>
            </w:r>
          </w:p>
        </w:tc>
      </w:tr>
    </w:tbl>
    <w:p>
      <w:pPr>
        <w:spacing w:after="80"/>
      </w:pPr>
    </w:p>
    <w:p>
      <w:pPr>
        <w:spacing w:after="120"/>
      </w:pPr>
      <w:r>
        <w:rPr>
          <w:rFonts w:ascii="Calibri" w:hAnsi="Calibri"/>
          <w:b w:val="0"/>
          <w:i w:val="0"/>
          <w:color w:val="222222"/>
          <w:sz w:val="21"/>
        </w:rPr>
        <w:t>Balanced accuracy averages the recall of each class, so a model cannot win just by getting the most common class right. Three things stand out. First, there is real signal: the model calls roughly half the mechanisms correctly where chance is 0.167, and the interval clears chance. Second, the interval is wide, because 73 pairs from 50 cultures is a small study, and we show that openly. Third, the simpler model wins decisively. When a flexible model loses to a linear one by fourteen points, the honest reading is that our dataset is small, not that boosting is bad.</w:t>
      </w:r>
    </w:p>
    <w:p>
      <w:pPr>
        <w:keepNext/>
        <w:spacing w:after="120"/>
      </w:pPr>
      <w:r>
        <w:rPr>
          <w:rFonts w:ascii="Calibri" w:hAnsi="Calibri"/>
          <w:b w:val="0"/>
          <w:i w:val="0"/>
          <w:color w:val="222222"/>
          <w:sz w:val="21"/>
        </w:rPr>
        <w:t>The errors are not random either. They cluster between the two GABA-A classes, antagonists and positive modulators, which makes chemical sense given how both act on the excitatory/inhibitory balance.</w:t>
      </w:r>
    </w:p>
    <w:p>
      <w:pPr>
        <w:keepNext/>
        <w:spacing w:before="120" w:after="40"/>
        <w:jc w:val="center"/>
      </w:pPr>
      <w:r>
        <w:drawing>
          <wp:inline xmlns:a="http://schemas.openxmlformats.org/drawingml/2006/main" xmlns:pic="http://schemas.openxmlformats.org/drawingml/2006/picture">
            <wp:extent cx="3884371" cy="3159226"/>
            <wp:docPr id="6" name="Picture 6"/>
            <wp:cNvGraphicFramePr>
              <a:graphicFrameLocks noChangeAspect="1"/>
            </wp:cNvGraphicFramePr>
            <a:graphic>
              <a:graphicData uri="http://schemas.openxmlformats.org/drawingml/2006/picture">
                <pic:pic>
                  <pic:nvPicPr>
                    <pic:cNvPr id="0" name="mechanism_confusion.png"/>
                    <pic:cNvPicPr/>
                  </pic:nvPicPr>
                  <pic:blipFill>
                    <a:blip r:embed="rId18"/>
                    <a:stretch>
                      <a:fillRect/>
                    </a:stretch>
                  </pic:blipFill>
                  <pic:spPr>
                    <a:xfrm>
                      <a:off x="0" y="0"/>
                      <a:ext cx="3884371" cy="3159226"/>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Task 1 confusion matrix, REAL data: out-of-fold predictions over 73 treated/baseline pairs from grouped cross-validation. Errors concentrate between the two GABA-A classes.</w:t>
      </w:r>
    </w:p>
    <w:p>
      <w:pPr>
        <w:spacing w:after="120"/>
      </w:pPr>
      <w:r>
        <w:rPr>
          <w:rFonts w:ascii="Calibri" w:hAnsi="Calibri"/>
          <w:b/>
          <w:i w:val="0"/>
          <w:color w:val="156082"/>
          <w:sz w:val="21"/>
        </w:rPr>
        <w:t>The same task, refit in a second laboratory.</w:t>
      </w:r>
      <w:r>
        <w:rPr>
          <w:rFonts w:ascii="Calibri" w:hAnsi="Calibri"/>
          <w:b w:val="0"/>
          <w:i w:val="0"/>
          <w:color w:val="222222"/>
          <w:sz w:val="21"/>
        </w:rPr>
        <w:t xml:space="preserve"> </w:t>
      </w:r>
      <w:r>
        <w:rPr>
          <w:rFonts w:ascii="Consolas" w:hAnsi="Consolas"/>
          <w:b w:val="0"/>
          <w:i w:val="0"/>
          <w:color w:val="222222"/>
          <w:sz w:val="19"/>
        </w:rPr>
        <w:t>vassallo2017</w:t>
      </w:r>
      <w:r>
        <w:rPr>
          <w:rFonts w:ascii="Calibri" w:hAnsi="Calibri"/>
          <w:b w:val="0"/>
          <w:i w:val="0"/>
          <w:color w:val="222222"/>
          <w:sz w:val="21"/>
        </w:rPr>
        <w:t xml:space="preserve"> comes from a different laboratory and a different vendor, with six compounds Kapucu never used, and each baseline sits on the same chip as its doses: 171 pairs over 26 chips in four classes. We refit the same pipeline there from scratch, training and testing inside that source with the same grouped cross-validation. Logistic regression reaches 0.333 against a chance of 0.25, on an interval of 0.2317 to 0.4204 that includes chance.</w:t>
      </w:r>
    </w:p>
    <w:p>
      <w:pPr>
        <w:spacing w:after="120"/>
      </w:pPr>
      <w:r>
        <w:rPr>
          <w:rFonts w:ascii="Calibri" w:hAnsi="Calibri"/>
          <w:b w:val="0"/>
          <w:i w:val="0"/>
          <w:color w:val="222222"/>
          <w:sz w:val="21"/>
        </w:rPr>
        <w:t>These two results are not a before and after. They are different problems — six classes against four, different compounds, and therefore different chance levels — so the only fair comparison is each against its own baseline. Kapucu clears its chance of 0.167 more than threefold; Vassallo clears its own by about a third, and its interval does not exclude chance. So mechanism signal is not a quirk of the one dataset we built the method around, but it is much weaker in the second laboratory. Note that nothing is transferred here: both models are trained and tested inside their own laboratory. We test transfer itself — a model trained in one laboratory and applied to another — in §6 and at the end of this section.</w:t>
      </w:r>
    </w:p>
    <w:p>
      <w:pPr>
        <w:spacing w:after="120"/>
      </w:pPr>
      <w:r>
        <w:rPr>
          <w:rFonts w:ascii="Calibri" w:hAnsi="Calibri"/>
          <w:b/>
          <w:i w:val="0"/>
          <w:color w:val="156082"/>
          <w:sz w:val="21"/>
        </w:rPr>
        <w:t>Why we never pooled the platforms.</w:t>
      </w:r>
      <w:r>
        <w:rPr>
          <w:rFonts w:ascii="Calibri" w:hAnsi="Calibri"/>
          <w:b w:val="0"/>
          <w:i w:val="0"/>
          <w:color w:val="222222"/>
          <w:sz w:val="21"/>
        </w:rPr>
        <w:t xml:space="preserve"> Pooling is tempting, and it would have produced a better-looking number. It would also have been meaningless. Across the full pool, the label alone determines the source for 97.35% of pairs, and 6 of the 9 mechanism classes appear in only one source. A pooled classifier would score well simply by learning which laboratory a recording came from.</w:t>
      </w:r>
    </w:p>
    <w:p>
      <w:pPr>
        <w:spacing w:after="120"/>
      </w:pPr>
      <w:r>
        <w:rPr>
          <w:rFonts w:ascii="Calibri" w:hAnsi="Calibri"/>
          <w:b/>
          <w:i w:val="0"/>
          <w:color w:val="156082"/>
          <w:sz w:val="21"/>
        </w:rPr>
        <w:t>The structural reason, and a test built around it.</w:t>
      </w:r>
      <w:r>
        <w:rPr>
          <w:rFonts w:ascii="Calibri" w:hAnsi="Calibri"/>
          <w:b w:val="0"/>
          <w:i w:val="0"/>
          <w:color w:val="222222"/>
          <w:sz w:val="21"/>
        </w:rPr>
        <w:t xml:space="preserve"> The obstacle is even sharper than that percentage suggests: the largest number of classes that any two laboratories share is 1, and a classifier needs at least two classes to tell apart. That means we cannot run leave-one-laboratory-out cross-validation here at all.</w:t>
      </w:r>
    </w:p>
    <w:p>
      <w:pPr>
        <w:spacing w:after="120"/>
      </w:pPr>
      <w:r>
        <w:rPr>
          <w:rFonts w:ascii="Calibri" w:hAnsi="Calibri"/>
          <w:b w:val="0"/>
          <w:i w:val="0"/>
          <w:color w:val="222222"/>
          <w:sz w:val="21"/>
        </w:rPr>
        <w:t xml:space="preserve">What we can build is a deliberately confounded test. Three classes appear in more than one source, and all three appear in Kapucu. We train there on 20 pairs and test on the other laboratories' versions of the same three classes, 535 pairs. In that test set, each class comes from exactly one laboratory — a correspondence of 1.0 — so in this test, class and laboratory cannot be told apart. A high score would have been ambiguous: it could mean the model read the pharmacology, or only that each laboratory's recordings look different. A score at chance has one reading: neither the mechanism signal learned in Kapucu nor any laboratory difference carried the classes across. That is why we built the test so that only a </w:t>
      </w:r>
      <w:r>
        <w:rPr>
          <w:rFonts w:ascii="Calibri" w:hAnsi="Calibri"/>
          <w:b/>
          <w:i w:val="0"/>
          <w:color w:val="222222"/>
          <w:sz w:val="21"/>
        </w:rPr>
        <w:t>low</w:t>
      </w:r>
      <w:r>
        <w:rPr>
          <w:rFonts w:ascii="Calibri" w:hAnsi="Calibri"/>
          <w:b w:val="0"/>
          <w:i w:val="0"/>
          <w:color w:val="222222"/>
          <w:sz w:val="21"/>
        </w:rPr>
        <w:t xml:space="preserve"> score is interpretable.</w:t>
      </w:r>
    </w:p>
    <w:p>
      <w:pPr>
        <w:spacing w:after="120"/>
      </w:pPr>
      <w:r>
        <w:rPr>
          <w:rFonts w:ascii="Calibri" w:hAnsi="Calibri"/>
          <w:b w:val="0"/>
          <w:i w:val="0"/>
          <w:color w:val="222222"/>
          <w:sz w:val="21"/>
        </w:rPr>
        <w:t>The model scores 0.3482, 95% CI [0.278, 0.4082], against a chance of 0.3333. That is indistinguishable from guessing: what the model learned in one laboratory did not carry to the others.</w:t>
      </w:r>
    </w:p>
    <w:p>
      <w:pPr>
        <w:spacing w:after="120"/>
      </w:pPr>
      <w:r>
        <w:rPr>
          <w:rFonts w:ascii="Calibri" w:hAnsi="Calibri"/>
          <w:b/>
          <w:i w:val="0"/>
          <w:color w:val="156082"/>
          <w:sz w:val="21"/>
        </w:rPr>
        <w:t>The control that makes it mean something.</w:t>
      </w:r>
      <w:r>
        <w:rPr>
          <w:rFonts w:ascii="Calibri" w:hAnsi="Calibri"/>
          <w:b w:val="0"/>
          <w:i w:val="0"/>
          <w:color w:val="222222"/>
          <w:sz w:val="21"/>
        </w:rPr>
        <w:t xml:space="preserve"> Twenty training pairs is not many, so the failure could come from sample size rather than from the change of laboratory. To check, we scored the same classes and the same 20 pairs </w:t>
      </w:r>
      <w:r>
        <w:rPr>
          <w:rFonts w:ascii="Calibri" w:hAnsi="Calibri"/>
          <w:b w:val="0"/>
          <w:i/>
          <w:color w:val="222222"/>
          <w:sz w:val="21"/>
        </w:rPr>
        <w:t>inside</w:t>
      </w:r>
      <w:r>
        <w:rPr>
          <w:rFonts w:ascii="Calibri" w:hAnsi="Calibri"/>
          <w:b w:val="0"/>
          <w:i w:val="0"/>
          <w:color w:val="222222"/>
          <w:sz w:val="21"/>
        </w:rPr>
        <w:t xml:space="preserve"> Kapucu with grouped cross-validation, which gives 0.5833. Same data, same size: the model learns something when it stays in one laboratory and nothing when it crosses into another.</w:t>
      </w:r>
    </w:p>
    <w:p>
      <w:pPr>
        <w:keepNext/>
        <w:spacing w:before="240" w:after="60"/>
      </w:pPr>
      <w:r>
        <w:rPr>
          <w:rFonts w:ascii="Calibri" w:hAnsi="Calibri"/>
          <w:b/>
          <w:i w:val="0"/>
          <w:color w:val="1F4E79"/>
          <w:sz w:val="23"/>
        </w:rPr>
        <w:t>6. External detection, and the negative control that matters more</w:t>
      </w:r>
    </w:p>
    <w:p>
      <w:pPr>
        <w:spacing w:after="120"/>
      </w:pPr>
      <w:r>
        <w:rPr>
          <w:rFonts w:ascii="Calibri" w:hAnsi="Calibri"/>
          <w:b w:val="0"/>
          <w:i w:val="0"/>
          <w:color w:val="222222"/>
          <w:sz w:val="21"/>
        </w:rPr>
        <w:t>Can a model trained on Kapucu's plate flag bicuculline in ScreenNeuroPharm's chambers — a different laboratory, and a different compound from the same mechanism class? Across 497 recordings, it calls "GABA-A antagonist" 36.6% of the time. There are two ways to read that, and only one is right. It is far above the rate at which that class would appear by chance, so something does transfer. But it is not an autonomous detector, because two-thirds of the time it says something else.</w:t>
      </w:r>
    </w:p>
    <w:p>
      <w:pPr>
        <w:spacing w:after="120"/>
      </w:pPr>
      <w:r>
        <w:rPr>
          <w:rFonts w:ascii="Calibri" w:hAnsi="Calibri"/>
          <w:b/>
          <w:i w:val="0"/>
          <w:color w:val="156082"/>
          <w:sz w:val="21"/>
        </w:rPr>
        <w:t>The negative control.</w:t>
      </w:r>
      <w:r>
        <w:rPr>
          <w:rFonts w:ascii="Calibri" w:hAnsi="Calibri"/>
          <w:b w:val="0"/>
          <w:i w:val="0"/>
          <w:color w:val="222222"/>
          <w:sz w:val="21"/>
        </w:rPr>
        <w:t xml:space="preserve"> What makes that first number trustworthy is the control. On Sharf's diazepam recordings — a GABA-A positive modulator, the opposite pharmacology — the same model calls "antagonist" only 7.7% of the time. A model that simply shouted "GABA-A antagonist" at anything unusual would have fired on both. Ours does not.</w:t>
      </w:r>
    </w:p>
    <w:p>
      <w:pPr>
        <w:spacing w:after="120"/>
      </w:pPr>
      <w:r>
        <w:rPr>
          <w:rFonts w:ascii="Calibri" w:hAnsi="Calibri"/>
          <w:b/>
          <w:i w:val="0"/>
          <w:color w:val="156082"/>
          <w:sz w:val="21"/>
        </w:rPr>
        <w:t>Detection does not track dose.</w:t>
      </w:r>
      <w:r>
        <w:rPr>
          <w:rFonts w:ascii="Calibri" w:hAnsi="Calibri"/>
          <w:b w:val="0"/>
          <w:i w:val="0"/>
          <w:color w:val="222222"/>
          <w:sz w:val="21"/>
        </w:rPr>
        <w:t xml:space="preserve"> Within the bicuculline series, detection probability shows no relationship with dose: Spearman ρ = −0.059, p = 0.189. Mechanism and dose are different questions, and this model only answers the first. The recordings do carry a dose signal, as §18 shows; a classifier built to tell mechanisms apart does not read it.</w:t>
      </w:r>
    </w:p>
    <w:p>
      <w:pPr>
        <w:keepNext/>
        <w:spacing w:before="240" w:after="60"/>
      </w:pPr>
      <w:r>
        <w:rPr>
          <w:rFonts w:ascii="Calibri" w:hAnsi="Calibri"/>
          <w:b/>
          <w:i w:val="0"/>
          <w:color w:val="1F4E79"/>
          <w:sz w:val="23"/>
        </w:rPr>
        <w:t>7. Rat to human</w:t>
      </w:r>
    </w:p>
    <w:p>
      <w:pPr>
        <w:keepNext/>
        <w:spacing w:after="120"/>
      </w:pPr>
      <w:r>
        <w:rPr>
          <w:rFonts w:ascii="Calibri" w:hAnsi="Calibri"/>
          <w:b w:val="0"/>
          <w:i w:val="0"/>
          <w:color w:val="222222"/>
          <w:sz w:val="21"/>
        </w:rPr>
        <w:t>The whole promise of organ-on-a-chip work is that a human preparation tells you something a rodent one cannot. So we trained on rat and tested on human, using only the five mechanism classes present in both.</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17"/>
        <w:gridCol w:w="1666"/>
        <w:gridCol w:w="1036"/>
        <w:gridCol w:w="3377"/>
      </w:tblGrid>
      <w:tr>
        <w:trPr>
          <w:cantSplit/>
          <w:tblHeader/>
        </w:trPr>
        <w:tc>
          <w:tcPr>
            <w:tcW w:type="dxa" w:w="2417"/>
            <w:shd w:val="clear" w:color="auto" w:fill="1F4E79"/>
            <w:vAlign w:val="center"/>
          </w:tcPr>
          <w:p>
            <w:pPr>
              <w:keepNext/>
              <w:spacing w:after="0"/>
            </w:pPr>
            <w:r>
              <w:rPr>
                <w:rFonts w:ascii="Calibri" w:hAnsi="Calibri"/>
                <w:b/>
                <w:i w:val="0"/>
                <w:color w:val="FFFFFF"/>
                <w:sz w:val="20"/>
              </w:rPr>
              <w:t>transfer setting</w:t>
            </w:r>
          </w:p>
        </w:tc>
        <w:tc>
          <w:tcPr>
            <w:tcW w:type="dxa" w:w="1666"/>
            <w:shd w:val="clear" w:color="auto" w:fill="1F4E79"/>
            <w:vAlign w:val="center"/>
          </w:tcPr>
          <w:p>
            <w:pPr>
              <w:keepNext/>
              <w:spacing w:after="0"/>
              <w:jc w:val="center"/>
            </w:pPr>
            <w:r>
              <w:rPr>
                <w:rFonts w:ascii="Calibri" w:hAnsi="Calibri"/>
                <w:b/>
                <w:i w:val="0"/>
                <w:color w:val="FFFFFF"/>
                <w:sz w:val="20"/>
              </w:rPr>
              <w:t>balanced accuracy</w:t>
            </w:r>
          </w:p>
        </w:tc>
        <w:tc>
          <w:tcPr>
            <w:tcW w:type="dxa" w:w="1036"/>
            <w:shd w:val="clear" w:color="auto" w:fill="1F4E79"/>
            <w:vAlign w:val="center"/>
          </w:tcPr>
          <w:p>
            <w:pPr>
              <w:keepNext/>
              <w:spacing w:after="0"/>
              <w:jc w:val="center"/>
            </w:pPr>
            <w:r>
              <w:rPr>
                <w:rFonts w:ascii="Calibri" w:hAnsi="Calibri"/>
                <w:b/>
                <w:i w:val="0"/>
                <w:color w:val="FFFFFF"/>
                <w:sz w:val="20"/>
              </w:rPr>
              <w:t>chance</w:t>
            </w:r>
          </w:p>
        </w:tc>
        <w:tc>
          <w:tcPr>
            <w:tcW w:type="dxa" w:w="3377"/>
            <w:shd w:val="clear" w:color="auto" w:fill="1F4E79"/>
            <w:vAlign w:val="center"/>
          </w:tcPr>
          <w:p>
            <w:pPr>
              <w:keepNext/>
              <w:spacing w:after="0"/>
            </w:pPr>
            <w:r>
              <w:rPr>
                <w:rFonts w:ascii="Calibri" w:hAnsi="Calibri"/>
                <w:b/>
                <w:i w:val="0"/>
                <w:color w:val="FFFFFF"/>
                <w:sz w:val="20"/>
              </w:rPr>
              <w:t>empirical finding</w:t>
            </w:r>
          </w:p>
        </w:tc>
      </w:tr>
      <w:tr>
        <w:trPr>
          <w:cantSplit/>
        </w:trPr>
        <w:tc>
          <w:tcPr>
            <w:tcW w:type="dxa" w:w="2417"/>
            <w:shd w:val="clear" w:color="auto" w:fill="FFFFFF"/>
            <w:vAlign w:val="center"/>
          </w:tcPr>
          <w:p>
            <w:pPr>
              <w:keepNext/>
              <w:spacing w:after="0"/>
            </w:pPr>
            <w:r>
              <w:rPr>
                <w:rFonts w:ascii="Calibri" w:hAnsi="Calibri"/>
                <w:b/>
                <w:i w:val="0"/>
                <w:color w:val="222222"/>
                <w:sz w:val="20"/>
              </w:rPr>
              <w:t>rat, tested within rat</w:t>
            </w:r>
          </w:p>
        </w:tc>
        <w:tc>
          <w:tcPr>
            <w:tcW w:type="dxa" w:w="1666"/>
            <w:shd w:val="clear" w:color="auto" w:fill="FFFFFF"/>
            <w:vAlign w:val="center"/>
          </w:tcPr>
          <w:p>
            <w:pPr>
              <w:keepNext/>
              <w:spacing w:after="0"/>
              <w:jc w:val="center"/>
            </w:pPr>
            <w:r>
              <w:rPr>
                <w:rFonts w:ascii="Calibri" w:hAnsi="Calibri"/>
                <w:b w:val="0"/>
                <w:i w:val="0"/>
                <w:color w:val="222222"/>
                <w:sz w:val="20"/>
              </w:rPr>
              <w:t>0.543</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rodent primary culture baseline</w:t>
            </w:r>
          </w:p>
        </w:tc>
      </w:tr>
      <w:tr>
        <w:trPr>
          <w:cantSplit/>
        </w:trPr>
        <w:tc>
          <w:tcPr>
            <w:tcW w:type="dxa" w:w="2417"/>
            <w:shd w:val="clear" w:color="auto" w:fill="F7F9FB"/>
            <w:vAlign w:val="center"/>
          </w:tcPr>
          <w:p>
            <w:pPr>
              <w:keepNext/>
              <w:spacing w:after="0"/>
            </w:pPr>
            <w:r>
              <w:rPr>
                <w:rFonts w:ascii="Calibri" w:hAnsi="Calibri"/>
                <w:b/>
                <w:i w:val="0"/>
                <w:color w:val="222222"/>
                <w:sz w:val="20"/>
              </w:rPr>
              <w:t>human, tested within human</w:t>
            </w:r>
          </w:p>
        </w:tc>
        <w:tc>
          <w:tcPr>
            <w:tcW w:type="dxa" w:w="1666"/>
            <w:shd w:val="clear" w:color="auto" w:fill="F7F9FB"/>
            <w:vAlign w:val="center"/>
          </w:tcPr>
          <w:p>
            <w:pPr>
              <w:keepNext/>
              <w:spacing w:after="0"/>
              <w:jc w:val="center"/>
            </w:pPr>
            <w:r>
              <w:rPr>
                <w:rFonts w:ascii="Calibri" w:hAnsi="Calibri"/>
                <w:b w:val="0"/>
                <w:i w:val="0"/>
                <w:color w:val="222222"/>
                <w:sz w:val="20"/>
              </w:rPr>
              <w:t>0.646</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human iPSC model evaluation</w:t>
            </w:r>
          </w:p>
        </w:tc>
      </w:tr>
      <w:tr>
        <w:trPr>
          <w:cantSplit/>
        </w:trPr>
        <w:tc>
          <w:tcPr>
            <w:tcW w:type="dxa" w:w="2417"/>
            <w:shd w:val="clear" w:color="auto" w:fill="FFFFFF"/>
            <w:vAlign w:val="center"/>
          </w:tcPr>
          <w:p>
            <w:pPr>
              <w:keepNext/>
              <w:spacing w:after="0"/>
            </w:pPr>
            <w:r>
              <w:rPr>
                <w:rFonts w:ascii="Calibri" w:hAnsi="Calibri"/>
                <w:b/>
                <w:i w:val="0"/>
                <w:color w:val="222222"/>
                <w:sz w:val="20"/>
              </w:rPr>
              <w:t>rat → human, no adaptation</w:t>
            </w:r>
          </w:p>
        </w:tc>
        <w:tc>
          <w:tcPr>
            <w:tcW w:type="dxa" w:w="1666"/>
            <w:shd w:val="clear" w:color="auto" w:fill="FFFFFF"/>
            <w:vAlign w:val="center"/>
          </w:tcPr>
          <w:p>
            <w:pPr>
              <w:keepNext/>
              <w:spacing w:after="0"/>
              <w:jc w:val="center"/>
            </w:pPr>
            <w:r>
              <w:rPr>
                <w:rFonts w:ascii="Calibri" w:hAnsi="Calibri"/>
                <w:b/>
                <w:i w:val="0"/>
                <w:color w:val="222222"/>
                <w:sz w:val="20"/>
              </w:rPr>
              <w:t>0.55</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transfers without loss; permutation p = 0.0002</w:t>
            </w:r>
          </w:p>
        </w:tc>
      </w:tr>
      <w:tr>
        <w:trPr>
          <w:cantSplit/>
        </w:trPr>
        <w:tc>
          <w:tcPr>
            <w:tcW w:type="dxa" w:w="2417"/>
            <w:shd w:val="clear" w:color="auto" w:fill="F7F9FB"/>
            <w:vAlign w:val="center"/>
          </w:tcPr>
          <w:p>
            <w:pPr>
              <w:keepNext/>
              <w:spacing w:after="0"/>
            </w:pPr>
            <w:r>
              <w:rPr>
                <w:rFonts w:ascii="Calibri" w:hAnsi="Calibri"/>
                <w:b/>
                <w:i w:val="0"/>
                <w:color w:val="222222"/>
                <w:sz w:val="20"/>
              </w:rPr>
              <w:t>rat → human, CORAL</w:t>
            </w:r>
          </w:p>
        </w:tc>
        <w:tc>
          <w:tcPr>
            <w:tcW w:type="dxa" w:w="1666"/>
            <w:shd w:val="clear" w:color="auto" w:fill="F7F9FB"/>
            <w:vAlign w:val="center"/>
          </w:tcPr>
          <w:p>
            <w:pPr>
              <w:keepNext/>
              <w:spacing w:after="0"/>
              <w:jc w:val="center"/>
            </w:pPr>
            <w:r>
              <w:rPr>
                <w:rFonts w:ascii="Calibri" w:hAnsi="Calibri"/>
                <w:b w:val="0"/>
                <w:i w:val="0"/>
                <w:color w:val="222222"/>
                <w:sz w:val="20"/>
              </w:rPr>
              <w:t>0.442</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covariance alignment erodes biological signal</w:t>
            </w:r>
          </w:p>
        </w:tc>
      </w:tr>
      <w:tr>
        <w:trPr>
          <w:cantSplit/>
        </w:trPr>
        <w:tc>
          <w:tcPr>
            <w:tcW w:type="dxa" w:w="2417"/>
            <w:shd w:val="clear" w:color="auto" w:fill="FFFFFF"/>
            <w:vAlign w:val="center"/>
          </w:tcPr>
          <w:p>
            <w:pPr>
              <w:keepNext w:val="0"/>
              <w:spacing w:after="0"/>
            </w:pPr>
            <w:r>
              <w:rPr>
                <w:rFonts w:ascii="Calibri" w:hAnsi="Calibri"/>
                <w:b/>
                <w:i w:val="0"/>
                <w:color w:val="222222"/>
                <w:sz w:val="20"/>
              </w:rPr>
              <w:t>rat → human, standardized</w:t>
            </w:r>
          </w:p>
        </w:tc>
        <w:tc>
          <w:tcPr>
            <w:tcW w:type="dxa" w:w="1666"/>
            <w:shd w:val="clear" w:color="auto" w:fill="FFFFFF"/>
            <w:vAlign w:val="center"/>
          </w:tcPr>
          <w:p>
            <w:pPr>
              <w:keepNext w:val="0"/>
              <w:spacing w:after="0"/>
              <w:jc w:val="center"/>
            </w:pPr>
            <w:r>
              <w:rPr>
                <w:rFonts w:ascii="Calibri" w:hAnsi="Calibri"/>
                <w:b w:val="0"/>
                <w:i w:val="0"/>
                <w:color w:val="222222"/>
                <w:sz w:val="20"/>
              </w:rPr>
              <w:t>0.408</w:t>
            </w:r>
          </w:p>
        </w:tc>
        <w:tc>
          <w:tcPr>
            <w:tcW w:type="dxa" w:w="1036"/>
            <w:shd w:val="clear" w:color="auto" w:fill="FFFFFF"/>
            <w:vAlign w:val="center"/>
          </w:tcPr>
          <w:p>
            <w:pPr>
              <w:keepNext w:val="0"/>
              <w:spacing w:after="0"/>
              <w:jc w:val="center"/>
            </w:pPr>
            <w:r>
              <w:rPr>
                <w:rFonts w:ascii="Calibri" w:hAnsi="Calibri"/>
                <w:b w:val="0"/>
                <w:i w:val="0"/>
                <w:color w:val="222222"/>
                <w:sz w:val="20"/>
              </w:rPr>
              <w:t>0.2</w:t>
            </w:r>
          </w:p>
        </w:tc>
        <w:tc>
          <w:tcPr>
            <w:tcW w:type="dxa" w:w="3377"/>
            <w:shd w:val="clear" w:color="auto" w:fill="FFFFFF"/>
            <w:vAlign w:val="center"/>
          </w:tcPr>
          <w:p>
            <w:pPr>
              <w:keepNext w:val="0"/>
              <w:spacing w:after="0"/>
            </w:pPr>
            <w:r>
              <w:rPr>
                <w:rFonts w:ascii="Calibri" w:hAnsi="Calibri"/>
                <w:b w:val="0"/>
                <w:i w:val="0"/>
                <w:color w:val="222222"/>
                <w:sz w:val="20"/>
              </w:rPr>
              <w:t>per-species normalization degrades toward chance</w:t>
            </w:r>
          </w:p>
        </w:tc>
      </w:tr>
    </w:tbl>
    <w:p>
      <w:pPr>
        <w:spacing w:after="80"/>
      </w:pPr>
    </w:p>
    <w:p>
      <w:pPr>
        <w:spacing w:after="120"/>
      </w:pPr>
      <w:r>
        <w:rPr>
          <w:rFonts w:ascii="Calibri" w:hAnsi="Calibri"/>
          <w:b w:val="0"/>
          <w:i w:val="0"/>
          <w:color w:val="222222"/>
          <w:sz w:val="21"/>
        </w:rPr>
        <w:t xml:space="preserve">The transfer is real, not luck, and two things stand out. First, rat → human (0.55) is </w:t>
      </w:r>
      <w:r>
        <w:rPr>
          <w:rFonts w:ascii="Calibri" w:hAnsi="Calibri"/>
          <w:b w:val="0"/>
          <w:i/>
          <w:color w:val="222222"/>
          <w:sz w:val="21"/>
        </w:rPr>
        <w:t>not</w:t>
      </w:r>
      <w:r>
        <w:rPr>
          <w:rFonts w:ascii="Calibri" w:hAnsi="Calibri"/>
          <w:b w:val="0"/>
          <w:i w:val="0"/>
          <w:color w:val="222222"/>
          <w:sz w:val="21"/>
        </w:rPr>
        <w:t xml:space="preserve"> worse than rat tested within rat (0.543): mechanism information crosses the species boundary about as well as it crosses between cultures within rat. Second, </w:t>
      </w:r>
      <w:r>
        <w:rPr>
          <w:rFonts w:ascii="Calibri" w:hAnsi="Calibri"/>
          <w:b/>
          <w:i w:val="0"/>
          <w:color w:val="222222"/>
          <w:sz w:val="21"/>
        </w:rPr>
        <w:t>both domain-adaptation methods made it worse.</w:t>
      </w:r>
      <w:r>
        <w:rPr>
          <w:rFonts w:ascii="Calibri" w:hAnsi="Calibri"/>
          <w:b w:val="0"/>
          <w:i w:val="0"/>
          <w:color w:val="222222"/>
          <w:sz w:val="21"/>
        </w:rPr>
        <w:t xml:space="preserve"> These are the standard tools for this problem, but here they removed real signal rather than distribution shift — which is what happens when a method designed for thousands of samples meets 37 rat training pairs and 32 human testing pairs. We report the unadapted number as our result, with the adapted ones beside it, rather than picking whichever was highest.</w:t>
      </w:r>
    </w:p>
    <w:p>
      <w:pPr>
        <w:keepNext/>
        <w:spacing w:before="240" w:after="60"/>
      </w:pPr>
      <w:r>
        <w:rPr>
          <w:rFonts w:ascii="Calibri" w:hAnsi="Calibri"/>
          <w:b/>
          <w:i w:val="0"/>
          <w:color w:val="1F4E79"/>
          <w:sz w:val="23"/>
        </w:rPr>
        <w:t>8. Which features are actually doing the work?</w:t>
      </w:r>
    </w:p>
    <w:p>
      <w:pPr>
        <w:keepNext/>
        <w:spacing w:after="120"/>
      </w:pPr>
      <w:r>
        <w:rPr>
          <w:rFonts w:ascii="Calibri" w:hAnsi="Calibri"/>
          <w:b w:val="0"/>
          <w:i w:val="0"/>
          <w:color w:val="222222"/>
          <w:sz w:val="21"/>
        </w:rPr>
        <w:t>If the nine-feature vector were doing nine distinct jobs, dropping most of it should hurt. It does not.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07"/>
        <w:gridCol w:w="1332"/>
        <w:gridCol w:w="4757"/>
      </w:tblGrid>
      <w:tr>
        <w:trPr>
          <w:cantSplit/>
          <w:tblHeader/>
        </w:trPr>
        <w:tc>
          <w:tcPr>
            <w:tcW w:type="dxa" w:w="2407"/>
            <w:shd w:val="clear" w:color="auto" w:fill="1F4E79"/>
            <w:vAlign w:val="center"/>
          </w:tcPr>
          <w:p>
            <w:pPr>
              <w:keepNext/>
              <w:spacing w:after="0"/>
            </w:pPr>
            <w:r>
              <w:rPr>
                <w:rFonts w:ascii="Calibri" w:hAnsi="Calibri"/>
                <w:b/>
                <w:i w:val="0"/>
                <w:color w:val="FFFFFF"/>
                <w:sz w:val="20"/>
              </w:rPr>
              <w:t>evaluated feature subset</w:t>
            </w:r>
          </w:p>
        </w:tc>
        <w:tc>
          <w:tcPr>
            <w:tcW w:type="dxa" w:w="1332"/>
            <w:shd w:val="clear" w:color="auto" w:fill="1F4E79"/>
            <w:vAlign w:val="center"/>
          </w:tcPr>
          <w:p>
            <w:pPr>
              <w:keepNext/>
              <w:spacing w:after="0"/>
              <w:jc w:val="center"/>
            </w:pPr>
            <w:r>
              <w:rPr>
                <w:rFonts w:ascii="Calibri" w:hAnsi="Calibri"/>
                <w:b/>
                <w:i w:val="0"/>
                <w:color w:val="FFFFFF"/>
                <w:sz w:val="20"/>
              </w:rPr>
              <w:t>balanced accuracy</w:t>
            </w:r>
          </w:p>
        </w:tc>
        <w:tc>
          <w:tcPr>
            <w:tcW w:type="dxa" w:w="4757"/>
            <w:shd w:val="clear" w:color="auto" w:fill="1F4E79"/>
            <w:vAlign w:val="center"/>
          </w:tcPr>
          <w:p>
            <w:pPr>
              <w:keepNext/>
              <w:spacing w:after="0"/>
            </w:pPr>
            <w:r>
              <w:rPr>
                <w:rFonts w:ascii="Calibri" w:hAnsi="Calibri"/>
                <w:b/>
                <w:i w:val="0"/>
                <w:color w:val="FFFFFF"/>
                <w:sz w:val="20"/>
              </w:rPr>
              <w:t>included features</w:t>
            </w:r>
          </w:p>
        </w:tc>
      </w:tr>
      <w:tr>
        <w:trPr>
          <w:cantSplit/>
        </w:trPr>
        <w:tc>
          <w:tcPr>
            <w:tcW w:type="dxa" w:w="2407"/>
            <w:shd w:val="clear" w:color="auto" w:fill="FFFFFF"/>
            <w:vAlign w:val="center"/>
          </w:tcPr>
          <w:p>
            <w:pPr>
              <w:keepNext/>
              <w:spacing w:after="0"/>
            </w:pPr>
            <w:r>
              <w:rPr>
                <w:rFonts w:ascii="Calibri" w:hAnsi="Calibri"/>
                <w:b/>
                <w:i w:val="0"/>
                <w:color w:val="222222"/>
                <w:sz w:val="20"/>
              </w:rPr>
              <w:t>the two rate features only</w:t>
            </w:r>
          </w:p>
        </w:tc>
        <w:tc>
          <w:tcPr>
            <w:tcW w:type="dxa" w:w="1332"/>
            <w:shd w:val="clear" w:color="auto" w:fill="FFFFFF"/>
            <w:vAlign w:val="center"/>
          </w:tcPr>
          <w:p>
            <w:pPr>
              <w:keepNext/>
              <w:spacing w:after="0"/>
              <w:jc w:val="center"/>
            </w:pPr>
            <w:r>
              <w:rPr>
                <w:rFonts w:ascii="Calibri" w:hAnsi="Calibri"/>
                <w:b/>
                <w:i w:val="0"/>
                <w:color w:val="222222"/>
                <w:sz w:val="20"/>
              </w:rPr>
              <w:t>0.53</w:t>
            </w:r>
          </w:p>
        </w:tc>
        <w:tc>
          <w:tcPr>
            <w:tcW w:type="dxa" w:w="4757"/>
            <w:shd w:val="clear" w:color="auto" w:fill="FFFFFF"/>
            <w:vAlign w:val="center"/>
          </w:tcPr>
          <w:p>
            <w:pPr>
              <w:keepNext/>
              <w:spacing w:after="0"/>
            </w:pPr>
            <w:r>
              <w:rPr>
                <w:rFonts w:ascii="Consolas" w:hAnsi="Consolas"/>
                <w:b w:val="0"/>
                <w:i w:val="0"/>
                <w:color w:val="222222"/>
                <w:sz w:val="18"/>
              </w:rPr>
              <w:t>mfr_hz</w:t>
            </w:r>
            <w:r>
              <w:rPr>
                <w:rFonts w:ascii="Calibri" w:hAnsi="Calibri"/>
                <w:b w:val="0"/>
                <w:i w:val="0"/>
                <w:color w:val="222222"/>
                <w:sz w:val="20"/>
              </w:rPr>
              <w:t xml:space="preserve">, </w:t>
            </w:r>
            <w:r>
              <w:rPr>
                <w:rFonts w:ascii="Consolas" w:hAnsi="Consolas"/>
                <w:b w:val="0"/>
                <w:i w:val="0"/>
                <w:color w:val="222222"/>
                <w:sz w:val="18"/>
              </w:rPr>
              <w:t>burst_rate_per_min</w:t>
            </w:r>
          </w:p>
        </w:tc>
      </w:tr>
      <w:tr>
        <w:trPr>
          <w:cantSplit/>
        </w:trPr>
        <w:tc>
          <w:tcPr>
            <w:tcW w:type="dxa" w:w="2407"/>
            <w:shd w:val="clear" w:color="auto" w:fill="F7F9FB"/>
            <w:vAlign w:val="center"/>
          </w:tcPr>
          <w:p>
            <w:pPr>
              <w:keepNext/>
              <w:spacing w:after="0"/>
            </w:pPr>
            <w:r>
              <w:rPr>
                <w:rFonts w:ascii="Calibri" w:hAnsi="Calibri"/>
                <w:b/>
                <w:i w:val="0"/>
                <w:color w:val="222222"/>
                <w:sz w:val="20"/>
              </w:rPr>
              <w:t>species-invariant subset</w:t>
            </w:r>
          </w:p>
        </w:tc>
        <w:tc>
          <w:tcPr>
            <w:tcW w:type="dxa" w:w="1332"/>
            <w:shd w:val="clear" w:color="auto" w:fill="F7F9FB"/>
            <w:vAlign w:val="center"/>
          </w:tcPr>
          <w:p>
            <w:pPr>
              <w:keepNext/>
              <w:spacing w:after="0"/>
              <w:jc w:val="center"/>
            </w:pPr>
            <w:r>
              <w:rPr>
                <w:rFonts w:ascii="Calibri" w:hAnsi="Calibri"/>
                <w:b w:val="0"/>
                <w:i w:val="0"/>
                <w:color w:val="222222"/>
                <w:sz w:val="20"/>
              </w:rPr>
              <w:t>0.516</w:t>
            </w:r>
          </w:p>
        </w:tc>
        <w:tc>
          <w:tcPr>
            <w:tcW w:type="dxa" w:w="4757"/>
            <w:shd w:val="clear" w:color="auto" w:fill="F7F9FB"/>
            <w:vAlign w:val="center"/>
          </w:tcPr>
          <w:p>
            <w:pPr>
              <w:keepNext/>
              <w:spacing w:after="0"/>
            </w:pPr>
            <w:r>
              <w:rPr>
                <w:rFonts w:ascii="Calibri" w:hAnsi="Calibri"/>
                <w:b w:val="0"/>
                <w:i w:val="0"/>
                <w:color w:val="222222"/>
                <w:sz w:val="20"/>
              </w:rPr>
              <w:t>features stable across untreated species baselines</w:t>
            </w:r>
          </w:p>
        </w:tc>
      </w:tr>
      <w:tr>
        <w:trPr>
          <w:cantSplit/>
        </w:trPr>
        <w:tc>
          <w:tcPr>
            <w:tcW w:type="dxa" w:w="2407"/>
            <w:shd w:val="clear" w:color="auto" w:fill="FFFFFF"/>
            <w:vAlign w:val="center"/>
          </w:tcPr>
          <w:p>
            <w:pPr>
              <w:keepNext/>
              <w:spacing w:after="0"/>
            </w:pPr>
            <w:r>
              <w:rPr>
                <w:rFonts w:ascii="Calibri" w:hAnsi="Calibri"/>
                <w:b/>
                <w:i w:val="0"/>
                <w:color w:val="222222"/>
                <w:sz w:val="20"/>
              </w:rPr>
              <w:t>all nine features</w:t>
            </w:r>
          </w:p>
        </w:tc>
        <w:tc>
          <w:tcPr>
            <w:tcW w:type="dxa" w:w="1332"/>
            <w:shd w:val="clear" w:color="auto" w:fill="FFFFFF"/>
            <w:vAlign w:val="center"/>
          </w:tcPr>
          <w:p>
            <w:pPr>
              <w:keepNext/>
              <w:spacing w:after="0"/>
              <w:jc w:val="center"/>
            </w:pPr>
            <w:r>
              <w:rPr>
                <w:rFonts w:ascii="Calibri" w:hAnsi="Calibri"/>
                <w:b w:val="0"/>
                <w:i w:val="0"/>
                <w:color w:val="222222"/>
                <w:sz w:val="20"/>
              </w:rPr>
              <w:t>0.514</w:t>
            </w:r>
          </w:p>
        </w:tc>
        <w:tc>
          <w:tcPr>
            <w:tcW w:type="dxa" w:w="4757"/>
            <w:shd w:val="clear" w:color="auto" w:fill="FFFFFF"/>
            <w:vAlign w:val="center"/>
          </w:tcPr>
          <w:p>
            <w:pPr>
              <w:keepNext/>
              <w:spacing w:after="0"/>
            </w:pPr>
            <w:r>
              <w:rPr>
                <w:rFonts w:ascii="Calibri" w:hAnsi="Calibri"/>
                <w:b w:val="0"/>
                <w:i w:val="0"/>
                <w:color w:val="222222"/>
                <w:sz w:val="20"/>
              </w:rPr>
              <w:t>the full biophysical complement</w:t>
            </w:r>
          </w:p>
        </w:tc>
      </w:tr>
      <w:tr>
        <w:trPr>
          <w:cantSplit/>
        </w:trPr>
        <w:tc>
          <w:tcPr>
            <w:tcW w:type="dxa" w:w="2407"/>
            <w:shd w:val="clear" w:color="auto" w:fill="F7F9FB"/>
            <w:vAlign w:val="center"/>
          </w:tcPr>
          <w:p>
            <w:pPr>
              <w:keepNext/>
              <w:spacing w:after="0"/>
            </w:pPr>
            <w:r>
              <w:rPr>
                <w:rFonts w:ascii="Calibri" w:hAnsi="Calibri"/>
                <w:b/>
                <w:i w:val="0"/>
                <w:color w:val="222222"/>
                <w:sz w:val="20"/>
              </w:rPr>
              <w:t>synchrony only</w:t>
            </w:r>
          </w:p>
        </w:tc>
        <w:tc>
          <w:tcPr>
            <w:tcW w:type="dxa" w:w="1332"/>
            <w:shd w:val="clear" w:color="auto" w:fill="F7F9FB"/>
            <w:vAlign w:val="center"/>
          </w:tcPr>
          <w:p>
            <w:pPr>
              <w:keepNext/>
              <w:spacing w:after="0"/>
              <w:jc w:val="center"/>
            </w:pPr>
            <w:r>
              <w:rPr>
                <w:rFonts w:ascii="Calibri" w:hAnsi="Calibri"/>
                <w:b w:val="0"/>
                <w:i w:val="0"/>
                <w:color w:val="222222"/>
                <w:sz w:val="20"/>
              </w:rPr>
              <w:t>0.455</w:t>
            </w:r>
          </w:p>
        </w:tc>
        <w:tc>
          <w:tcPr>
            <w:tcW w:type="dxa" w:w="4757"/>
            <w:shd w:val="clear" w:color="auto" w:fill="F7F9FB"/>
            <w:vAlign w:val="center"/>
          </w:tcPr>
          <w:p>
            <w:pPr>
              <w:keepNext/>
              <w:spacing w:after="0"/>
            </w:pPr>
            <w:r>
              <w:rPr>
                <w:rFonts w:ascii="Consolas" w:hAnsi="Consolas"/>
                <w:b w:val="0"/>
                <w:i w:val="0"/>
                <w:color w:val="222222"/>
                <w:sz w:val="18"/>
              </w:rPr>
              <w:t>synchrony_index</w:t>
            </w:r>
            <w:r>
              <w:rPr>
                <w:rFonts w:ascii="Calibri" w:hAnsi="Calibri"/>
                <w:b w:val="0"/>
                <w:i w:val="0"/>
                <w:color w:val="222222"/>
                <w:sz w:val="20"/>
              </w:rPr>
              <w:t xml:space="preserve"> (STTC)</w:t>
            </w:r>
          </w:p>
        </w:tc>
      </w:tr>
      <w:tr>
        <w:trPr>
          <w:cantSplit/>
        </w:trPr>
        <w:tc>
          <w:tcPr>
            <w:tcW w:type="dxa" w:w="2407"/>
            <w:shd w:val="clear" w:color="auto" w:fill="FFFFFF"/>
            <w:vAlign w:val="center"/>
          </w:tcPr>
          <w:p>
            <w:pPr>
              <w:keepNext/>
              <w:spacing w:after="0"/>
            </w:pPr>
            <w:r>
              <w:rPr>
                <w:rFonts w:ascii="Calibri" w:hAnsi="Calibri"/>
                <w:b/>
                <w:i w:val="0"/>
                <w:color w:val="222222"/>
                <w:sz w:val="20"/>
              </w:rPr>
              <w:t>firing rate only</w:t>
            </w:r>
          </w:p>
        </w:tc>
        <w:tc>
          <w:tcPr>
            <w:tcW w:type="dxa" w:w="1332"/>
            <w:shd w:val="clear" w:color="auto" w:fill="FFFFFF"/>
            <w:vAlign w:val="center"/>
          </w:tcPr>
          <w:p>
            <w:pPr>
              <w:keepNext/>
              <w:spacing w:after="0"/>
              <w:jc w:val="center"/>
            </w:pPr>
            <w:r>
              <w:rPr>
                <w:rFonts w:ascii="Calibri" w:hAnsi="Calibri"/>
                <w:b w:val="0"/>
                <w:i w:val="0"/>
                <w:color w:val="222222"/>
                <w:sz w:val="20"/>
              </w:rPr>
              <w:t>0.442</w:t>
            </w:r>
          </w:p>
        </w:tc>
        <w:tc>
          <w:tcPr>
            <w:tcW w:type="dxa" w:w="4757"/>
            <w:shd w:val="clear" w:color="auto" w:fill="FFFFFF"/>
            <w:vAlign w:val="center"/>
          </w:tcPr>
          <w:p>
            <w:pPr>
              <w:keepNext/>
              <w:spacing w:after="0"/>
            </w:pPr>
            <w:r>
              <w:rPr>
                <w:rFonts w:ascii="Consolas" w:hAnsi="Consolas"/>
                <w:b w:val="0"/>
                <w:i w:val="0"/>
                <w:color w:val="222222"/>
                <w:sz w:val="18"/>
              </w:rPr>
              <w:t>mfr_hz</w:t>
            </w:r>
          </w:p>
        </w:tc>
      </w:tr>
      <w:tr>
        <w:trPr>
          <w:cantSplit/>
        </w:trPr>
        <w:tc>
          <w:tcPr>
            <w:tcW w:type="dxa" w:w="2407"/>
            <w:shd w:val="clear" w:color="auto" w:fill="F7F9FB"/>
            <w:vAlign w:val="center"/>
          </w:tcPr>
          <w:p>
            <w:pPr>
              <w:keepNext/>
              <w:spacing w:after="0"/>
            </w:pPr>
            <w:r>
              <w:rPr>
                <w:rFonts w:ascii="Calibri" w:hAnsi="Calibri"/>
                <w:b/>
                <w:i w:val="0"/>
                <w:color w:val="222222"/>
                <w:sz w:val="20"/>
              </w:rPr>
              <w:t>network features only</w:t>
            </w:r>
          </w:p>
        </w:tc>
        <w:tc>
          <w:tcPr>
            <w:tcW w:type="dxa" w:w="1332"/>
            <w:shd w:val="clear" w:color="auto" w:fill="F7F9FB"/>
            <w:vAlign w:val="center"/>
          </w:tcPr>
          <w:p>
            <w:pPr>
              <w:keepNext/>
              <w:spacing w:after="0"/>
              <w:jc w:val="center"/>
            </w:pPr>
            <w:r>
              <w:rPr>
                <w:rFonts w:ascii="Calibri" w:hAnsi="Calibri"/>
                <w:b w:val="0"/>
                <w:i w:val="0"/>
                <w:color w:val="222222"/>
                <w:sz w:val="20"/>
              </w:rPr>
              <w:t>0.417</w:t>
            </w:r>
          </w:p>
        </w:tc>
        <w:tc>
          <w:tcPr>
            <w:tcW w:type="dxa" w:w="4757"/>
            <w:shd w:val="clear" w:color="auto" w:fill="F7F9FB"/>
            <w:vAlign w:val="center"/>
          </w:tcPr>
          <w:p>
            <w:pPr>
              <w:keepNext/>
              <w:spacing w:after="0"/>
            </w:pPr>
            <w:r>
              <w:rPr>
                <w:rFonts w:ascii="Consolas" w:hAnsi="Consolas"/>
                <w:b w:val="0"/>
                <w:i w:val="0"/>
                <w:color w:val="222222"/>
                <w:sz w:val="18"/>
              </w:rPr>
              <w:t>network_burst_rate_per_min</w:t>
            </w:r>
            <w:r>
              <w:rPr>
                <w:rFonts w:ascii="Calibri" w:hAnsi="Calibri"/>
                <w:b w:val="0"/>
                <w:i w:val="0"/>
                <w:color w:val="222222"/>
                <w:sz w:val="20"/>
              </w:rPr>
              <w:t xml:space="preserve">, </w:t>
            </w:r>
            <w:r>
              <w:rPr>
                <w:rFonts w:ascii="Consolas" w:hAnsi="Consolas"/>
                <w:b w:val="0"/>
                <w:i w:val="0"/>
                <w:color w:val="222222"/>
                <w:sz w:val="18"/>
              </w:rPr>
              <w:t>synchrony_index</w:t>
            </w:r>
          </w:p>
        </w:tc>
      </w:tr>
      <w:tr>
        <w:trPr>
          <w:cantSplit/>
        </w:trPr>
        <w:tc>
          <w:tcPr>
            <w:tcW w:type="dxa" w:w="2407"/>
            <w:shd w:val="clear" w:color="auto" w:fill="FFFFFF"/>
            <w:vAlign w:val="center"/>
          </w:tcPr>
          <w:p>
            <w:pPr>
              <w:keepNext w:val="0"/>
              <w:spacing w:after="0"/>
            </w:pPr>
            <w:r>
              <w:rPr>
                <w:rFonts w:ascii="Calibri" w:hAnsi="Calibri"/>
                <w:b/>
                <w:i w:val="0"/>
                <w:color w:val="222222"/>
                <w:sz w:val="20"/>
              </w:rPr>
              <w:t>burst features only</w:t>
            </w:r>
          </w:p>
        </w:tc>
        <w:tc>
          <w:tcPr>
            <w:tcW w:type="dxa" w:w="1332"/>
            <w:shd w:val="clear" w:color="auto" w:fill="FFFFFF"/>
            <w:vAlign w:val="center"/>
          </w:tcPr>
          <w:p>
            <w:pPr>
              <w:keepNext w:val="0"/>
              <w:spacing w:after="0"/>
              <w:jc w:val="center"/>
            </w:pPr>
            <w:r>
              <w:rPr>
                <w:rFonts w:ascii="Calibri" w:hAnsi="Calibri"/>
                <w:b w:val="0"/>
                <w:i w:val="0"/>
                <w:color w:val="222222"/>
                <w:sz w:val="20"/>
              </w:rPr>
              <w:t>0.411</w:t>
            </w:r>
          </w:p>
        </w:tc>
        <w:tc>
          <w:tcPr>
            <w:tcW w:type="dxa" w:w="4757"/>
            <w:shd w:val="clear" w:color="auto" w:fill="FFFFFF"/>
            <w:vAlign w:val="center"/>
          </w:tcPr>
          <w:p>
            <w:pPr>
              <w:keepNext w:val="0"/>
              <w:spacing w:after="0"/>
            </w:pPr>
            <w:r>
              <w:rPr>
                <w:rFonts w:ascii="Consolas" w:hAnsi="Consolas"/>
                <w:b w:val="0"/>
                <w:i w:val="0"/>
                <w:color w:val="222222"/>
                <w:sz w:val="18"/>
              </w:rPr>
              <w:t>burst_duration_s</w:t>
            </w:r>
            <w:r>
              <w:rPr>
                <w:rFonts w:ascii="Calibri" w:hAnsi="Calibri"/>
                <w:b w:val="0"/>
                <w:i w:val="0"/>
                <w:color w:val="222222"/>
                <w:sz w:val="20"/>
              </w:rPr>
              <w:t xml:space="preserve">, </w:t>
            </w:r>
            <w:r>
              <w:rPr>
                <w:rFonts w:ascii="Consolas" w:hAnsi="Consolas"/>
                <w:b w:val="0"/>
                <w:i w:val="0"/>
                <w:color w:val="222222"/>
                <w:sz w:val="18"/>
              </w:rPr>
              <w:t>spikes_per_burst</w:t>
            </w:r>
            <w:r>
              <w:rPr>
                <w:rFonts w:ascii="Calibri" w:hAnsi="Calibri"/>
                <w:b w:val="0"/>
                <w:i w:val="0"/>
                <w:color w:val="222222"/>
                <w:sz w:val="20"/>
              </w:rPr>
              <w:t xml:space="preserve">, </w:t>
            </w:r>
            <w:r>
              <w:rPr>
                <w:rFonts w:ascii="Consolas" w:hAnsi="Consolas"/>
                <w:b w:val="0"/>
                <w:i w:val="0"/>
                <w:color w:val="222222"/>
                <w:sz w:val="18"/>
              </w:rPr>
              <w:t>pct_spikes_in_bursts</w:t>
            </w:r>
          </w:p>
        </w:tc>
      </w:tr>
    </w:tbl>
    <w:p>
      <w:pPr>
        <w:spacing w:after="80"/>
      </w:pPr>
    </w:p>
    <w:p>
      <w:pPr>
        <w:spacing w:after="120"/>
      </w:pPr>
      <w:r>
        <w:rPr>
          <w:rFonts w:ascii="Calibri" w:hAnsi="Calibri"/>
          <w:b w:val="0"/>
          <w:i w:val="0"/>
          <w:color w:val="222222"/>
          <w:sz w:val="21"/>
        </w:rPr>
        <w:t>The two rate features alone do at least as well as all nine. The intervals overlap heavily, so we do not claim that rate-only is better; what we can say is that the other seven features add nothing we can detect at this sample size. That matters in practice, because the burst and synchrony measures — the very features that differ most between laboratories (§3) — are also the ones carrying the least mechanism information here.</w:t>
      </w:r>
    </w:p>
    <w:p>
      <w:pPr>
        <w:spacing w:after="120"/>
      </w:pPr>
      <w:r>
        <w:rPr>
          <w:rFonts w:ascii="Calibri" w:hAnsi="Calibri"/>
          <w:b/>
          <w:i w:val="0"/>
          <w:color w:val="156082"/>
          <w:sz w:val="21"/>
        </w:rPr>
        <w:t>Validation on sensory neurons.</w:t>
      </w:r>
      <w:r>
        <w:rPr>
          <w:rFonts w:ascii="Calibri" w:hAnsi="Calibri"/>
          <w:b w:val="0"/>
          <w:i w:val="0"/>
          <w:color w:val="222222"/>
          <w:sz w:val="21"/>
        </w:rPr>
        <w:t xml:space="preserve"> Because rate alone looked sufficient, we could bring in a source that reports only firing rates: </w:t>
      </w:r>
      <w:r>
        <w:rPr>
          <w:rFonts w:ascii="Consolas" w:hAnsi="Consolas"/>
          <w:b w:val="0"/>
          <w:i w:val="0"/>
          <w:color w:val="222222"/>
          <w:sz w:val="19"/>
        </w:rPr>
        <w:t>fofie2025</w:t>
      </w:r>
      <w:r>
        <w:rPr>
          <w:rFonts w:ascii="Calibri" w:hAnsi="Calibri"/>
          <w:b w:val="0"/>
          <w:i w:val="0"/>
          <w:color w:val="222222"/>
          <w:sz w:val="21"/>
        </w:rPr>
        <w:t>, human iPSC-derived sensory neurons, 291 pairs from 48 wells. Training on Kapucu's cortical rate changes and testing on these sensory neurons gives 0.5012 against a chance of 0.3333, using a single feature and a preparation with a completely different neuronal identity. What the two sources share is the compound's mechanism, not the preparation or the network.</w:t>
      </w:r>
    </w:p>
    <w:p>
      <w:pPr>
        <w:keepNext/>
        <w:spacing w:before="240" w:after="60"/>
      </w:pPr>
      <w:r>
        <w:rPr>
          <w:rFonts w:ascii="Calibri" w:hAnsi="Calibri"/>
          <w:b/>
          <w:i w:val="0"/>
          <w:color w:val="1F4E79"/>
          <w:sz w:val="23"/>
        </w:rPr>
        <w:t>9. How confident is the model, really?</w:t>
      </w:r>
    </w:p>
    <w:p>
      <w:pPr>
        <w:spacing w:after="120"/>
      </w:pPr>
      <w:r>
        <w:rPr>
          <w:rFonts w:ascii="Calibri" w:hAnsi="Calibri"/>
          <w:b/>
          <w:i w:val="0"/>
          <w:color w:val="156082"/>
          <w:sz w:val="21"/>
        </w:rPr>
        <w:t>Calibration.</w:t>
      </w:r>
      <w:r>
        <w:rPr>
          <w:rFonts w:ascii="Calibri" w:hAnsi="Calibri"/>
          <w:b w:val="0"/>
          <w:i w:val="0"/>
          <w:color w:val="222222"/>
          <w:sz w:val="21"/>
        </w:rPr>
        <w:t xml:space="preserve"> When the model says 70%, is it right 70% of the time? Our expected calibration error is 0.1114 on 73 points, with a bootstrap interval reaching 0.2557. That upper end is large. We would treat the predicted probabilities as a ranking, not as a risk — and not even as a reliable ranking above 0.8 confidence, where observed accuracy actually falls.</w:t>
      </w:r>
    </w:p>
    <w:p>
      <w:pPr>
        <w:spacing w:after="120"/>
      </w:pPr>
      <w:r>
        <w:rPr>
          <w:rFonts w:ascii="Calibri" w:hAnsi="Calibri"/>
          <w:b/>
          <w:i w:val="0"/>
          <w:color w:val="156082"/>
          <w:sz w:val="21"/>
        </w:rPr>
        <w:t>Conformal sets.</w:t>
      </w:r>
      <w:r>
        <w:rPr>
          <w:rFonts w:ascii="Calibri" w:hAnsi="Calibri"/>
          <w:b w:val="0"/>
          <w:i w:val="0"/>
          <w:color w:val="222222"/>
          <w:sz w:val="21"/>
        </w:rPr>
        <w:t xml:space="preserve"> Instead of a single answer, a conformal predictor returns a set of classes that is guaranteed to contain the truth a stated fraction of the time. When we ask for 95%, empirical coverage is 0.918 and the average set holds 4.562 of the six classes. A set of four or five classes out of six is honest and nearly useless — which is the right answer for 73 calibration points. A method that promised 95% coverage with narrow sets on this much data would be doing something wrong.</w:t>
      </w:r>
    </w:p>
    <w:p>
      <w:pPr>
        <w:keepNext/>
        <w:spacing w:before="240" w:after="60"/>
      </w:pPr>
      <w:r>
        <w:rPr>
          <w:rFonts w:ascii="Calibri" w:hAnsi="Calibri"/>
          <w:b/>
          <w:i w:val="0"/>
          <w:color w:val="1F4E79"/>
          <w:sz w:val="23"/>
        </w:rPr>
        <w:t>10. Untreated baselines: what differs before a drug is added</w:t>
      </w:r>
    </w:p>
    <w:p>
      <w:pPr>
        <w:spacing w:after="120"/>
      </w:pPr>
      <w:r>
        <w:rPr>
          <w:rFonts w:ascii="Calibri" w:hAnsi="Calibri"/>
          <w:b w:val="0"/>
          <w:i w:val="0"/>
          <w:color w:val="222222"/>
          <w:sz w:val="21"/>
        </w:rPr>
        <w:t>Let's set pharmacology aside for a moment. If we take untreated recordings and ask what separates rat from human, and dissociated cultures from organoids, the features consistently fall into two groups across three separate analyses. Rate-like features stay fairly stable across species, while synchrony and burst-structure features move the most. Those same features differ most between baselines, carry the least mechanism information (§8), and are the least reproducible across software (§3).</w:t>
      </w:r>
    </w:p>
    <w:p>
      <w:pPr>
        <w:spacing w:after="120"/>
      </w:pPr>
      <w:r>
        <w:rPr>
          <w:rFonts w:ascii="Calibri" w:hAnsi="Calibri"/>
          <w:b w:val="0"/>
          <w:i w:val="0"/>
          <w:color w:val="222222"/>
          <w:sz w:val="21"/>
        </w:rPr>
        <w:t>That three-way agreement is the most actionable result here for experimental design: the burst and synchrony family is where you will have the most trouble, from three independent directions at once.</w:t>
      </w:r>
    </w:p>
    <w:p>
      <w:pPr>
        <w:keepNext/>
        <w:spacing w:after="120"/>
      </w:pPr>
      <w:r>
        <w:rPr>
          <w:rFonts w:ascii="Calibri" w:hAnsi="Calibri"/>
          <w:b w:val="0"/>
          <w:i w:val="0"/>
          <w:color w:val="222222"/>
          <w:sz w:val="21"/>
        </w:rPr>
        <w:t xml:space="preserve">One analysis disagrees, and we kept it. The platform contrast (§11) finds that for the </w:t>
      </w:r>
      <w:r>
        <w:rPr>
          <w:rFonts w:ascii="Calibri" w:hAnsi="Calibri"/>
          <w:b w:val="0"/>
          <w:i/>
          <w:color w:val="222222"/>
          <w:sz w:val="21"/>
        </w:rPr>
        <w:t>same</w:t>
      </w:r>
      <w:r>
        <w:rPr>
          <w:rFonts w:ascii="Calibri" w:hAnsi="Calibri"/>
          <w:b w:val="0"/>
          <w:i w:val="0"/>
          <w:color w:val="222222"/>
          <w:sz w:val="21"/>
        </w:rPr>
        <w:t xml:space="preserve"> mechanism on two platforms, mean firing rate reverses sign while synchrony agrees. So three analyses say synchrony is the unreliable family, and one says it is the reliable one. We do not resolve that tension; we report it.</w:t>
      </w:r>
    </w:p>
    <w:p>
      <w:pPr>
        <w:keepNext/>
        <w:spacing w:before="120" w:after="40"/>
        <w:jc w:val="center"/>
      </w:pPr>
      <w:r>
        <w:drawing>
          <wp:inline xmlns:a="http://schemas.openxmlformats.org/drawingml/2006/main" xmlns:pic="http://schemas.openxmlformats.org/drawingml/2006/picture">
            <wp:extent cx="3290925" cy="2728165"/>
            <wp:docPr id="7" name="Picture 7"/>
            <wp:cNvGraphicFramePr>
              <a:graphicFrameLocks noChangeAspect="1"/>
            </wp:cNvGraphicFramePr>
            <a:graphic>
              <a:graphicData uri="http://schemas.openxmlformats.org/drawingml/2006/picture">
                <pic:pic>
                  <pic:nvPicPr>
                    <pic:cNvPr id="0" name="species_shift.png"/>
                    <pic:cNvPicPr/>
                  </pic:nvPicPr>
                  <pic:blipFill>
                    <a:blip r:embed="rId19"/>
                    <a:stretch>
                      <a:fillRect/>
                    </a:stretch>
                  </pic:blipFill>
                  <pic:spPr>
                    <a:xfrm>
                      <a:off x="0" y="0"/>
                      <a:ext cx="3290925" cy="2728165"/>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Per-feature species shift, REAL data: rat against human baseline distributions with cluster-bootstrap intervals. Rate and burst-fraction features move least; synchrony moves most.</w:t>
      </w:r>
    </w:p>
    <w:p>
      <w:pPr>
        <w:keepNext/>
        <w:spacing w:before="120" w:after="40"/>
        <w:jc w:val="center"/>
      </w:pPr>
      <w:r>
        <w:drawing>
          <wp:inline xmlns:a="http://schemas.openxmlformats.org/drawingml/2006/main" xmlns:pic="http://schemas.openxmlformats.org/drawingml/2006/picture">
            <wp:extent cx="4046220" cy="3181789"/>
            <wp:docPr id="8" name="Picture 8"/>
            <wp:cNvGraphicFramePr>
              <a:graphicFrameLocks noChangeAspect="1"/>
            </wp:cNvGraphicFramePr>
            <a:graphic>
              <a:graphicData uri="http://schemas.openxmlformats.org/drawingml/2006/picture">
                <pic:pic>
                  <pic:nvPicPr>
                    <pic:cNvPr id="0" name="baseline_species_comparison.png"/>
                    <pic:cNvPicPr/>
                  </pic:nvPicPr>
                  <pic:blipFill>
                    <a:blip r:embed="rId20"/>
                    <a:stretch>
                      <a:fillRect/>
                    </a:stretch>
                  </pic:blipFill>
                  <pic:spPr>
                    <a:xfrm>
                      <a:off x="0" y="0"/>
                      <a:ext cx="4046220" cy="3181789"/>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Untreated baseline activity, REAL recordings, by species and preparation. Burst rate is the one feature flat across all three groups.</w:t>
      </w:r>
    </w:p>
    <w:p>
      <w:pPr>
        <w:keepNext/>
        <w:spacing w:before="240" w:after="60"/>
      </w:pPr>
      <w:r>
        <w:rPr>
          <w:rFonts w:ascii="Calibri" w:hAnsi="Calibri"/>
          <w:b/>
          <w:i w:val="0"/>
          <w:color w:val="1F4E79"/>
          <w:sz w:val="23"/>
        </w:rPr>
        <w:t>11. The cross-platform reversal paradox</w:t>
      </w:r>
    </w:p>
    <w:p>
      <w:pPr>
        <w:spacing w:after="120"/>
      </w:pPr>
      <w:r>
        <w:rPr>
          <w:rFonts w:ascii="Calibri" w:hAnsi="Calibri"/>
          <w:b w:val="0"/>
          <w:i w:val="0"/>
          <w:color w:val="222222"/>
          <w:sz w:val="21"/>
        </w:rPr>
        <w:t xml:space="preserve">We compared GABA-A antagonists at 30 µM and above on two platforms: Kapucu's gabazine and ScreenNeuroPharm's bicuculline. Mean firing rate goes </w:t>
      </w:r>
      <w:r>
        <w:rPr>
          <w:rFonts w:ascii="Calibri" w:hAnsi="Calibri"/>
          <w:b/>
          <w:i w:val="0"/>
          <w:color w:val="222222"/>
          <w:sz w:val="21"/>
        </w:rPr>
        <w:t>up</w:t>
      </w:r>
      <w:r>
        <w:rPr>
          <w:rFonts w:ascii="Calibri" w:hAnsi="Calibri"/>
          <w:b w:val="0"/>
          <w:i w:val="0"/>
          <w:color w:val="222222"/>
          <w:sz w:val="21"/>
        </w:rPr>
        <w:t xml:space="preserve"> on one platform and </w:t>
      </w:r>
      <w:r>
        <w:rPr>
          <w:rFonts w:ascii="Calibri" w:hAnsi="Calibri"/>
          <w:b/>
          <w:i w:val="0"/>
          <w:color w:val="222222"/>
          <w:sz w:val="21"/>
        </w:rPr>
        <w:t>down</w:t>
      </w:r>
      <w:r>
        <w:rPr>
          <w:rFonts w:ascii="Calibri" w:hAnsi="Calibri"/>
          <w:b w:val="0"/>
          <w:i w:val="0"/>
          <w:color w:val="222222"/>
          <w:sz w:val="21"/>
        </w:rPr>
        <w:t xml:space="preserve"> on the other, while synchrony moves the same way on both.</w:t>
      </w:r>
    </w:p>
    <w:p>
      <w:pPr>
        <w:keepNext/>
        <w:spacing w:after="120"/>
      </w:pPr>
      <w:r>
        <w:rPr>
          <w:rFonts w:ascii="Calibri" w:hAnsi="Calibri"/>
          <w:b w:val="0"/>
          <w:i w:val="0"/>
          <w:color w:val="222222"/>
          <w:sz w:val="21"/>
        </w:rPr>
        <w:t>If you take away one thing from this report about cross-laboratory comparison, make it this: the mechanism is identical, yet the direction of the most commonly reported endpoint is not. Anyone pooling MEA pharmacology on the assumption that "GABA-A antagonists raise firing rate" would get it backwards half the time.</w:t>
      </w:r>
    </w:p>
    <w:p>
      <w:pPr>
        <w:keepNext/>
        <w:spacing w:before="120" w:after="40"/>
        <w:jc w:val="center"/>
      </w:pPr>
      <w:r>
        <w:drawing>
          <wp:inline xmlns:a="http://schemas.openxmlformats.org/drawingml/2006/main" xmlns:pic="http://schemas.openxmlformats.org/drawingml/2006/picture">
            <wp:extent cx="3129076" cy="1891826"/>
            <wp:docPr id="9" name="Picture 9"/>
            <wp:cNvGraphicFramePr>
              <a:graphicFrameLocks noChangeAspect="1"/>
            </wp:cNvGraphicFramePr>
            <a:graphic>
              <a:graphicData uri="http://schemas.openxmlformats.org/drawingml/2006/picture">
                <pic:pic>
                  <pic:nvPicPr>
                    <pic:cNvPr id="0" name="platform_contrast_gabaa_antagonist.png"/>
                    <pic:cNvPicPr/>
                  </pic:nvPicPr>
                  <pic:blipFill>
                    <a:blip r:embed="rId21"/>
                    <a:stretch>
                      <a:fillRect/>
                    </a:stretch>
                  </pic:blipFill>
                  <pic:spPr>
                    <a:xfrm>
                      <a:off x="0" y="0"/>
                      <a:ext cx="3129076" cy="1891826"/>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The same mechanism on two platforms, REAL data: per-feature log2 change for GABA-A antagonists. Mean firing rate reverses sign across platforms; synchrony agrees.</w:t>
      </w:r>
    </w:p>
    <w:p>
      <w:pPr>
        <w:keepNext/>
        <w:spacing w:before="360" w:after="120"/>
      </w:pPr>
      <w:r>
        <w:rPr>
          <w:rFonts w:ascii="Calibri" w:hAnsi="Calibri"/>
          <w:b/>
          <w:i w:val="0"/>
          <w:color w:val="2F5597"/>
          <w:sz w:val="27"/>
        </w:rPr>
        <w:t>ACT III: Calibrating a biophysical digital twin</w:t>
      </w:r>
    </w:p>
    <w:p>
      <w:pPr>
        <w:keepNext/>
        <w:spacing w:before="240" w:after="60"/>
      </w:pPr>
      <w:r>
        <w:rPr>
          <w:rFonts w:ascii="Calibri" w:hAnsi="Calibri"/>
          <w:b/>
          <w:i w:val="0"/>
          <w:color w:val="1F4E79"/>
          <w:sz w:val="23"/>
        </w:rPr>
        <w:t>12. The digital twin: what it is, and what it is for</w:t>
      </w:r>
    </w:p>
    <w:p>
      <w:pPr>
        <w:keepNext/>
        <w:spacing w:after="120"/>
      </w:pPr>
      <w:r>
        <w:rPr>
          <w:rFonts w:ascii="Calibri" w:hAnsi="Calibri"/>
          <w:b w:val="0"/>
          <w:i w:val="0"/>
          <w:color w:val="222222"/>
          <w:sz w:val="21"/>
        </w:rPr>
        <w:t xml:space="preserve">Our digital twin is a simulated culture, not a statistical surrogate. It has two compartments of model neurons — 80% excitatory, 20% inhibitory, each a leaky integrate-and-fire neuron with spike-frequency adaptation — wired densely within each compartment and sparsely between them through a directional pathway. Virtual electrodes sit over the sheet and "hear" neurons within a set radius, and their spike trains go through the same </w:t>
      </w:r>
      <w:r>
        <w:rPr>
          <w:rFonts w:ascii="Consolas" w:hAnsi="Consolas"/>
          <w:b w:val="0"/>
          <w:i w:val="0"/>
          <w:color w:val="222222"/>
          <w:sz w:val="19"/>
        </w:rPr>
        <w:t>features/mea.py</w:t>
      </w:r>
      <w:r>
        <w:rPr>
          <w:rFonts w:ascii="Calibri" w:hAnsi="Calibri"/>
          <w:b w:val="0"/>
          <w:i w:val="0"/>
          <w:color w:val="222222"/>
          <w:sz w:val="21"/>
        </w:rPr>
        <w:t xml:space="preserve"> that the real recordings use. That last point is a deliberate constraint: the twin cannot look good by being measured differently.</w:t>
      </w:r>
    </w:p>
    <w:p>
      <w:pPr>
        <w:keepNext/>
        <w:spacing w:before="120" w:after="40"/>
        <w:jc w:val="center"/>
      </w:pPr>
      <w:r>
        <w:drawing>
          <wp:inline xmlns:a="http://schemas.openxmlformats.org/drawingml/2006/main" xmlns:pic="http://schemas.openxmlformats.org/drawingml/2006/picture">
            <wp:extent cx="5394960" cy="2642429"/>
            <wp:docPr id="10" name="Picture 10"/>
            <wp:cNvGraphicFramePr>
              <a:graphicFrameLocks noChangeAspect="1"/>
            </wp:cNvGraphicFramePr>
            <a:graphic>
              <a:graphicData uri="http://schemas.openxmlformats.org/drawingml/2006/picture">
                <pic:pic>
                  <pic:nvPicPr>
                    <pic:cNvPr id="0" name="twin_architecture_simulated.png"/>
                    <pic:cNvPicPr/>
                  </pic:nvPicPr>
                  <pic:blipFill>
                    <a:blip r:embed="rId22"/>
                    <a:stretch>
                      <a:fillRect/>
                    </a:stretch>
                  </pic:blipFill>
                  <pic:spPr>
                    <a:xfrm>
                      <a:off x="0" y="0"/>
                      <a:ext cx="5394960" cy="2642429"/>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The SIMULATED two-compartment twin: two chambers of model neurons, a one-way axon diode between them, and virtual electrodes whose listening radius is capped so that no two can hear the same neuron.</w:t>
      </w:r>
    </w:p>
    <w:p>
      <w:pPr>
        <w:spacing w:after="120"/>
      </w:pPr>
      <w:r>
        <w:rPr>
          <w:rFonts w:ascii="Calibri" w:hAnsi="Calibri"/>
          <w:b/>
          <w:i w:val="0"/>
          <w:color w:val="156082"/>
          <w:sz w:val="21"/>
        </w:rPr>
        <w:t>What the twin is for.</w:t>
      </w:r>
      <w:r>
        <w:rPr>
          <w:rFonts w:ascii="Calibri" w:hAnsi="Calibri"/>
          <w:b w:val="0"/>
          <w:i w:val="0"/>
          <w:color w:val="222222"/>
          <w:sz w:val="21"/>
        </w:rPr>
        <w:t xml:space="preserve"> It lets us test scenarios that are expensive or impractical to try at the bench. How many electrodes, and how much recording time, do you need to detect an effect? What happens to the readout if axonal projections become twice as directional? And, most fundamentally, is the metric you are tracking even capable of answering your question?</w:t>
      </w:r>
    </w:p>
    <w:p>
      <w:pPr>
        <w:spacing w:after="120"/>
      </w:pPr>
      <w:r>
        <w:rPr>
          <w:rFonts w:ascii="Calibri" w:hAnsi="Calibri"/>
          <w:b/>
          <w:i w:val="0"/>
          <w:color w:val="156082"/>
          <w:sz w:val="21"/>
        </w:rPr>
        <w:t>What calibration means here.</w:t>
      </w:r>
      <w:r>
        <w:rPr>
          <w:rFonts w:ascii="Calibri" w:hAnsi="Calibri"/>
          <w:b w:val="0"/>
          <w:i w:val="0"/>
          <w:color w:val="222222"/>
          <w:sz w:val="21"/>
        </w:rPr>
        <w:t xml:space="preserve"> We are not fitting the twin to reproduce one culture — that would simply be overfitting to that culture. Instead, we ask it to land inside the interquartile band of 48 real chamber baselines from rat two-chamber devices. In other words, we want it to be an unremarkable member of the population, not a copy of one member.</w:t>
      </w:r>
    </w:p>
    <w:p>
      <w:pPr>
        <w:keepNext/>
        <w:spacing w:before="240" w:after="60"/>
      </w:pPr>
      <w:r>
        <w:rPr>
          <w:rFonts w:ascii="Calibri" w:hAnsi="Calibri"/>
          <w:b/>
          <w:i w:val="0"/>
          <w:color w:val="1F4E79"/>
          <w:sz w:val="23"/>
        </w:rPr>
        <w:t>13. Calibration</w:t>
      </w:r>
    </w:p>
    <w:p>
      <w:pPr>
        <w:keepNext/>
        <w:spacing w:after="120"/>
      </w:pPr>
      <w:r>
        <w:rPr>
          <w:rFonts w:ascii="Calibri" w:hAnsi="Calibri"/>
          <w:b w:val="0"/>
          <w:i w:val="0"/>
          <w:color w:val="222222"/>
          <w:sz w:val="21"/>
        </w:rPr>
        <w:t>We ran a random search over 9 parameters, scoring each candidate on 2 network seeds across 160 draws. None of the chosen values sits on the edge of the range it was drawn from, so the optimum is genuinely inside the search space rather than clipped at a boundary.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23"/>
        <w:gridCol w:w="1534"/>
        <w:gridCol w:w="1148"/>
        <w:gridCol w:w="1691"/>
      </w:tblGrid>
      <w:tr>
        <w:trPr>
          <w:cantSplit/>
          <w:tblHeader/>
        </w:trPr>
        <w:tc>
          <w:tcPr>
            <w:tcW w:type="dxa" w:w="4123"/>
            <w:shd w:val="clear" w:color="auto" w:fill="1F4E79"/>
            <w:vAlign w:val="center"/>
          </w:tcPr>
          <w:p>
            <w:pPr>
              <w:keepNext/>
              <w:spacing w:after="0"/>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simulated twin value</w:t>
            </w:r>
          </w:p>
        </w:tc>
        <w:tc>
          <w:tcPr>
            <w:tcW w:type="dxa" w:w="1148"/>
            <w:shd w:val="clear" w:color="auto" w:fill="1F4E79"/>
            <w:vAlign w:val="center"/>
          </w:tcPr>
          <w:p>
            <w:pPr>
              <w:keepNext/>
              <w:spacing w:after="0"/>
            </w:pPr>
            <w:r>
              <w:rPr>
                <w:rFonts w:ascii="Calibri" w:hAnsi="Calibri"/>
                <w:b/>
                <w:i w:val="0"/>
                <w:color w:val="FFFFFF"/>
                <w:sz w:val="20"/>
              </w:rPr>
              <w:t>real band (IQR)</w:t>
            </w:r>
          </w:p>
        </w:tc>
        <w:tc>
          <w:tcPr>
            <w:tcW w:type="dxa" w:w="1691"/>
            <w:shd w:val="clear" w:color="auto" w:fill="1F4E79"/>
            <w:vAlign w:val="center"/>
          </w:tcPr>
          <w:p>
            <w:pPr>
              <w:keepNext/>
              <w:spacing w:after="0"/>
            </w:pPr>
            <w:r>
              <w:rPr>
                <w:rFonts w:ascii="Calibri" w:hAnsi="Calibri"/>
                <w:b/>
                <w:i w:val="0"/>
                <w:color w:val="FFFFFF"/>
                <w:sz w:val="20"/>
              </w:rPr>
              <w:t>calibration result</w:t>
            </w:r>
          </w:p>
        </w:tc>
      </w:tr>
      <w:tr>
        <w:trPr>
          <w:cantSplit/>
        </w:trPr>
        <w:tc>
          <w:tcPr>
            <w:tcW w:type="dxa" w:w="4123"/>
            <w:shd w:val="clear" w:color="auto" w:fill="FFFFFF"/>
            <w:vAlign w:val="center"/>
          </w:tcPr>
          <w:p>
            <w:pPr>
              <w:keepNext/>
              <w:spacing w:after="0"/>
            </w:pPr>
            <w:r>
              <w:rPr>
                <w:rFonts w:ascii="Consolas" w:hAnsi="Consolas"/>
                <w:b/>
                <w:i w:val="0"/>
                <w:color w:val="222222"/>
                <w:sz w:val="18"/>
              </w:rPr>
              <w:t>synchrony_index</w:t>
            </w:r>
            <w:r>
              <w:rPr>
                <w:rFonts w:ascii="Calibri" w:hAnsi="Calibri"/>
                <w:b/>
                <w:i w:val="0"/>
                <w:color w:val="222222"/>
                <w:sz w:val="20"/>
              </w:rPr>
              <w:t xml:space="preserve"> (STTC)</w:t>
            </w:r>
          </w:p>
        </w:tc>
        <w:tc>
          <w:tcPr>
            <w:tcW w:type="dxa" w:w="1534"/>
            <w:shd w:val="clear" w:color="auto" w:fill="FFFFFF"/>
            <w:vAlign w:val="center"/>
          </w:tcPr>
          <w:p>
            <w:pPr>
              <w:keepNext/>
              <w:spacing w:after="0"/>
              <w:jc w:val="center"/>
            </w:pPr>
            <w:r>
              <w:rPr>
                <w:rFonts w:ascii="Calibri" w:hAnsi="Calibri"/>
                <w:b w:val="0"/>
                <w:i w:val="0"/>
                <w:color w:val="222222"/>
                <w:sz w:val="20"/>
              </w:rPr>
              <w:t>0.8387</w:t>
            </w:r>
          </w:p>
        </w:tc>
        <w:tc>
          <w:tcPr>
            <w:tcW w:type="dxa" w:w="1148"/>
            <w:shd w:val="clear" w:color="auto" w:fill="FFFFFF"/>
            <w:vAlign w:val="center"/>
          </w:tcPr>
          <w:p>
            <w:pPr>
              <w:keepNext/>
              <w:spacing w:after="0"/>
            </w:pPr>
            <w:r>
              <w:rPr>
                <w:rFonts w:ascii="Calibri" w:hAnsi="Calibri"/>
                <w:b w:val="0"/>
                <w:i w:val="0"/>
                <w:color w:val="222222"/>
                <w:sz w:val="20"/>
              </w:rPr>
              <w:t>0.678 to 0.843</w:t>
            </w:r>
          </w:p>
        </w:tc>
        <w:tc>
          <w:tcPr>
            <w:tcW w:type="dxa" w:w="1691"/>
            <w:shd w:val="clear" w:color="auto" w:fill="FFFFFF"/>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7F9FB"/>
            <w:vAlign w:val="center"/>
          </w:tcPr>
          <w:p>
            <w:pPr>
              <w:keepNext/>
              <w:spacing w:after="0"/>
            </w:pPr>
            <w:r>
              <w:rPr>
                <w:rFonts w:ascii="Consolas" w:hAnsi="Consolas"/>
                <w:b/>
                <w:i w:val="0"/>
                <w:color w:val="222222"/>
                <w:sz w:val="18"/>
              </w:rPr>
              <w:t>burst_rate_per_min</w:t>
            </w:r>
          </w:p>
        </w:tc>
        <w:tc>
          <w:tcPr>
            <w:tcW w:type="dxa" w:w="1534"/>
            <w:shd w:val="clear" w:color="auto" w:fill="F7F9FB"/>
            <w:vAlign w:val="center"/>
          </w:tcPr>
          <w:p>
            <w:pPr>
              <w:keepNext/>
              <w:spacing w:after="0"/>
              <w:jc w:val="center"/>
            </w:pPr>
            <w:r>
              <w:rPr>
                <w:rFonts w:ascii="Calibri" w:hAnsi="Calibri"/>
                <w:b w:val="0"/>
                <w:i w:val="0"/>
                <w:color w:val="222222"/>
                <w:sz w:val="20"/>
              </w:rPr>
              <w:t>22.9219</w:t>
            </w:r>
          </w:p>
        </w:tc>
        <w:tc>
          <w:tcPr>
            <w:tcW w:type="dxa" w:w="1148"/>
            <w:shd w:val="clear" w:color="auto" w:fill="F7F9FB"/>
            <w:vAlign w:val="center"/>
          </w:tcPr>
          <w:p>
            <w:pPr>
              <w:keepNext/>
              <w:spacing w:after="0"/>
            </w:pPr>
            <w:r>
              <w:rPr>
                <w:rFonts w:ascii="Calibri" w:hAnsi="Calibri"/>
                <w:b w:val="0"/>
                <w:i w:val="0"/>
                <w:color w:val="222222"/>
                <w:sz w:val="20"/>
              </w:rPr>
              <w:t>12.627 to 29.726</w:t>
            </w:r>
          </w:p>
        </w:tc>
        <w:tc>
          <w:tcPr>
            <w:tcW w:type="dxa" w:w="1691"/>
            <w:shd w:val="clear" w:color="auto" w:fill="F7F9FB"/>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FFFFF"/>
            <w:vAlign w:val="center"/>
          </w:tcPr>
          <w:p>
            <w:pPr>
              <w:keepNext/>
              <w:spacing w:after="0"/>
            </w:pPr>
            <w:r>
              <w:rPr>
                <w:rFonts w:ascii="Consolas" w:hAnsi="Consolas"/>
                <w:b/>
                <w:i w:val="0"/>
                <w:color w:val="222222"/>
                <w:sz w:val="18"/>
              </w:rPr>
              <w:t>network_burst_rate_per_min</w:t>
            </w:r>
          </w:p>
        </w:tc>
        <w:tc>
          <w:tcPr>
            <w:tcW w:type="dxa" w:w="1534"/>
            <w:shd w:val="clear" w:color="auto" w:fill="FFFFFF"/>
            <w:vAlign w:val="center"/>
          </w:tcPr>
          <w:p>
            <w:pPr>
              <w:keepNext/>
              <w:spacing w:after="0"/>
              <w:jc w:val="center"/>
            </w:pPr>
            <w:r>
              <w:rPr>
                <w:rFonts w:ascii="Calibri" w:hAnsi="Calibri"/>
                <w:b w:val="0"/>
                <w:i w:val="0"/>
                <w:color w:val="222222"/>
                <w:sz w:val="20"/>
              </w:rPr>
              <w:t>24.0</w:t>
            </w:r>
          </w:p>
        </w:tc>
        <w:tc>
          <w:tcPr>
            <w:tcW w:type="dxa" w:w="1148"/>
            <w:shd w:val="clear" w:color="auto" w:fill="FFFFFF"/>
            <w:vAlign w:val="center"/>
          </w:tcPr>
          <w:p>
            <w:pPr>
              <w:keepNext/>
              <w:spacing w:after="0"/>
            </w:pPr>
            <w:r>
              <w:rPr>
                <w:rFonts w:ascii="Calibri" w:hAnsi="Calibri"/>
                <w:b w:val="0"/>
                <w:i w:val="0"/>
                <w:color w:val="222222"/>
                <w:sz w:val="20"/>
              </w:rPr>
              <w:t>11.692 to 22.697</w:t>
            </w:r>
          </w:p>
        </w:tc>
        <w:tc>
          <w:tcPr>
            <w:tcW w:type="dxa" w:w="1691"/>
            <w:shd w:val="clear" w:color="auto" w:fill="FFFFFF"/>
            <w:vAlign w:val="center"/>
          </w:tcPr>
          <w:p>
            <w:pPr>
              <w:keepNext/>
              <w:spacing w:after="0"/>
            </w:pPr>
            <w:r>
              <w:rPr>
                <w:rFonts w:ascii="Calibri" w:hAnsi="Calibri"/>
                <w:b w:val="0"/>
                <w:i w:val="0"/>
                <w:color w:val="222222"/>
                <w:sz w:val="20"/>
              </w:rPr>
              <w:t>minor overshoot</w:t>
            </w:r>
          </w:p>
        </w:tc>
      </w:tr>
      <w:tr>
        <w:trPr>
          <w:cantSplit/>
        </w:trPr>
        <w:tc>
          <w:tcPr>
            <w:tcW w:type="dxa" w:w="4123"/>
            <w:shd w:val="clear" w:color="auto" w:fill="F7F9FB"/>
            <w:vAlign w:val="center"/>
          </w:tcPr>
          <w:p>
            <w:pPr>
              <w:keepNext/>
              <w:spacing w:after="0"/>
            </w:pPr>
            <w:r>
              <w:rPr>
                <w:rFonts w:ascii="Consolas" w:hAnsi="Consolas"/>
                <w:b/>
                <w:i w:val="0"/>
                <w:color w:val="222222"/>
                <w:sz w:val="18"/>
              </w:rPr>
              <w:t>mfr_hz</w:t>
            </w:r>
          </w:p>
        </w:tc>
        <w:tc>
          <w:tcPr>
            <w:tcW w:type="dxa" w:w="1534"/>
            <w:shd w:val="clear" w:color="auto" w:fill="F7F9FB"/>
            <w:vAlign w:val="center"/>
          </w:tcPr>
          <w:p>
            <w:pPr>
              <w:keepNext/>
              <w:spacing w:after="0"/>
              <w:jc w:val="center"/>
            </w:pPr>
            <w:r>
              <w:rPr>
                <w:rFonts w:ascii="Calibri" w:hAnsi="Calibri"/>
                <w:b w:val="0"/>
                <w:i w:val="0"/>
                <w:color w:val="222222"/>
                <w:sz w:val="20"/>
              </w:rPr>
              <w:t>5.9862</w:t>
            </w:r>
          </w:p>
        </w:tc>
        <w:tc>
          <w:tcPr>
            <w:tcW w:type="dxa" w:w="1148"/>
            <w:shd w:val="clear" w:color="auto" w:fill="F7F9FB"/>
            <w:vAlign w:val="center"/>
          </w:tcPr>
          <w:p>
            <w:pPr>
              <w:keepNext/>
              <w:spacing w:after="0"/>
            </w:pPr>
            <w:r>
              <w:rPr>
                <w:rFonts w:ascii="Calibri" w:hAnsi="Calibri"/>
                <w:b w:val="0"/>
                <w:i w:val="0"/>
                <w:color w:val="222222"/>
                <w:sz w:val="20"/>
              </w:rPr>
              <w:t>6.793 to 21.007</w:t>
            </w:r>
          </w:p>
        </w:tc>
        <w:tc>
          <w:tcPr>
            <w:tcW w:type="dxa" w:w="1691"/>
            <w:shd w:val="clear" w:color="auto" w:fill="F7F9FB"/>
            <w:vAlign w:val="center"/>
          </w:tcPr>
          <w:p>
            <w:pPr>
              <w:keepNext/>
              <w:spacing w:after="0"/>
            </w:pPr>
            <w:r>
              <w:rPr>
                <w:rFonts w:ascii="Calibri" w:hAnsi="Calibri"/>
                <w:b w:val="0"/>
                <w:i w:val="0"/>
                <w:color w:val="222222"/>
                <w:sz w:val="20"/>
              </w:rPr>
              <w:t>minor undershoot</w:t>
            </w:r>
          </w:p>
        </w:tc>
      </w:tr>
      <w:tr>
        <w:trPr>
          <w:cantSplit/>
        </w:trPr>
        <w:tc>
          <w:tcPr>
            <w:tcW w:type="dxa" w:w="4123"/>
            <w:shd w:val="clear" w:color="auto" w:fill="FFFFFF"/>
            <w:vAlign w:val="center"/>
          </w:tcPr>
          <w:p>
            <w:pPr>
              <w:keepNext w:val="0"/>
              <w:spacing w:after="0"/>
            </w:pPr>
            <w:r>
              <w:rPr>
                <w:rFonts w:ascii="Consolas" w:hAnsi="Consolas"/>
                <w:b/>
                <w:i w:val="0"/>
                <w:color w:val="222222"/>
                <w:sz w:val="18"/>
              </w:rPr>
              <w:t>pct_spikes_in_bursts</w:t>
            </w:r>
          </w:p>
        </w:tc>
        <w:tc>
          <w:tcPr>
            <w:tcW w:type="dxa" w:w="1534"/>
            <w:shd w:val="clear" w:color="auto" w:fill="FFFFFF"/>
            <w:vAlign w:val="center"/>
          </w:tcPr>
          <w:p>
            <w:pPr>
              <w:keepNext w:val="0"/>
              <w:spacing w:after="0"/>
              <w:jc w:val="center"/>
            </w:pPr>
            <w:r>
              <w:rPr>
                <w:rFonts w:ascii="Calibri" w:hAnsi="Calibri"/>
                <w:b w:val="0"/>
                <w:i w:val="0"/>
                <w:color w:val="222222"/>
                <w:sz w:val="20"/>
              </w:rPr>
              <w:t>83.8409</w:t>
            </w:r>
          </w:p>
        </w:tc>
        <w:tc>
          <w:tcPr>
            <w:tcW w:type="dxa" w:w="1148"/>
            <w:shd w:val="clear" w:color="auto" w:fill="FFFFFF"/>
            <w:vAlign w:val="center"/>
          </w:tcPr>
          <w:p>
            <w:pPr>
              <w:keepNext w:val="0"/>
              <w:spacing w:after="0"/>
            </w:pPr>
            <w:r>
              <w:rPr>
                <w:rFonts w:ascii="Calibri" w:hAnsi="Calibri"/>
                <w:b w:val="0"/>
                <w:i w:val="0"/>
                <w:color w:val="222222"/>
                <w:sz w:val="20"/>
              </w:rPr>
              <w:t>84.657 to 93.685</w:t>
            </w:r>
          </w:p>
        </w:tc>
        <w:tc>
          <w:tcPr>
            <w:tcW w:type="dxa" w:w="1691"/>
            <w:shd w:val="clear" w:color="auto" w:fill="FFFFFF"/>
            <w:vAlign w:val="center"/>
          </w:tcPr>
          <w:p>
            <w:pPr>
              <w:keepNext w:val="0"/>
              <w:spacing w:after="0"/>
            </w:pPr>
            <w:r>
              <w:rPr>
                <w:rFonts w:ascii="Calibri" w:hAnsi="Calibri"/>
                <w:b w:val="0"/>
                <w:i w:val="0"/>
                <w:color w:val="222222"/>
                <w:sz w:val="20"/>
              </w:rPr>
              <w:t>near lower bound</w:t>
            </w:r>
          </w:p>
        </w:tc>
      </w:tr>
    </w:tbl>
    <w:p>
      <w:pPr>
        <w:spacing w:after="80"/>
      </w:pPr>
    </w:p>
    <w:p>
      <w:pPr>
        <w:keepNext/>
        <w:spacing w:before="120" w:after="40"/>
        <w:jc w:val="center"/>
      </w:pPr>
      <w:r>
        <w:drawing>
          <wp:inline xmlns:a="http://schemas.openxmlformats.org/drawingml/2006/main" xmlns:pic="http://schemas.openxmlformats.org/drawingml/2006/picture">
            <wp:extent cx="3129076" cy="1846833"/>
            <wp:docPr id="11" name="Picture 11"/>
            <wp:cNvGraphicFramePr>
              <a:graphicFrameLocks noChangeAspect="1"/>
            </wp:cNvGraphicFramePr>
            <a:graphic>
              <a:graphicData uri="http://schemas.openxmlformats.org/drawingml/2006/picture">
                <pic:pic>
                  <pic:nvPicPr>
                    <pic:cNvPr id="0" name="hd12_calibration_simulated.png"/>
                    <pic:cNvPicPr/>
                  </pic:nvPicPr>
                  <pic:blipFill>
                    <a:blip r:embed="rId23"/>
                    <a:stretch>
                      <a:fillRect/>
                    </a:stretch>
                  </pic:blipFill>
                  <pic:spPr>
                    <a:xfrm>
                      <a:off x="0" y="0"/>
                      <a:ext cx="3129076" cy="1846833"/>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SIMULATED against REAL: the calibrated twin's baseline features against the real baseline band from rat two-chamber devices.</w:t>
      </w:r>
    </w:p>
    <w:p>
      <w:pPr>
        <w:spacing w:after="120"/>
      </w:pPr>
      <w:r>
        <w:rPr>
          <w:rFonts w:ascii="Calibri" w:hAnsi="Calibri"/>
          <w:b w:val="0"/>
          <w:i w:val="0"/>
          <w:color w:val="222222"/>
          <w:sz w:val="21"/>
        </w:rPr>
        <w:t>Getting to this table took us longer than anything else, and the story is a warning for anyone who simulates cultures.</w:t>
      </w:r>
    </w:p>
    <w:p>
      <w:pPr>
        <w:spacing w:after="120"/>
      </w:pPr>
      <w:r>
        <w:rPr>
          <w:rFonts w:ascii="Calibri" w:hAnsi="Calibri"/>
          <w:b w:val="0"/>
          <w:i w:val="0"/>
          <w:color w:val="222222"/>
          <w:sz w:val="21"/>
        </w:rPr>
        <w:t>For a long time the twin was far too synchronous — an STTC around 0.96 against a real band topping out at 0.84 — and it looked as if we were missing a biophysical mechanism. We tried three candidates, and none of them worked: short-term synaptic depression, varied axonal conduction delays, and distance-dependent wiring, which actually pushed synchrony the wrong way.</w:t>
      </w:r>
    </w:p>
    <w:p>
      <w:pPr>
        <w:spacing w:after="120"/>
      </w:pPr>
      <w:r>
        <w:rPr>
          <w:rFonts w:ascii="Calibri" w:hAnsi="Calibri"/>
          <w:b/>
          <w:i w:val="0"/>
          <w:color w:val="156082"/>
          <w:sz w:val="21"/>
        </w:rPr>
        <w:t>The real cause was not biophysics; it was cell density and electrode geometry.</w:t>
      </w:r>
      <w:r>
        <w:rPr>
          <w:rFonts w:ascii="Calibri" w:hAnsi="Calibri"/>
          <w:b w:val="0"/>
          <w:i w:val="0"/>
          <w:color w:val="222222"/>
          <w:sz w:val="21"/>
        </w:rPr>
        <w:t xml:space="preserve"> Our simulated chamber held 250 neurons in 1.92 mm², about 130 neurons/mm², whereas a real dissociated culture runs roughly 1000 to 3000. On top of that, we had let the electrode's listening radius grow larger than the spacing between electrodes. The oversized electrode compensated for the sparse culture in two ways at once: it pooled enough neurons to produce a plausible firing rate, and, because neighboring listening areas overlapped, it counted one neuron's spikes on several electrodes — which inflates pairwise synchrony by construction, with no biology involved. Once we fixed the density at 967 neurons per compartment and imposed one geometric rule, synchrony landed inside the real band for the first time:</w:t>
      </w:r>
    </w:p>
    <w:p>
      <w:pPr>
        <w:spacing w:after="120"/>
      </w:pPr>
      <w:r>
        <w:rPr>
          <w:rFonts w:ascii="Calibri" w:hAnsi="Calibri"/>
          <w:b/>
          <w:i w:val="0"/>
          <w:color w:val="156082"/>
          <w:sz w:val="21"/>
        </w:rPr>
        <w:t>An electrode's listening radius may not exceed half the electrode pitch, r ≤ p/2.</w:t>
      </w:r>
    </w:p>
    <w:p>
      <w:pPr>
        <w:spacing w:after="120"/>
      </w:pPr>
      <w:r>
        <w:rPr>
          <w:rFonts w:ascii="Calibri" w:hAnsi="Calibri"/>
          <w:b w:val="0"/>
          <w:i w:val="0"/>
          <w:color w:val="222222"/>
          <w:sz w:val="21"/>
        </w:rPr>
        <w:t>On our 200 µm grid, that rule guarantees that no neuron is heard by two electrodes. The calibrated radius settled at 92.5135 µm, inside the cap. The rule carries over to physical arrays: if an electrode's catchment exceeds half the pitch, expect synchrony to read high for reasons that have nothing to do with the culture.</w:t>
      </w:r>
    </w:p>
    <w:p>
      <w:pPr>
        <w:spacing w:after="120"/>
      </w:pPr>
      <w:r>
        <w:rPr>
          <w:rFonts w:ascii="Calibri" w:hAnsi="Calibri"/>
          <w:b/>
          <w:i w:val="0"/>
          <w:color w:val="156082"/>
          <w:sz w:val="21"/>
        </w:rPr>
        <w:t>Out-of-sample trust.</w:t>
      </w:r>
      <w:r>
        <w:rPr>
          <w:rFonts w:ascii="Calibri" w:hAnsi="Calibri"/>
          <w:b w:val="0"/>
          <w:i w:val="0"/>
          <w:color w:val="222222"/>
          <w:sz w:val="21"/>
        </w:rPr>
        <w:t xml:space="preserve"> The winning parameter set reached a loss of 0.0756 on its selection seeds. On 5 seeds the search never saw, it scores 0.1994, with synchrony holding at 0.7732 ± 0.0685 and inside the band on 60% of seeds. Just like a real culture, the twin varies enough from run to run that a single simulated recording can fall outside the band.</w:t>
      </w:r>
    </w:p>
    <w:p>
      <w:pPr>
        <w:keepNext/>
        <w:spacing w:before="240" w:after="60"/>
      </w:pPr>
      <w:r>
        <w:rPr>
          <w:rFonts w:ascii="Calibri" w:hAnsi="Calibri"/>
          <w:b/>
          <w:i w:val="0"/>
          <w:color w:val="1F4E79"/>
          <w:sz w:val="23"/>
        </w:rPr>
        <w:t>14. Drug knobs: does the twin respond like a culture?</w:t>
      </w:r>
    </w:p>
    <w:p>
      <w:pPr>
        <w:keepNext/>
        <w:spacing w:after="120"/>
      </w:pPr>
      <w:r>
        <w:rPr>
          <w:rFonts w:ascii="Calibri" w:hAnsi="Calibri"/>
          <w:b w:val="0"/>
          <w:i w:val="0"/>
          <w:color w:val="222222"/>
          <w:sz w:val="21"/>
        </w:rPr>
        <w:t>The twin has three pharmacological knobs: it can scale inhibitory transmission (</w:t>
      </w:r>
      <w:r>
        <w:rPr>
          <w:rFonts w:ascii="Consolas" w:hAnsi="Consolas"/>
          <w:b w:val="0"/>
          <w:i w:val="0"/>
          <w:color w:val="222222"/>
          <w:sz w:val="19"/>
        </w:rPr>
        <w:t>gabaa_scale</w:t>
      </w:r>
      <w:r>
        <w:rPr>
          <w:rFonts w:ascii="Calibri" w:hAnsi="Calibri"/>
          <w:b w:val="0"/>
          <w:i w:val="0"/>
          <w:color w:val="222222"/>
          <w:sz w:val="21"/>
        </w:rPr>
        <w:t>), scale excitatory transmission (</w:t>
      </w:r>
      <w:r>
        <w:rPr>
          <w:rFonts w:ascii="Consolas" w:hAnsi="Consolas"/>
          <w:b w:val="0"/>
          <w:i w:val="0"/>
          <w:color w:val="222222"/>
          <w:sz w:val="19"/>
        </w:rPr>
        <w:t>ampa_scale</w:t>
      </w:r>
      <w:r>
        <w:rPr>
          <w:rFonts w:ascii="Calibri" w:hAnsi="Calibri"/>
          <w:b w:val="0"/>
          <w:i w:val="0"/>
          <w:color w:val="222222"/>
          <w:sz w:val="21"/>
        </w:rPr>
        <w:t>), or raise the spike threshold (</w:t>
      </w:r>
      <w:r>
        <w:rPr>
          <w:rFonts w:ascii="Consolas" w:hAnsi="Consolas"/>
          <w:b w:val="0"/>
          <w:i w:val="0"/>
          <w:color w:val="222222"/>
          <w:sz w:val="19"/>
        </w:rPr>
        <w:t>threshold_scale</w:t>
      </w:r>
      <w:r>
        <w:rPr>
          <w:rFonts w:ascii="Calibri" w:hAnsi="Calibri"/>
          <w:b w:val="0"/>
          <w:i w:val="0"/>
          <w:color w:val="222222"/>
          <w:sz w:val="21"/>
        </w:rPr>
        <w:t>). We tested directional validity — does each knob move each feature in the right direction? — and we only scored features whose real direction is established by a cluster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72"/>
        <w:gridCol w:w="2762"/>
        <w:gridCol w:w="2762"/>
      </w:tblGrid>
      <w:tr>
        <w:trPr>
          <w:cantSplit/>
          <w:tblHeader/>
        </w:trPr>
        <w:tc>
          <w:tcPr>
            <w:tcW w:type="dxa" w:w="2972"/>
            <w:shd w:val="clear" w:color="auto" w:fill="1F4E79"/>
            <w:vAlign w:val="center"/>
          </w:tcPr>
          <w:p>
            <w:pPr>
              <w:keepNext/>
              <w:spacing w:after="0"/>
            </w:pPr>
            <w:r>
              <w:rPr>
                <w:rFonts w:ascii="Calibri" w:hAnsi="Calibri"/>
                <w:b/>
                <w:i w:val="0"/>
                <w:color w:val="FFFFFF"/>
                <w:sz w:val="20"/>
              </w:rPr>
              <w:t>pharmacological knob</w:t>
            </w:r>
          </w:p>
        </w:tc>
        <w:tc>
          <w:tcPr>
            <w:tcW w:type="dxa" w:w="2762"/>
            <w:shd w:val="clear" w:color="auto" w:fill="1F4E79"/>
            <w:vAlign w:val="center"/>
          </w:tcPr>
          <w:p>
            <w:pPr>
              <w:keepNext/>
              <w:spacing w:after="0"/>
            </w:pPr>
            <w:r>
              <w:rPr>
                <w:rFonts w:ascii="Calibri" w:hAnsi="Calibri"/>
                <w:b/>
                <w:i w:val="0"/>
                <w:color w:val="FFFFFF"/>
                <w:sz w:val="20"/>
              </w:rPr>
              <w:t>mechanistic action</w:t>
            </w:r>
          </w:p>
        </w:tc>
        <w:tc>
          <w:tcPr>
            <w:tcW w:type="dxa" w:w="2762"/>
            <w:shd w:val="clear" w:color="auto" w:fill="1F4E79"/>
            <w:vAlign w:val="center"/>
          </w:tcPr>
          <w:p>
            <w:pPr>
              <w:keepNext/>
              <w:spacing w:after="0"/>
              <w:jc w:val="center"/>
            </w:pPr>
            <w:r>
              <w:rPr>
                <w:rFonts w:ascii="Calibri" w:hAnsi="Calibri"/>
                <w:b/>
                <w:i w:val="0"/>
                <w:color w:val="FFFFFF"/>
                <w:sz w:val="20"/>
              </w:rPr>
              <w:t>directional concordance</w:t>
            </w:r>
          </w:p>
        </w:tc>
      </w:tr>
      <w:tr>
        <w:trPr>
          <w:cantSplit/>
        </w:trPr>
        <w:tc>
          <w:tcPr>
            <w:tcW w:type="dxa" w:w="2972"/>
            <w:shd w:val="clear" w:color="auto" w:fill="FFFFFF"/>
            <w:vAlign w:val="center"/>
          </w:tcPr>
          <w:p>
            <w:pPr>
              <w:keepNext/>
              <w:spacing w:after="0"/>
            </w:pPr>
            <w:r>
              <w:rPr>
                <w:rFonts w:ascii="Calibri" w:hAnsi="Calibri"/>
                <w:b/>
                <w:i w:val="0"/>
                <w:color w:val="222222"/>
                <w:sz w:val="20"/>
              </w:rPr>
              <w:t>AMPA blockade</w:t>
            </w:r>
          </w:p>
        </w:tc>
        <w:tc>
          <w:tcPr>
            <w:tcW w:type="dxa" w:w="2762"/>
            <w:shd w:val="clear" w:color="auto" w:fill="FFFFFF"/>
            <w:vAlign w:val="center"/>
          </w:tcPr>
          <w:p>
            <w:pPr>
              <w:keepNext/>
              <w:spacing w:after="0"/>
            </w:pPr>
            <w:r>
              <w:rPr>
                <w:rFonts w:ascii="Calibri" w:hAnsi="Calibri"/>
                <w:b w:val="0"/>
                <w:i w:val="0"/>
                <w:color w:val="222222"/>
                <w:sz w:val="20"/>
              </w:rPr>
              <w:t>downscale excitation</w:t>
            </w:r>
          </w:p>
        </w:tc>
        <w:tc>
          <w:tcPr>
            <w:tcW w:type="dxa" w:w="2762"/>
            <w:shd w:val="clear" w:color="auto" w:fill="FFFFFF"/>
            <w:vAlign w:val="center"/>
          </w:tcPr>
          <w:p>
            <w:pPr>
              <w:keepNext/>
              <w:spacing w:after="0"/>
              <w:jc w:val="center"/>
            </w:pPr>
            <w:r>
              <w:rPr>
                <w:rFonts w:ascii="Calibri" w:hAnsi="Calibri"/>
                <w:b w:val="0"/>
                <w:i w:val="0"/>
                <w:color w:val="222222"/>
                <w:sz w:val="20"/>
              </w:rPr>
              <w:t>4 / 4</w:t>
            </w:r>
          </w:p>
        </w:tc>
      </w:tr>
      <w:tr>
        <w:trPr>
          <w:cantSplit/>
        </w:trPr>
        <w:tc>
          <w:tcPr>
            <w:tcW w:type="dxa" w:w="2972"/>
            <w:shd w:val="clear" w:color="auto" w:fill="F7F9FB"/>
            <w:vAlign w:val="center"/>
          </w:tcPr>
          <w:p>
            <w:pPr>
              <w:keepNext/>
              <w:spacing w:after="0"/>
            </w:pPr>
            <w:r>
              <w:rPr>
                <w:rFonts w:ascii="Calibri" w:hAnsi="Calibri"/>
                <w:b/>
                <w:i w:val="0"/>
                <w:color w:val="222222"/>
                <w:sz w:val="20"/>
              </w:rPr>
              <w:t>sodium-channel block</w:t>
            </w:r>
          </w:p>
        </w:tc>
        <w:tc>
          <w:tcPr>
            <w:tcW w:type="dxa" w:w="2762"/>
            <w:shd w:val="clear" w:color="auto" w:fill="F7F9FB"/>
            <w:vAlign w:val="center"/>
          </w:tcPr>
          <w:p>
            <w:pPr>
              <w:keepNext/>
              <w:spacing w:after="0"/>
            </w:pPr>
            <w:r>
              <w:rPr>
                <w:rFonts w:ascii="Calibri" w:hAnsi="Calibri"/>
                <w:b w:val="0"/>
                <w:i w:val="0"/>
                <w:color w:val="222222"/>
                <w:sz w:val="20"/>
              </w:rPr>
              <w:t>elevate spike threshold</w:t>
            </w:r>
          </w:p>
        </w:tc>
        <w:tc>
          <w:tcPr>
            <w:tcW w:type="dxa" w:w="2762"/>
            <w:shd w:val="clear" w:color="auto" w:fill="F7F9FB"/>
            <w:vAlign w:val="center"/>
          </w:tcPr>
          <w:p>
            <w:pPr>
              <w:keepNext/>
              <w:spacing w:after="0"/>
              <w:jc w:val="center"/>
            </w:pPr>
            <w:r>
              <w:rPr>
                <w:rFonts w:ascii="Calibri" w:hAnsi="Calibri"/>
                <w:b w:val="0"/>
                <w:i w:val="0"/>
                <w:color w:val="222222"/>
                <w:sz w:val="20"/>
              </w:rPr>
              <w:t>3 / 3</w:t>
            </w:r>
          </w:p>
        </w:tc>
      </w:tr>
      <w:tr>
        <w:trPr>
          <w:cantSplit/>
        </w:trPr>
        <w:tc>
          <w:tcPr>
            <w:tcW w:type="dxa" w:w="2972"/>
            <w:shd w:val="clear" w:color="auto" w:fill="FFFFFF"/>
            <w:vAlign w:val="center"/>
          </w:tcPr>
          <w:p>
            <w:pPr>
              <w:keepNext/>
              <w:spacing w:after="0"/>
            </w:pPr>
            <w:r>
              <w:rPr>
                <w:rFonts w:ascii="Calibri" w:hAnsi="Calibri"/>
                <w:b/>
                <w:i w:val="0"/>
                <w:color w:val="222222"/>
                <w:sz w:val="20"/>
              </w:rPr>
              <w:t>GABA-A antagonism</w:t>
            </w:r>
          </w:p>
        </w:tc>
        <w:tc>
          <w:tcPr>
            <w:tcW w:type="dxa" w:w="2762"/>
            <w:shd w:val="clear" w:color="auto" w:fill="FFFFFF"/>
            <w:vAlign w:val="center"/>
          </w:tcPr>
          <w:p>
            <w:pPr>
              <w:keepNext/>
              <w:spacing w:after="0"/>
            </w:pPr>
            <w:r>
              <w:rPr>
                <w:rFonts w:ascii="Calibri" w:hAnsi="Calibri"/>
                <w:b w:val="0"/>
                <w:i w:val="0"/>
                <w:color w:val="222222"/>
                <w:sz w:val="20"/>
              </w:rPr>
              <w:t>downscale inhibition</w:t>
            </w:r>
          </w:p>
        </w:tc>
        <w:tc>
          <w:tcPr>
            <w:tcW w:type="dxa" w:w="2762"/>
            <w:shd w:val="clear" w:color="auto" w:fill="FFFFFF"/>
            <w:vAlign w:val="center"/>
          </w:tcPr>
          <w:p>
            <w:pPr>
              <w:keepNext/>
              <w:spacing w:after="0"/>
              <w:jc w:val="center"/>
            </w:pPr>
            <w:r>
              <w:rPr>
                <w:rFonts w:ascii="Calibri" w:hAnsi="Calibri"/>
                <w:b w:val="0"/>
                <w:i w:val="0"/>
                <w:color w:val="222222"/>
                <w:sz w:val="20"/>
              </w:rPr>
              <w:t>4 / 5</w:t>
            </w:r>
          </w:p>
        </w:tc>
      </w:tr>
      <w:tr>
        <w:trPr>
          <w:cantSplit/>
        </w:trPr>
        <w:tc>
          <w:tcPr>
            <w:tcW w:type="dxa" w:w="2972"/>
            <w:shd w:val="clear" w:color="auto" w:fill="F7F9FB"/>
            <w:vAlign w:val="center"/>
          </w:tcPr>
          <w:p>
            <w:pPr>
              <w:keepNext w:val="0"/>
              <w:spacing w:after="0"/>
            </w:pPr>
            <w:r>
              <w:rPr>
                <w:rFonts w:ascii="Calibri" w:hAnsi="Calibri"/>
                <w:b/>
                <w:i w:val="0"/>
                <w:color w:val="222222"/>
                <w:sz w:val="20"/>
              </w:rPr>
              <w:t>GABA-A potentiation</w:t>
            </w:r>
          </w:p>
        </w:tc>
        <w:tc>
          <w:tcPr>
            <w:tcW w:type="dxa" w:w="2762"/>
            <w:shd w:val="clear" w:color="auto" w:fill="F7F9FB"/>
            <w:vAlign w:val="center"/>
          </w:tcPr>
          <w:p>
            <w:pPr>
              <w:keepNext w:val="0"/>
              <w:spacing w:after="0"/>
            </w:pPr>
            <w:r>
              <w:rPr>
                <w:rFonts w:ascii="Calibri" w:hAnsi="Calibri"/>
                <w:b w:val="0"/>
                <w:i w:val="0"/>
                <w:color w:val="222222"/>
                <w:sz w:val="20"/>
              </w:rPr>
              <w:t>upscale inhibition</w:t>
            </w:r>
          </w:p>
        </w:tc>
        <w:tc>
          <w:tcPr>
            <w:tcW w:type="dxa" w:w="2762"/>
            <w:shd w:val="clear" w:color="auto" w:fill="F7F9FB"/>
            <w:vAlign w:val="center"/>
          </w:tcPr>
          <w:p>
            <w:pPr>
              <w:keepNext w:val="0"/>
              <w:spacing w:after="0"/>
              <w:jc w:val="center"/>
            </w:pPr>
            <w:r>
              <w:rPr>
                <w:rFonts w:ascii="Calibri" w:hAnsi="Calibri"/>
                <w:b w:val="0"/>
                <w:i w:val="0"/>
                <w:color w:val="222222"/>
                <w:sz w:val="20"/>
              </w:rPr>
              <w:t>1 / 4</w:t>
            </w:r>
          </w:p>
        </w:tc>
      </w:tr>
    </w:tbl>
    <w:p>
      <w:pPr>
        <w:spacing w:after="80"/>
      </w:pPr>
    </w:p>
    <w:p>
      <w:pPr>
        <w:keepNext/>
        <w:spacing w:before="120" w:after="40"/>
        <w:jc w:val="center"/>
      </w:pPr>
      <w:r>
        <w:drawing>
          <wp:inline xmlns:a="http://schemas.openxmlformats.org/drawingml/2006/main" xmlns:pic="http://schemas.openxmlformats.org/drawingml/2006/picture">
            <wp:extent cx="3183026" cy="1570780"/>
            <wp:docPr id="12" name="Picture 12"/>
            <wp:cNvGraphicFramePr>
              <a:graphicFrameLocks noChangeAspect="1"/>
            </wp:cNvGraphicFramePr>
            <a:graphic>
              <a:graphicData uri="http://schemas.openxmlformats.org/drawingml/2006/picture">
                <pic:pic>
                  <pic:nvPicPr>
                    <pic:cNvPr id="0" name="hd13_drug_knob_validation_simulated.png"/>
                    <pic:cNvPicPr/>
                  </pic:nvPicPr>
                  <pic:blipFill>
                    <a:blip r:embed="rId24"/>
                    <a:stretch>
                      <a:fillRect/>
                    </a:stretch>
                  </pic:blipFill>
                  <pic:spPr>
                    <a:xfrm>
                      <a:off x="0" y="0"/>
                      <a:ext cx="3183026" cy="157078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SIMULATED drug knobs against REAL pharmacology directions, per feature. Only features whose real direction is established by a cluster bootstrap are scored.</w:t>
      </w:r>
    </w:p>
    <w:p>
      <w:pPr>
        <w:spacing w:after="120"/>
      </w:pPr>
      <w:r>
        <w:rPr>
          <w:rFonts w:ascii="Calibri" w:hAnsi="Calibri"/>
          <w:b w:val="0"/>
          <w:i w:val="0"/>
          <w:color w:val="222222"/>
          <w:sz w:val="21"/>
        </w:rPr>
        <w:t>Blocking excitation and blocking sodium channels behave correctly on every scored feature. Blocking inhibition is mostly right. Potentiating inhibition is mostly wrong — and that is the knob with the weakest real reference behind it, just 17 pairs from two sources. So the twin is usable for reasoning about strong, well-evidenced perturbations, but we have not validated it for subtle allosteric modulation. On a laboratory it had never seen, the EPA's acute MEA screen, the GABA-A block and sodium-block knobs agree with the positive controls on every scored direction (§33, added after the first round).</w:t>
      </w:r>
    </w:p>
    <w:p>
      <w:pPr>
        <w:spacing w:after="120"/>
      </w:pPr>
      <w:r>
        <w:rPr>
          <w:rFonts w:ascii="Calibri" w:hAnsi="Calibri"/>
          <w:b/>
          <w:i w:val="0"/>
          <w:color w:val="156082"/>
          <w:sz w:val="21"/>
        </w:rPr>
        <w:t>The twin as a source of labelled training data (added after the first round).</w:t>
      </w:r>
      <w:r>
        <w:rPr>
          <w:rFonts w:ascii="Calibri" w:hAnsi="Calibri"/>
          <w:b w:val="0"/>
          <w:i w:val="0"/>
          <w:color w:val="222222"/>
          <w:sz w:val="21"/>
        </w:rPr>
        <w:t xml:space="preserve"> Directions are one test; recognition is a harder one. We simulated pairs for the five mechanism classes the twin has a knob for (one chip recorded twice, once with the knob moved; 30 pairs per class), trained the §5 classifier on those alone, and applied it to the 73 real Kapucu pairs. Registered before the pairs were simulated (</w:t>
      </w:r>
      <w:r>
        <w:rPr>
          <w:rFonts w:ascii="Consolas" w:hAnsi="Consolas"/>
          <w:b w:val="0"/>
          <w:i w:val="0"/>
          <w:color w:val="222222"/>
          <w:sz w:val="19"/>
        </w:rPr>
        <w:t>preregistration/twin_prior_classifier.json</w:t>
      </w:r>
      <w:r>
        <w:rPr>
          <w:rFonts w:ascii="Calibri" w:hAnsi="Calibri"/>
          <w:b w:val="0"/>
          <w:i w:val="0"/>
          <w:color w:val="222222"/>
          <w:sz w:val="21"/>
        </w:rPr>
        <w:t>), it reaches a balanced accuracy of 0.41 (95% interval 0.2808 to 0.5072, culture bootstrap) where chance is one in six, without seeing a single real label. It never recognises a sodium-channel blocker, and the reason is size, not direction: the twin's threshold range moves firing by −3.273 log2 and silences most electrodes, where the real blockers move it by −0.795 with every electrode still active. As a prior for the classifier trained on real pairs, the simulated pairs add nothing: balanced accuracy goes from 0.537 to 0.53, and the conformal sets do not shrink. Two of the three registered predictions failed. The twin can stand in for labels where there are none; where real labels exist, it does not improve on them.</w:t>
      </w:r>
    </w:p>
    <w:p>
      <w:pPr>
        <w:keepNext/>
        <w:spacing w:before="360" w:after="120"/>
      </w:pPr>
      <w:r>
        <w:rPr>
          <w:rFonts w:ascii="Calibri" w:hAnsi="Calibri"/>
          <w:b/>
          <w:i w:val="0"/>
          <w:color w:val="2F5597"/>
          <w:sz w:val="27"/>
        </w:rPr>
        <w:t>ACT IV: Inverting the twin and resolving directionality</w:t>
      </w:r>
    </w:p>
    <w:p>
      <w:pPr>
        <w:keepNext/>
        <w:spacing w:before="240" w:after="60"/>
      </w:pPr>
      <w:r>
        <w:rPr>
          <w:rFonts w:ascii="Calibri" w:hAnsi="Calibri"/>
          <w:b/>
          <w:i w:val="0"/>
          <w:color w:val="1F4E79"/>
          <w:sz w:val="23"/>
        </w:rPr>
        <w:t>15. Two-compartment devices, and a result we did not want</w:t>
      </w:r>
    </w:p>
    <w:p>
      <w:pPr>
        <w:spacing w:after="120"/>
      </w:pPr>
      <w:r>
        <w:rPr>
          <w:rFonts w:ascii="Calibri" w:hAnsi="Calibri"/>
          <w:b w:val="0"/>
          <w:i w:val="0"/>
          <w:color w:val="222222"/>
          <w:sz w:val="21"/>
        </w:rPr>
        <w:t>The twin models an asymmetric two-compartment chip — the "axon diode" idea, where microchannel geometry biases which way axons grow. Before simulating it, we asked what real devices actually show.</w:t>
      </w:r>
    </w:p>
    <w:p>
      <w:pPr>
        <w:keepNext/>
        <w:spacing w:after="120"/>
      </w:pPr>
      <w:r>
        <w:rPr>
          <w:rFonts w:ascii="Calibri" w:hAnsi="Calibri"/>
          <w:b/>
          <w:i w:val="0"/>
          <w:color w:val="156082"/>
          <w:sz w:val="21"/>
        </w:rPr>
        <w:t>Tissue identity drives asymmetry.</w:t>
      </w:r>
      <w:r>
        <w:rPr>
          <w:rFonts w:ascii="Calibri" w:hAnsi="Calibri"/>
          <w:b w:val="0"/>
          <w:i w:val="0"/>
          <w:color w:val="222222"/>
          <w:sz w:val="21"/>
        </w:rPr>
        <w:t xml:space="preserve"> Across 16 devices, we measured how asymmetric the coupling between compartments is. Devices pairing two different tissues (cortex with hippocampus) are more asymmetric, with a median of 0.138, than devices pairing a tissue with itself, median 0.094, p = 0.042. What the chambers contain matters more than the fact that they are connected.</w:t>
      </w:r>
    </w:p>
    <w:p>
      <w:pPr>
        <w:keepNext/>
        <w:spacing w:before="120" w:after="40"/>
        <w:jc w:val="center"/>
      </w:pPr>
      <w:r>
        <w:drawing>
          <wp:inline xmlns:a="http://schemas.openxmlformats.org/drawingml/2006/main" xmlns:pic="http://schemas.openxmlformats.org/drawingml/2006/picture">
            <wp:extent cx="3021177" cy="2135490"/>
            <wp:docPr id="13" name="Picture 13"/>
            <wp:cNvGraphicFramePr>
              <a:graphicFrameLocks noChangeAspect="1"/>
            </wp:cNvGraphicFramePr>
            <a:graphic>
              <a:graphicData uri="http://schemas.openxmlformats.org/drawingml/2006/picture">
                <pic:pic>
                  <pic:nvPicPr>
                    <pic:cNvPr id="0" name="compartment_lag_by_device_type.png"/>
                    <pic:cNvPicPr/>
                  </pic:nvPicPr>
                  <pic:blipFill>
                    <a:blip r:embed="rId25"/>
                    <a:stretch>
                      <a:fillRect/>
                    </a:stretch>
                  </pic:blipFill>
                  <pic:spPr>
                    <a:xfrm>
                      <a:off x="0" y="0"/>
                      <a:ext cx="3021177" cy="2135490"/>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Inter-compartment coupling lag by device type, REAL data, one value per device: five CxCx, five HpHp, six CxHp. The two same-tissue types are indistinguishable; the heterogeneous type sits apart.</w:t>
      </w:r>
    </w:p>
    <w:p>
      <w:pPr>
        <w:keepNext/>
        <w:spacing w:after="120"/>
      </w:pPr>
      <w:r>
        <w:rPr>
          <w:rFonts w:ascii="Calibri" w:hAnsi="Calibri"/>
          <w:b/>
          <w:i w:val="0"/>
          <w:color w:val="156082"/>
          <w:sz w:val="21"/>
        </w:rPr>
        <w:t>The directionality null.</w:t>
      </w:r>
      <w:r>
        <w:rPr>
          <w:rFonts w:ascii="Calibri" w:hAnsi="Calibri"/>
          <w:b w:val="0"/>
          <w:i w:val="0"/>
          <w:color w:val="222222"/>
          <w:sz w:val="21"/>
        </w:rPr>
        <w:t xml:space="preserve"> One deposit recorded axonal crossings directly inside the tunnels, on 10 cultures (Brewer 2021). That let us ask the question a chamber readout exists to answer: if you had only the chamber recordings, could you tell which way the axons were firing? Using all four chamber-level measures together — coupling asymmetry, peak correlation, lag and rate imbalance — a classifier reaches a balanced accuracy of 0.3854 against a chance of 0.5. That is worse than guessing. And it is not just a small-sample failure: with this many cultures, the analysis could have detected a balanced accuracy of 0.6438 if one had been there. We could only recover direction by instrumenting the microchannels themselves.</w:t>
      </w:r>
    </w:p>
    <w:p>
      <w:pPr>
        <w:keepNext/>
        <w:spacing w:before="120" w:after="40"/>
        <w:jc w:val="center"/>
      </w:pPr>
      <w:r>
        <w:drawing>
          <wp:inline xmlns:a="http://schemas.openxmlformats.org/drawingml/2006/main" xmlns:pic="http://schemas.openxmlformats.org/drawingml/2006/picture">
            <wp:extent cx="5394960" cy="2547620"/>
            <wp:docPr id="14" name="Picture 14"/>
            <wp:cNvGraphicFramePr>
              <a:graphicFrameLocks noChangeAspect="1"/>
            </wp:cNvGraphicFramePr>
            <a:graphic>
              <a:graphicData uri="http://schemas.openxmlformats.org/drawingml/2006/picture">
                <pic:pic>
                  <pic:nvPicPr>
                    <pic:cNvPr id="0" name="axonal_flow_vs_chamber.png"/>
                    <pic:cNvPicPr/>
                  </pic:nvPicPr>
                  <pic:blipFill>
                    <a:blip r:embed="rId26"/>
                    <a:stretch>
                      <a:fillRect/>
                    </a:stretch>
                  </pic:blipFill>
                  <pic:spPr>
                    <a:xfrm>
                      <a:off x="0" y="0"/>
                      <a:ext cx="5394960" cy="2547620"/>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Measured axonal flow against chamber-level readouts, REAL recordings. The chamber measures do not order the cultures by the direction their axons actually fired.</w:t>
      </w:r>
    </w:p>
    <w:p>
      <w:pPr>
        <w:keepNext/>
        <w:spacing w:before="240" w:after="60"/>
      </w:pPr>
      <w:r>
        <w:rPr>
          <w:rFonts w:ascii="Calibri" w:hAnsi="Calibri"/>
          <w:b/>
          <w:i w:val="0"/>
          <w:color w:val="1F4E79"/>
          <w:sz w:val="23"/>
        </w:rPr>
        <w:t>16. Running the model backwards, and what that cannot do</w:t>
      </w:r>
    </w:p>
    <w:p>
      <w:pPr>
        <w:keepNext/>
        <w:spacing w:after="120"/>
      </w:pPr>
      <w:r>
        <w:rPr>
          <w:rFonts w:ascii="Calibri" w:hAnsi="Calibri"/>
          <w:b w:val="0"/>
          <w:i w:val="0"/>
          <w:color w:val="222222"/>
          <w:sz w:val="21"/>
        </w:rPr>
        <w:t>The more ambitious use of a twin is to run it backwards: given a recording, infer which knob was turned. We did this with simulation-based inference, using a neural posterior estimator trained on 3,000 simulations at the calibrated cell density. Here the twin works as a generator of labelled data: every simulation is a training pair whose true parameters are known exactly, which no bench experiment can supply.</w:t>
      </w:r>
    </w:p>
    <w:p>
      <w:pPr>
        <w:keepNext/>
        <w:spacing w:before="120" w:after="40"/>
        <w:jc w:val="center"/>
      </w:pPr>
      <w:r>
        <w:drawing>
          <wp:inline xmlns:a="http://schemas.openxmlformats.org/drawingml/2006/main" xmlns:pic="http://schemas.openxmlformats.org/drawingml/2006/picture">
            <wp:extent cx="5394960" cy="2896019"/>
            <wp:docPr id="15" name="Picture 15"/>
            <wp:cNvGraphicFramePr>
              <a:graphicFrameLocks noChangeAspect="1"/>
            </wp:cNvGraphicFramePr>
            <a:graphic>
              <a:graphicData uri="http://schemas.openxmlformats.org/drawingml/2006/picture">
                <pic:pic>
                  <pic:nvPicPr>
                    <pic:cNvPr id="0" name="inference_network_simulated.png"/>
                    <pic:cNvPicPr/>
                  </pic:nvPicPr>
                  <pic:blipFill>
                    <a:blip r:embed="rId27"/>
                    <a:stretch>
                      <a:fillRect/>
                    </a:stretch>
                  </pic:blipFill>
                  <pic:spPr>
                    <a:xfrm>
                      <a:off x="0" y="0"/>
                      <a:ext cx="5394960" cy="2896019"/>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Running the SIMULATED twin backwards: draws from the prior are simulated and summarized as features, a neural posterior estimator learns to invert them and is then asked about a real recording. The bottom row is the honesty check applied before any posterior is quoted.</w:t>
      </w:r>
    </w:p>
    <w:p>
      <w:pPr>
        <w:spacing w:after="120"/>
      </w:pPr>
      <w:r>
        <w:rPr>
          <w:rFonts w:ascii="Calibri" w:hAnsi="Calibri"/>
          <w:b w:val="0"/>
          <w:i w:val="0"/>
          <w:color w:val="222222"/>
          <w:sz w:val="21"/>
        </w:rPr>
        <w:t xml:space="preserve">The estimator is a masked autoregressive flow, built with the </w:t>
      </w:r>
      <w:r>
        <w:rPr>
          <w:rFonts w:ascii="Consolas" w:hAnsi="Consolas"/>
          <w:b w:val="0"/>
          <w:i w:val="0"/>
          <w:color w:val="222222"/>
          <w:sz w:val="19"/>
        </w:rPr>
        <w:t>sbi</w:t>
      </w:r>
      <w:r>
        <w:rPr>
          <w:rFonts w:ascii="Calibri" w:hAnsi="Calibri"/>
          <w:b w:val="0"/>
          <w:i w:val="0"/>
          <w:color w:val="222222"/>
          <w:sz w:val="21"/>
        </w:rPr>
        <w:t xml:space="preserve"> library: a stack of 5 autoregressive transforms with 50 hidden units each, 34,550 trained weights in all. It learns the joint density of the five parameters given the 19 summary features, so it returns a full posterior rather than a point estimate, and it never has to run the simulator again once trained. That is what makes the inference amortized: on 20 held-out simulations, a posterior of 1,000 draws takes a median of 0.3061 s on our workstation, against 6.69 s for one 10-second run of the simulator, which a method that simulates afresh for every recording would need many times over. That speed holds for recordings the twin can produce; for those it cannot, sampling stalls, which is the refusal described below.</w:t>
      </w:r>
    </w:p>
    <w:p>
      <w:pPr>
        <w:spacing w:after="120"/>
      </w:pPr>
      <w:r>
        <w:rPr>
          <w:rFonts w:ascii="Calibri" w:hAnsi="Calibri"/>
          <w:b w:val="0"/>
          <w:i w:val="0"/>
          <w:color w:val="222222"/>
          <w:sz w:val="21"/>
        </w:rPr>
        <w:t>The same generator could in principle pre-train models for assays where real data are scarce, such as human iPSC cultures, but only once the twin is calibrated for them. Today it is calibrated on rat devices and sits inside the real band on two of five features, so we have not done this.</w:t>
      </w:r>
    </w:p>
    <w:p>
      <w:pPr>
        <w:keepNext/>
        <w:spacing w:after="120"/>
      </w:pPr>
      <w:r>
        <w:rPr>
          <w:rFonts w:ascii="Calibri" w:hAnsi="Calibri"/>
          <w:b w:val="0"/>
          <w:i w:val="0"/>
          <w:color w:val="222222"/>
          <w:sz w:val="21"/>
        </w:rPr>
        <w:t>Before we trust any posterior, we run two honesty checks.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537"/>
        <w:gridCol w:w="1787"/>
        <w:gridCol w:w="1291"/>
        <w:gridCol w:w="1291"/>
        <w:gridCol w:w="1589"/>
      </w:tblGrid>
      <w:tr>
        <w:trPr>
          <w:cantSplit/>
          <w:tblHeader/>
        </w:trPr>
        <w:tc>
          <w:tcPr>
            <w:tcW w:type="dxa" w:w="2537"/>
            <w:shd w:val="clear" w:color="auto" w:fill="1F4E79"/>
            <w:vAlign w:val="center"/>
          </w:tcPr>
          <w:p>
            <w:pPr>
              <w:keepNext/>
              <w:spacing w:after="0"/>
            </w:pPr>
            <w:r>
              <w:rPr>
                <w:rFonts w:ascii="Calibri" w:hAnsi="Calibri"/>
                <w:b/>
                <w:i w:val="0"/>
                <w:color w:val="FFFFFF"/>
                <w:sz w:val="20"/>
              </w:rPr>
              <w:t>model parameter</w:t>
            </w:r>
          </w:p>
        </w:tc>
        <w:tc>
          <w:tcPr>
            <w:tcW w:type="dxa" w:w="1787"/>
            <w:shd w:val="clear" w:color="auto" w:fill="1F4E79"/>
            <w:vAlign w:val="center"/>
          </w:tcPr>
          <w:p>
            <w:pPr>
              <w:keepNext/>
              <w:spacing w:after="0"/>
            </w:pPr>
            <w:r>
              <w:rPr>
                <w:rFonts w:ascii="Calibri" w:hAnsi="Calibri"/>
                <w:b/>
                <w:i w:val="0"/>
                <w:color w:val="FFFFFF"/>
                <w:sz w:val="20"/>
              </w:rPr>
              <w:t>biophysical role</w:t>
            </w:r>
          </w:p>
        </w:tc>
        <w:tc>
          <w:tcPr>
            <w:tcW w:type="dxa" w:w="1291"/>
            <w:shd w:val="clear" w:color="auto" w:fill="1F4E79"/>
            <w:vAlign w:val="center"/>
          </w:tcPr>
          <w:p>
            <w:pPr>
              <w:keepNext/>
              <w:spacing w:after="0"/>
              <w:jc w:val="center"/>
            </w:pPr>
            <w:r>
              <w:rPr>
                <w:rFonts w:ascii="Calibri" w:hAnsi="Calibri"/>
                <w:b/>
                <w:i w:val="0"/>
                <w:color w:val="FFFFFF"/>
                <w:sz w:val="20"/>
              </w:rPr>
              <w:t>posterior contraction</w:t>
            </w:r>
          </w:p>
        </w:tc>
        <w:tc>
          <w:tcPr>
            <w:tcW w:type="dxa" w:w="1291"/>
            <w:shd w:val="clear" w:color="auto" w:fill="1F4E79"/>
            <w:vAlign w:val="center"/>
          </w:tcPr>
          <w:p>
            <w:pPr>
              <w:keepNext/>
              <w:spacing w:after="0"/>
              <w:jc w:val="center"/>
            </w:pPr>
            <w:r>
              <w:rPr>
                <w:rFonts w:ascii="Calibri" w:hAnsi="Calibri"/>
                <w:b/>
                <w:i w:val="0"/>
                <w:color w:val="FFFFFF"/>
                <w:sz w:val="20"/>
              </w:rPr>
              <w:t>KS calibration (p)</w:t>
            </w:r>
          </w:p>
        </w:tc>
        <w:tc>
          <w:tcPr>
            <w:tcW w:type="dxa" w:w="1589"/>
            <w:shd w:val="clear" w:color="auto" w:fill="1F4E79"/>
            <w:vAlign w:val="center"/>
          </w:tcPr>
          <w:p>
            <w:pPr>
              <w:keepNext/>
              <w:spacing w:after="0"/>
            </w:pPr>
            <w:r>
              <w:rPr>
                <w:rFonts w:ascii="Calibri" w:hAnsi="Calibri"/>
                <w:b/>
                <w:i w:val="0"/>
                <w:color w:val="FFFFFF"/>
                <w:sz w:val="20"/>
              </w:rPr>
              <w:t>uniformity status</w:t>
            </w:r>
          </w:p>
        </w:tc>
      </w:tr>
      <w:tr>
        <w:trPr>
          <w:cantSplit/>
        </w:trPr>
        <w:tc>
          <w:tcPr>
            <w:tcW w:type="dxa" w:w="2537"/>
            <w:shd w:val="clear" w:color="auto" w:fill="FFFFFF"/>
            <w:vAlign w:val="center"/>
          </w:tcPr>
          <w:p>
            <w:pPr>
              <w:keepNext/>
              <w:spacing w:after="0"/>
            </w:pPr>
            <w:r>
              <w:rPr>
                <w:rFonts w:ascii="Consolas" w:hAnsi="Consolas"/>
                <w:b/>
                <w:i w:val="0"/>
                <w:color w:val="222222"/>
                <w:sz w:val="18"/>
              </w:rPr>
              <w:t>threshold_scale</w:t>
            </w:r>
          </w:p>
        </w:tc>
        <w:tc>
          <w:tcPr>
            <w:tcW w:type="dxa" w:w="1787"/>
            <w:shd w:val="clear" w:color="auto" w:fill="FFFFFF"/>
            <w:vAlign w:val="center"/>
          </w:tcPr>
          <w:p>
            <w:pPr>
              <w:keepNext/>
              <w:spacing w:after="0"/>
            </w:pPr>
            <w:r>
              <w:rPr>
                <w:rFonts w:ascii="Calibri" w:hAnsi="Calibri"/>
                <w:b w:val="0"/>
                <w:i w:val="0"/>
                <w:color w:val="222222"/>
                <w:sz w:val="20"/>
              </w:rPr>
              <w:t>action-potential threshold</w:t>
            </w:r>
          </w:p>
        </w:tc>
        <w:tc>
          <w:tcPr>
            <w:tcW w:type="dxa" w:w="1291"/>
            <w:shd w:val="clear" w:color="auto" w:fill="FFFFFF"/>
            <w:vAlign w:val="center"/>
          </w:tcPr>
          <w:p>
            <w:pPr>
              <w:keepNext/>
              <w:spacing w:after="0"/>
              <w:jc w:val="center"/>
            </w:pPr>
            <w:r>
              <w:rPr>
                <w:rFonts w:ascii="Calibri" w:hAnsi="Calibri"/>
                <w:b w:val="0"/>
                <w:i w:val="0"/>
                <w:color w:val="222222"/>
                <w:sz w:val="20"/>
              </w:rPr>
              <w:t>0.661</w:t>
            </w:r>
          </w:p>
        </w:tc>
        <w:tc>
          <w:tcPr>
            <w:tcW w:type="dxa" w:w="1291"/>
            <w:shd w:val="clear" w:color="auto" w:fill="FFFFFF"/>
            <w:vAlign w:val="center"/>
          </w:tcPr>
          <w:p>
            <w:pPr>
              <w:keepNext/>
              <w:spacing w:after="0"/>
              <w:jc w:val="center"/>
            </w:pPr>
            <w:r>
              <w:rPr>
                <w:rFonts w:ascii="Calibri" w:hAnsi="Calibri"/>
                <w:b w:val="0"/>
                <w:i w:val="0"/>
                <w:color w:val="222222"/>
                <w:sz w:val="20"/>
              </w:rPr>
              <w:t>0.6105</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ampa_scale</w:t>
            </w:r>
          </w:p>
        </w:tc>
        <w:tc>
          <w:tcPr>
            <w:tcW w:type="dxa" w:w="1787"/>
            <w:shd w:val="clear" w:color="auto" w:fill="F7F9FB"/>
            <w:vAlign w:val="center"/>
          </w:tcPr>
          <w:p>
            <w:pPr>
              <w:keepNext/>
              <w:spacing w:after="0"/>
            </w:pPr>
            <w:r>
              <w:rPr>
                <w:rFonts w:ascii="Calibri" w:hAnsi="Calibri"/>
                <w:b w:val="0"/>
                <w:i w:val="0"/>
                <w:color w:val="222222"/>
                <w:sz w:val="20"/>
              </w:rPr>
              <w:t>excitatory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0.599</w:t>
            </w:r>
          </w:p>
        </w:tc>
        <w:tc>
          <w:tcPr>
            <w:tcW w:type="dxa" w:w="1291"/>
            <w:shd w:val="clear" w:color="auto" w:fill="F7F9FB"/>
            <w:vAlign w:val="center"/>
          </w:tcPr>
          <w:p>
            <w:pPr>
              <w:keepNext/>
              <w:spacing w:after="0"/>
              <w:jc w:val="center"/>
            </w:pPr>
            <w:r>
              <w:rPr>
                <w:rFonts w:ascii="Calibri" w:hAnsi="Calibri"/>
                <w:b w:val="0"/>
                <w:i w:val="0"/>
                <w:color w:val="222222"/>
                <w:sz w:val="20"/>
              </w:rPr>
              <w:t>0.3128</w:t>
            </w:r>
          </w:p>
        </w:tc>
        <w:tc>
          <w:tcPr>
            <w:tcW w:type="dxa" w:w="1589"/>
            <w:shd w:val="clear" w:color="auto" w:fill="F7F9FB"/>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FFFFF"/>
            <w:vAlign w:val="center"/>
          </w:tcPr>
          <w:p>
            <w:pPr>
              <w:keepNext/>
              <w:spacing w:after="0"/>
            </w:pPr>
            <w:r>
              <w:rPr>
                <w:rFonts w:ascii="Consolas" w:hAnsi="Consolas"/>
                <w:b/>
                <w:i w:val="0"/>
                <w:color w:val="222222"/>
                <w:sz w:val="18"/>
              </w:rPr>
              <w:t>log10_forward_ratio</w:t>
            </w:r>
          </w:p>
        </w:tc>
        <w:tc>
          <w:tcPr>
            <w:tcW w:type="dxa" w:w="1787"/>
            <w:shd w:val="clear" w:color="auto" w:fill="FFFFFF"/>
            <w:vAlign w:val="center"/>
          </w:tcPr>
          <w:p>
            <w:pPr>
              <w:keepNext/>
              <w:spacing w:after="0"/>
            </w:pPr>
            <w:r>
              <w:rPr>
                <w:rFonts w:ascii="Calibri" w:hAnsi="Calibri"/>
                <w:b w:val="0"/>
                <w:i w:val="0"/>
                <w:color w:val="222222"/>
                <w:sz w:val="20"/>
              </w:rPr>
              <w:t>axonal pathway asymmetry</w:t>
            </w:r>
          </w:p>
        </w:tc>
        <w:tc>
          <w:tcPr>
            <w:tcW w:type="dxa" w:w="1291"/>
            <w:shd w:val="clear" w:color="auto" w:fill="FFFFFF"/>
            <w:vAlign w:val="center"/>
          </w:tcPr>
          <w:p>
            <w:pPr>
              <w:keepNext/>
              <w:spacing w:after="0"/>
              <w:jc w:val="center"/>
            </w:pPr>
            <w:r>
              <w:rPr>
                <w:rFonts w:ascii="Calibri" w:hAnsi="Calibri"/>
                <w:b w:val="0"/>
                <w:i w:val="0"/>
                <w:color w:val="222222"/>
                <w:sz w:val="20"/>
              </w:rPr>
              <w:t>0.438</w:t>
            </w:r>
          </w:p>
        </w:tc>
        <w:tc>
          <w:tcPr>
            <w:tcW w:type="dxa" w:w="1291"/>
            <w:shd w:val="clear" w:color="auto" w:fill="FFFFFF"/>
            <w:vAlign w:val="center"/>
          </w:tcPr>
          <w:p>
            <w:pPr>
              <w:keepNext/>
              <w:spacing w:after="0"/>
              <w:jc w:val="center"/>
            </w:pPr>
            <w:r>
              <w:rPr>
                <w:rFonts w:ascii="Calibri" w:hAnsi="Calibri"/>
                <w:b w:val="0"/>
                <w:i w:val="0"/>
                <w:color w:val="222222"/>
                <w:sz w:val="20"/>
              </w:rPr>
              <w:t>0.1517</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gabaa_scale</w:t>
            </w:r>
          </w:p>
        </w:tc>
        <w:tc>
          <w:tcPr>
            <w:tcW w:type="dxa" w:w="1787"/>
            <w:shd w:val="clear" w:color="auto" w:fill="F7F9FB"/>
            <w:vAlign w:val="center"/>
          </w:tcPr>
          <w:p>
            <w:pPr>
              <w:keepNext/>
              <w:spacing w:after="0"/>
            </w:pPr>
            <w:r>
              <w:rPr>
                <w:rFonts w:ascii="Calibri" w:hAnsi="Calibri"/>
                <w:b w:val="0"/>
                <w:i w:val="0"/>
                <w:color w:val="222222"/>
                <w:sz w:val="20"/>
              </w:rPr>
              <w:t>inhibitory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0.3</w:t>
            </w:r>
          </w:p>
        </w:tc>
        <w:tc>
          <w:tcPr>
            <w:tcW w:type="dxa" w:w="1291"/>
            <w:shd w:val="clear" w:color="auto" w:fill="F7F9FB"/>
            <w:vAlign w:val="center"/>
          </w:tcPr>
          <w:p>
            <w:pPr>
              <w:keepNext/>
              <w:spacing w:after="0"/>
              <w:jc w:val="center"/>
            </w:pPr>
            <w:r>
              <w:rPr>
                <w:rFonts w:ascii="Calibri" w:hAnsi="Calibri"/>
                <w:b w:val="0"/>
                <w:i w:val="0"/>
                <w:color w:val="222222"/>
                <w:sz w:val="20"/>
              </w:rPr>
              <w:t>0.0174</w:t>
            </w:r>
          </w:p>
        </w:tc>
        <w:tc>
          <w:tcPr>
            <w:tcW w:type="dxa" w:w="1589"/>
            <w:shd w:val="clear" w:color="auto" w:fill="F7F9FB"/>
            <w:vAlign w:val="center"/>
          </w:tcPr>
          <w:p>
            <w:pPr>
              <w:keepNext/>
              <w:spacing w:after="0"/>
            </w:pPr>
            <w:r>
              <w:rPr>
                <w:rFonts w:ascii="Calibri" w:hAnsi="Calibri"/>
                <w:b/>
                <w:i w:val="0"/>
                <w:color w:val="222222"/>
                <w:sz w:val="20"/>
              </w:rPr>
              <w:t>over-confident</w:t>
            </w:r>
          </w:p>
        </w:tc>
      </w:tr>
      <w:tr>
        <w:trPr>
          <w:cantSplit/>
        </w:trPr>
        <w:tc>
          <w:tcPr>
            <w:tcW w:type="dxa" w:w="2537"/>
            <w:shd w:val="clear" w:color="auto" w:fill="FFFFFF"/>
            <w:vAlign w:val="center"/>
          </w:tcPr>
          <w:p>
            <w:pPr>
              <w:keepNext w:val="0"/>
              <w:spacing w:after="0"/>
            </w:pPr>
            <w:r>
              <w:rPr>
                <w:rFonts w:ascii="Consolas" w:hAnsi="Consolas"/>
                <w:b/>
                <w:i w:val="0"/>
                <w:color w:val="222222"/>
                <w:sz w:val="18"/>
              </w:rPr>
              <w:t>inter_in_degree</w:t>
            </w:r>
          </w:p>
        </w:tc>
        <w:tc>
          <w:tcPr>
            <w:tcW w:type="dxa" w:w="1787"/>
            <w:shd w:val="clear" w:color="auto" w:fill="FFFFFF"/>
            <w:vAlign w:val="center"/>
          </w:tcPr>
          <w:p>
            <w:pPr>
              <w:keepNext w:val="0"/>
              <w:spacing w:after="0"/>
            </w:pPr>
            <w:r>
              <w:rPr>
                <w:rFonts w:ascii="Calibri" w:hAnsi="Calibri"/>
                <w:b w:val="0"/>
                <w:i w:val="0"/>
                <w:color w:val="222222"/>
                <w:sz w:val="20"/>
              </w:rPr>
              <w:t>cross-chamber connectivity</w:t>
            </w:r>
          </w:p>
        </w:tc>
        <w:tc>
          <w:tcPr>
            <w:tcW w:type="dxa" w:w="1291"/>
            <w:shd w:val="clear" w:color="auto" w:fill="FFFFFF"/>
            <w:vAlign w:val="center"/>
          </w:tcPr>
          <w:p>
            <w:pPr>
              <w:keepNext w:val="0"/>
              <w:spacing w:after="0"/>
              <w:jc w:val="center"/>
            </w:pPr>
            <w:r>
              <w:rPr>
                <w:rFonts w:ascii="Calibri" w:hAnsi="Calibri"/>
                <w:b w:val="0"/>
                <w:i w:val="0"/>
                <w:color w:val="222222"/>
                <w:sz w:val="20"/>
              </w:rPr>
              <w:t>0.269</w:t>
            </w:r>
          </w:p>
        </w:tc>
        <w:tc>
          <w:tcPr>
            <w:tcW w:type="dxa" w:w="1291"/>
            <w:shd w:val="clear" w:color="auto" w:fill="FFFFFF"/>
            <w:vAlign w:val="center"/>
          </w:tcPr>
          <w:p>
            <w:pPr>
              <w:keepNext w:val="0"/>
              <w:spacing w:after="0"/>
              <w:jc w:val="center"/>
            </w:pPr>
            <w:r>
              <w:rPr>
                <w:rFonts w:ascii="Calibri" w:hAnsi="Calibri"/>
                <w:b w:val="0"/>
                <w:i w:val="0"/>
                <w:color w:val="222222"/>
                <w:sz w:val="20"/>
              </w:rPr>
              <w:t>0.0121</w:t>
            </w:r>
          </w:p>
        </w:tc>
        <w:tc>
          <w:tcPr>
            <w:tcW w:type="dxa" w:w="1589"/>
            <w:shd w:val="clear" w:color="auto" w:fill="FFFFFF"/>
            <w:vAlign w:val="center"/>
          </w:tcPr>
          <w:p>
            <w:pPr>
              <w:keepNext w:val="0"/>
              <w:spacing w:after="0"/>
            </w:pPr>
            <w:r>
              <w:rPr>
                <w:rFonts w:ascii="Calibri" w:hAnsi="Calibri"/>
                <w:b/>
                <w:i w:val="0"/>
                <w:color w:val="222222"/>
                <w:sz w:val="20"/>
              </w:rPr>
              <w:t>over-confident</w:t>
            </w:r>
          </w:p>
        </w:tc>
      </w:tr>
    </w:tbl>
    <w:p>
      <w:pPr>
        <w:spacing w:after="80"/>
      </w:pPr>
    </w:p>
    <w:p>
      <w:pPr>
        <w:spacing w:after="120"/>
      </w:pPr>
      <w:r>
        <w:rPr>
          <w:rFonts w:ascii="Calibri" w:hAnsi="Calibri"/>
          <w:b w:val="0"/>
          <w:i w:val="0"/>
          <w:color w:val="222222"/>
          <w:sz w:val="21"/>
        </w:rPr>
        <w:t xml:space="preserve">Contraction measures how much narrower the posterior is than the prior; 0 means the model learned nothing. Rank uniformity asks whether the stated intervals are honest. Three knobs pass. Inhibitory transmission does not — and it is the knob our pharmacology sections depend on, so </w:t>
      </w:r>
      <w:r>
        <w:rPr>
          <w:rFonts w:ascii="Calibri" w:hAnsi="Calibri"/>
          <w:b/>
          <w:i w:val="0"/>
          <w:color w:val="222222"/>
          <w:sz w:val="21"/>
        </w:rPr>
        <w:t>we do not quote its intervals as calibrated.</w:t>
      </w:r>
      <w:r>
        <w:rPr>
          <w:rFonts w:ascii="Calibri" w:hAnsi="Calibri"/>
          <w:b w:val="0"/>
          <w:i w:val="0"/>
          <w:color w:val="222222"/>
          <w:sz w:val="21"/>
        </w:rPr>
        <w:t xml:space="preserve"> Before the density correction (§13), no parameter passed and a fifth of our simulations were silent; now 0 are. Simulating at the calibrated density brought three knobs into calibration on this test. Appendix G shows the full rank histograms. A registered follow-up after round 1 (below) found that the three passes do not hold on fresh simulations: this table is the test as it was run, not a calibration claim.</w:t>
      </w:r>
    </w:p>
    <w:p>
      <w:pPr>
        <w:keepNext/>
        <w:spacing w:after="120"/>
      </w:pPr>
      <w:r>
        <w:rPr>
          <w:rFonts w:ascii="Calibri" w:hAnsi="Calibri"/>
          <w:b/>
          <w:i w:val="0"/>
          <w:color w:val="156082"/>
          <w:sz w:val="21"/>
        </w:rPr>
        <w:t>After round 1: more simulations and an ensemble (registered, decision D31).</w:t>
      </w:r>
      <w:r>
        <w:rPr>
          <w:rFonts w:ascii="Calibri" w:hAnsi="Calibri"/>
          <w:b w:val="0"/>
          <w:i w:val="0"/>
          <w:color w:val="222222"/>
          <w:sz w:val="21"/>
        </w:rPr>
        <w:t xml:space="preserve"> We asked whether a larger simulation budget, an ensemble, or both would bring all five parameters into calibration without losing contraction, and registered seven predictions before running a single new simulation (</w:t>
      </w:r>
      <w:r>
        <w:rPr>
          <w:rFonts w:ascii="Consolas" w:hAnsi="Consolas"/>
          <w:b w:val="0"/>
          <w:i w:val="0"/>
          <w:color w:val="222222"/>
          <w:sz w:val="19"/>
        </w:rPr>
        <w:t>preregistration/twin_inference_recalibration.json</w:t>
      </w:r>
      <w:r>
        <w:rPr>
          <w:rFonts w:ascii="Calibri" w:hAnsi="Calibri"/>
          <w:b w:val="0"/>
          <w:i w:val="0"/>
          <w:color w:val="222222"/>
          <w:sz w:val="21"/>
        </w:rPr>
        <w:t>). Every new simulation used fresh seeds. Within the registered deadline we simulated 12,750 new training runs (51 of 60 planned chunks, cut by a prefix rule fixed in advance), for a pool of 15,750, and 1,000 fresh held-out runs. We compared three estimators on the same held-out simulations: the first-round flow unchanged, the same flow retrained on the larger pool, and an equal-weight ensemble of five such flows. The test is the first-round test, unchanged: rank uniformity on the first 300 held-out runs (the primary test) at p ≥ 0.05 per parameter, with no correction for testing five (a correction would make passing easier, and would have passed the first-round failures). We added credible-interval coverage on the full held-out set.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618"/>
        <w:gridCol w:w="1392"/>
        <w:gridCol w:w="874"/>
        <w:gridCol w:w="1166"/>
        <w:gridCol w:w="1353"/>
        <w:gridCol w:w="1092"/>
      </w:tblGrid>
      <w:tr>
        <w:trPr>
          <w:cantSplit/>
          <w:tblHeader/>
        </w:trPr>
        <w:tc>
          <w:tcPr>
            <w:tcW w:type="dxa" w:w="2618"/>
            <w:shd w:val="clear" w:color="auto" w:fill="1F4E79"/>
            <w:vAlign w:val="center"/>
          </w:tcPr>
          <w:p>
            <w:pPr>
              <w:keepNext/>
              <w:spacing w:after="0"/>
            </w:pPr>
            <w:r>
              <w:rPr>
                <w:rFonts w:ascii="Calibri" w:hAnsi="Calibri"/>
                <w:b/>
                <w:i w:val="0"/>
                <w:color w:val="FFFFFF"/>
                <w:sz w:val="20"/>
              </w:rPr>
              <w:t>model parameter</w:t>
            </w:r>
          </w:p>
        </w:tc>
        <w:tc>
          <w:tcPr>
            <w:tcW w:type="dxa" w:w="1392"/>
            <w:shd w:val="clear" w:color="auto" w:fill="1F4E79"/>
            <w:vAlign w:val="center"/>
          </w:tcPr>
          <w:p>
            <w:pPr>
              <w:keepNext/>
              <w:spacing w:after="0"/>
              <w:jc w:val="center"/>
            </w:pPr>
            <w:r>
              <w:rPr>
                <w:rFonts w:ascii="Calibri" w:hAnsi="Calibri"/>
                <w:b/>
                <w:i w:val="0"/>
                <w:color w:val="FFFFFF"/>
                <w:sz w:val="20"/>
              </w:rPr>
              <w:t>first-round flow, fresh runs (KS p)</w:t>
            </w:r>
          </w:p>
        </w:tc>
        <w:tc>
          <w:tcPr>
            <w:tcW w:type="dxa" w:w="874"/>
            <w:shd w:val="clear" w:color="auto" w:fill="1F4E79"/>
            <w:vAlign w:val="center"/>
          </w:tcPr>
          <w:p>
            <w:pPr>
              <w:keepNext/>
              <w:spacing w:after="0"/>
              <w:jc w:val="center"/>
            </w:pPr>
            <w:r>
              <w:rPr>
                <w:rFonts w:ascii="Calibri" w:hAnsi="Calibri"/>
                <w:b/>
                <w:i w:val="0"/>
                <w:color w:val="FFFFFF"/>
                <w:sz w:val="20"/>
              </w:rPr>
              <w:t>one flow, larger pool (KS p)</w:t>
            </w:r>
          </w:p>
        </w:tc>
        <w:tc>
          <w:tcPr>
            <w:tcW w:type="dxa" w:w="1166"/>
            <w:shd w:val="clear" w:color="auto" w:fill="1F4E79"/>
            <w:vAlign w:val="center"/>
          </w:tcPr>
          <w:p>
            <w:pPr>
              <w:keepNext/>
              <w:spacing w:after="0"/>
              <w:jc w:val="center"/>
            </w:pPr>
            <w:r>
              <w:rPr>
                <w:rFonts w:ascii="Calibri" w:hAnsi="Calibri"/>
                <w:b/>
                <w:i w:val="0"/>
                <w:color w:val="FFFFFF"/>
                <w:sz w:val="20"/>
              </w:rPr>
              <w:t>five-flow ensemble (KS p)</w:t>
            </w:r>
          </w:p>
        </w:tc>
        <w:tc>
          <w:tcPr>
            <w:tcW w:type="dxa" w:w="1353"/>
            <w:shd w:val="clear" w:color="auto" w:fill="1F4E79"/>
            <w:vAlign w:val="center"/>
          </w:tcPr>
          <w:p>
            <w:pPr>
              <w:keepNext/>
              <w:spacing w:after="0"/>
              <w:jc w:val="center"/>
            </w:pPr>
            <w:r>
              <w:rPr>
                <w:rFonts w:ascii="Calibri" w:hAnsi="Calibri"/>
                <w:b/>
                <w:i w:val="0"/>
                <w:color w:val="FFFFFF"/>
                <w:sz w:val="20"/>
              </w:rPr>
              <w:t>ensemble contraction</w:t>
            </w:r>
          </w:p>
        </w:tc>
        <w:tc>
          <w:tcPr>
            <w:tcW w:type="dxa" w:w="1092"/>
            <w:shd w:val="clear" w:color="auto" w:fill="1F4E79"/>
            <w:vAlign w:val="center"/>
          </w:tcPr>
          <w:p>
            <w:pPr>
              <w:keepNext/>
              <w:spacing w:after="0"/>
              <w:jc w:val="center"/>
            </w:pPr>
            <w:r>
              <w:rPr>
                <w:rFonts w:ascii="Calibri" w:hAnsi="Calibri"/>
                <w:b/>
                <w:i w:val="0"/>
                <w:color w:val="FFFFFF"/>
                <w:sz w:val="20"/>
              </w:rPr>
              <w:t>ensemble coverage of a 50% interval</w:t>
            </w:r>
          </w:p>
        </w:tc>
      </w:tr>
      <w:tr>
        <w:trPr>
          <w:cantSplit/>
        </w:trPr>
        <w:tc>
          <w:tcPr>
            <w:tcW w:type="dxa" w:w="2618"/>
            <w:shd w:val="clear" w:color="auto" w:fill="FFFFFF"/>
            <w:vAlign w:val="center"/>
          </w:tcPr>
          <w:p>
            <w:pPr>
              <w:keepNext/>
              <w:spacing w:after="0"/>
            </w:pPr>
            <w:r>
              <w:rPr>
                <w:rFonts w:ascii="Consolas" w:hAnsi="Consolas"/>
                <w:b/>
                <w:i w:val="0"/>
                <w:color w:val="222222"/>
                <w:sz w:val="18"/>
              </w:rPr>
              <w:t>threshold_scale</w:t>
            </w:r>
          </w:p>
        </w:tc>
        <w:tc>
          <w:tcPr>
            <w:tcW w:type="dxa" w:w="1392"/>
            <w:shd w:val="clear" w:color="auto" w:fill="FFFFFF"/>
            <w:vAlign w:val="center"/>
          </w:tcPr>
          <w:p>
            <w:pPr>
              <w:keepNext/>
              <w:spacing w:after="0"/>
              <w:jc w:val="center"/>
            </w:pPr>
            <w:r>
              <w:rPr>
                <w:rFonts w:ascii="Calibri" w:hAnsi="Calibri"/>
                <w:b w:val="0"/>
                <w:i w:val="0"/>
                <w:color w:val="222222"/>
                <w:sz w:val="20"/>
              </w:rPr>
              <w:t>0.0121</w:t>
            </w:r>
          </w:p>
        </w:tc>
        <w:tc>
          <w:tcPr>
            <w:tcW w:type="dxa" w:w="874"/>
            <w:shd w:val="clear" w:color="auto" w:fill="FFFFFF"/>
            <w:vAlign w:val="center"/>
          </w:tcPr>
          <w:p>
            <w:pPr>
              <w:keepNext/>
              <w:spacing w:after="0"/>
              <w:jc w:val="center"/>
            </w:pPr>
            <w:r>
              <w:rPr>
                <w:rFonts w:ascii="Calibri" w:hAnsi="Calibri"/>
                <w:b w:val="0"/>
                <w:i w:val="0"/>
                <w:color w:val="222222"/>
                <w:sz w:val="20"/>
              </w:rPr>
              <w:t>0.065</w:t>
            </w:r>
          </w:p>
        </w:tc>
        <w:tc>
          <w:tcPr>
            <w:tcW w:type="dxa" w:w="1166"/>
            <w:shd w:val="clear" w:color="auto" w:fill="FFFFFF"/>
            <w:vAlign w:val="center"/>
          </w:tcPr>
          <w:p>
            <w:pPr>
              <w:keepNext/>
              <w:spacing w:after="0"/>
              <w:jc w:val="center"/>
            </w:pPr>
            <w:r>
              <w:rPr>
                <w:rFonts w:ascii="Calibri" w:hAnsi="Calibri"/>
                <w:b w:val="0"/>
                <w:i w:val="0"/>
                <w:color w:val="222222"/>
                <w:sz w:val="20"/>
              </w:rPr>
              <w:t>0.3128</w:t>
            </w:r>
          </w:p>
        </w:tc>
        <w:tc>
          <w:tcPr>
            <w:tcW w:type="dxa" w:w="1353"/>
            <w:shd w:val="clear" w:color="auto" w:fill="FFFFFF"/>
            <w:vAlign w:val="center"/>
          </w:tcPr>
          <w:p>
            <w:pPr>
              <w:keepNext/>
              <w:spacing w:after="0"/>
              <w:jc w:val="center"/>
            </w:pPr>
            <w:r>
              <w:rPr>
                <w:rFonts w:ascii="Calibri" w:hAnsi="Calibri"/>
                <w:b w:val="0"/>
                <w:i w:val="0"/>
                <w:color w:val="222222"/>
                <w:sz w:val="20"/>
              </w:rPr>
              <w:t>0.742</w:t>
            </w:r>
          </w:p>
        </w:tc>
        <w:tc>
          <w:tcPr>
            <w:tcW w:type="dxa" w:w="1092"/>
            <w:shd w:val="clear" w:color="auto" w:fill="FFFFFF"/>
            <w:vAlign w:val="center"/>
          </w:tcPr>
          <w:p>
            <w:pPr>
              <w:keepNext/>
              <w:spacing w:after="0"/>
              <w:jc w:val="center"/>
            </w:pPr>
            <w:r>
              <w:rPr>
                <w:rFonts w:ascii="Calibri" w:hAnsi="Calibri"/>
                <w:b w:val="0"/>
                <w:i w:val="0"/>
                <w:color w:val="222222"/>
                <w:sz w:val="20"/>
              </w:rPr>
              <w:t>0.473</w:t>
            </w:r>
          </w:p>
        </w:tc>
      </w:tr>
      <w:tr>
        <w:trPr>
          <w:cantSplit/>
        </w:trPr>
        <w:tc>
          <w:tcPr>
            <w:tcW w:type="dxa" w:w="2618"/>
            <w:shd w:val="clear" w:color="auto" w:fill="F7F9FB"/>
            <w:vAlign w:val="center"/>
          </w:tcPr>
          <w:p>
            <w:pPr>
              <w:keepNext/>
              <w:spacing w:after="0"/>
            </w:pPr>
            <w:r>
              <w:rPr>
                <w:rFonts w:ascii="Consolas" w:hAnsi="Consolas"/>
                <w:b/>
                <w:i w:val="0"/>
                <w:color w:val="222222"/>
                <w:sz w:val="18"/>
              </w:rPr>
              <w:t>ampa_scale</w:t>
            </w:r>
          </w:p>
        </w:tc>
        <w:tc>
          <w:tcPr>
            <w:tcW w:type="dxa" w:w="1392"/>
            <w:shd w:val="clear" w:color="auto" w:fill="F7F9FB"/>
            <w:vAlign w:val="center"/>
          </w:tcPr>
          <w:p>
            <w:pPr>
              <w:keepNext/>
              <w:spacing w:after="0"/>
              <w:jc w:val="center"/>
            </w:pPr>
            <w:r>
              <w:rPr>
                <w:rFonts w:ascii="Calibri" w:hAnsi="Calibri"/>
                <w:b w:val="0"/>
                <w:i w:val="0"/>
                <w:color w:val="222222"/>
                <w:sz w:val="20"/>
              </w:rPr>
              <w:t>0.0345</w:t>
            </w:r>
          </w:p>
        </w:tc>
        <w:tc>
          <w:tcPr>
            <w:tcW w:type="dxa" w:w="874"/>
            <w:shd w:val="clear" w:color="auto" w:fill="F7F9FB"/>
            <w:vAlign w:val="center"/>
          </w:tcPr>
          <w:p>
            <w:pPr>
              <w:keepNext/>
              <w:spacing w:after="0"/>
              <w:jc w:val="center"/>
            </w:pPr>
            <w:r>
              <w:rPr>
                <w:rFonts w:ascii="Calibri" w:hAnsi="Calibri"/>
                <w:b w:val="0"/>
                <w:i w:val="0"/>
                <w:color w:val="222222"/>
                <w:sz w:val="20"/>
              </w:rPr>
              <w:t>0.1726</w:t>
            </w:r>
          </w:p>
        </w:tc>
        <w:tc>
          <w:tcPr>
            <w:tcW w:type="dxa" w:w="1166"/>
            <w:shd w:val="clear" w:color="auto" w:fill="F7F9FB"/>
            <w:vAlign w:val="center"/>
          </w:tcPr>
          <w:p>
            <w:pPr>
              <w:keepNext/>
              <w:spacing w:after="0"/>
              <w:jc w:val="center"/>
            </w:pPr>
            <w:r>
              <w:rPr>
                <w:rFonts w:ascii="Calibri" w:hAnsi="Calibri"/>
                <w:b w:val="0"/>
                <w:i w:val="0"/>
                <w:color w:val="222222"/>
                <w:sz w:val="20"/>
              </w:rPr>
              <w:t>0.3485</w:t>
            </w:r>
          </w:p>
        </w:tc>
        <w:tc>
          <w:tcPr>
            <w:tcW w:type="dxa" w:w="1353"/>
            <w:shd w:val="clear" w:color="auto" w:fill="F7F9FB"/>
            <w:vAlign w:val="center"/>
          </w:tcPr>
          <w:p>
            <w:pPr>
              <w:keepNext/>
              <w:spacing w:after="0"/>
              <w:jc w:val="center"/>
            </w:pPr>
            <w:r>
              <w:rPr>
                <w:rFonts w:ascii="Calibri" w:hAnsi="Calibri"/>
                <w:b w:val="0"/>
                <w:i w:val="0"/>
                <w:color w:val="222222"/>
                <w:sz w:val="20"/>
              </w:rPr>
              <w:t>0.663</w:t>
            </w:r>
          </w:p>
        </w:tc>
        <w:tc>
          <w:tcPr>
            <w:tcW w:type="dxa" w:w="1092"/>
            <w:shd w:val="clear" w:color="auto" w:fill="F7F9FB"/>
            <w:vAlign w:val="center"/>
          </w:tcPr>
          <w:p>
            <w:pPr>
              <w:keepNext/>
              <w:spacing w:after="0"/>
              <w:jc w:val="center"/>
            </w:pPr>
            <w:r>
              <w:rPr>
                <w:rFonts w:ascii="Calibri" w:hAnsi="Calibri"/>
                <w:b w:val="0"/>
                <w:i w:val="0"/>
                <w:color w:val="222222"/>
                <w:sz w:val="20"/>
              </w:rPr>
              <w:t>0.446</w:t>
            </w:r>
          </w:p>
        </w:tc>
      </w:tr>
      <w:tr>
        <w:trPr>
          <w:cantSplit/>
        </w:trPr>
        <w:tc>
          <w:tcPr>
            <w:tcW w:type="dxa" w:w="2618"/>
            <w:shd w:val="clear" w:color="auto" w:fill="FFFFFF"/>
            <w:vAlign w:val="center"/>
          </w:tcPr>
          <w:p>
            <w:pPr>
              <w:keepNext/>
              <w:spacing w:after="0"/>
            </w:pPr>
            <w:r>
              <w:rPr>
                <w:rFonts w:ascii="Consolas" w:hAnsi="Consolas"/>
                <w:b/>
                <w:i w:val="0"/>
                <w:color w:val="222222"/>
                <w:sz w:val="18"/>
              </w:rPr>
              <w:t>log10_forward_ratio</w:t>
            </w:r>
          </w:p>
        </w:tc>
        <w:tc>
          <w:tcPr>
            <w:tcW w:type="dxa" w:w="1392"/>
            <w:shd w:val="clear" w:color="auto" w:fill="FFFFFF"/>
            <w:vAlign w:val="center"/>
          </w:tcPr>
          <w:p>
            <w:pPr>
              <w:keepNext/>
              <w:spacing w:after="0"/>
              <w:jc w:val="center"/>
            </w:pPr>
            <w:r>
              <w:rPr>
                <w:rFonts w:ascii="Calibri" w:hAnsi="Calibri"/>
                <w:b w:val="0"/>
                <w:i w:val="0"/>
                <w:color w:val="222222"/>
                <w:sz w:val="20"/>
              </w:rPr>
              <w:t>0.0037</w:t>
            </w:r>
          </w:p>
        </w:tc>
        <w:tc>
          <w:tcPr>
            <w:tcW w:type="dxa" w:w="874"/>
            <w:shd w:val="clear" w:color="auto" w:fill="FFFFFF"/>
            <w:vAlign w:val="center"/>
          </w:tcPr>
          <w:p>
            <w:pPr>
              <w:keepNext/>
              <w:spacing w:after="0"/>
              <w:jc w:val="center"/>
            </w:pPr>
            <w:r>
              <w:rPr>
                <w:rFonts w:ascii="Calibri" w:hAnsi="Calibri"/>
                <w:b w:val="0"/>
                <w:i w:val="0"/>
                <w:color w:val="222222"/>
                <w:sz w:val="20"/>
              </w:rPr>
              <w:t>0.0874</w:t>
            </w:r>
          </w:p>
        </w:tc>
        <w:tc>
          <w:tcPr>
            <w:tcW w:type="dxa" w:w="1166"/>
            <w:shd w:val="clear" w:color="auto" w:fill="FFFFFF"/>
            <w:vAlign w:val="center"/>
          </w:tcPr>
          <w:p>
            <w:pPr>
              <w:keepNext/>
              <w:spacing w:after="0"/>
              <w:jc w:val="center"/>
            </w:pPr>
            <w:r>
              <w:rPr>
                <w:rFonts w:ascii="Calibri" w:hAnsi="Calibri"/>
                <w:b w:val="0"/>
                <w:i w:val="0"/>
                <w:color w:val="222222"/>
                <w:sz w:val="20"/>
              </w:rPr>
              <w:t>0.065</w:t>
            </w:r>
          </w:p>
        </w:tc>
        <w:tc>
          <w:tcPr>
            <w:tcW w:type="dxa" w:w="1353"/>
            <w:shd w:val="clear" w:color="auto" w:fill="FFFFFF"/>
            <w:vAlign w:val="center"/>
          </w:tcPr>
          <w:p>
            <w:pPr>
              <w:keepNext/>
              <w:spacing w:after="0"/>
              <w:jc w:val="center"/>
            </w:pPr>
            <w:r>
              <w:rPr>
                <w:rFonts w:ascii="Calibri" w:hAnsi="Calibri"/>
                <w:b w:val="0"/>
                <w:i w:val="0"/>
                <w:color w:val="222222"/>
                <w:sz w:val="20"/>
              </w:rPr>
              <w:t>0.464</w:t>
            </w:r>
          </w:p>
        </w:tc>
        <w:tc>
          <w:tcPr>
            <w:tcW w:type="dxa" w:w="1092"/>
            <w:shd w:val="clear" w:color="auto" w:fill="FFFFFF"/>
            <w:vAlign w:val="center"/>
          </w:tcPr>
          <w:p>
            <w:pPr>
              <w:keepNext/>
              <w:spacing w:after="0"/>
              <w:jc w:val="center"/>
            </w:pPr>
            <w:r>
              <w:rPr>
                <w:rFonts w:ascii="Calibri" w:hAnsi="Calibri"/>
                <w:b w:val="0"/>
                <w:i w:val="0"/>
                <w:color w:val="222222"/>
                <w:sz w:val="20"/>
              </w:rPr>
              <w:t>0.441</w:t>
            </w:r>
          </w:p>
        </w:tc>
      </w:tr>
      <w:tr>
        <w:trPr>
          <w:cantSplit/>
        </w:trPr>
        <w:tc>
          <w:tcPr>
            <w:tcW w:type="dxa" w:w="2618"/>
            <w:shd w:val="clear" w:color="auto" w:fill="F7F9FB"/>
            <w:vAlign w:val="center"/>
          </w:tcPr>
          <w:p>
            <w:pPr>
              <w:keepNext/>
              <w:spacing w:after="0"/>
            </w:pPr>
            <w:r>
              <w:rPr>
                <w:rFonts w:ascii="Consolas" w:hAnsi="Consolas"/>
                <w:b/>
                <w:i w:val="0"/>
                <w:color w:val="222222"/>
                <w:sz w:val="18"/>
              </w:rPr>
              <w:t>gabaa_scale</w:t>
            </w:r>
          </w:p>
        </w:tc>
        <w:tc>
          <w:tcPr>
            <w:tcW w:type="dxa" w:w="1392"/>
            <w:shd w:val="clear" w:color="auto" w:fill="F7F9FB"/>
            <w:vAlign w:val="center"/>
          </w:tcPr>
          <w:p>
            <w:pPr>
              <w:keepNext/>
              <w:spacing w:after="0"/>
              <w:jc w:val="center"/>
            </w:pPr>
            <w:r>
              <w:rPr>
                <w:rFonts w:ascii="Calibri" w:hAnsi="Calibri"/>
                <w:b w:val="0"/>
                <w:i w:val="0"/>
                <w:color w:val="222222"/>
                <w:sz w:val="20"/>
              </w:rPr>
              <w:t>0.01</w:t>
            </w:r>
          </w:p>
        </w:tc>
        <w:tc>
          <w:tcPr>
            <w:tcW w:type="dxa" w:w="874"/>
            <w:shd w:val="clear" w:color="auto" w:fill="F7F9FB"/>
            <w:vAlign w:val="center"/>
          </w:tcPr>
          <w:p>
            <w:pPr>
              <w:keepNext/>
              <w:spacing w:after="0"/>
              <w:jc w:val="center"/>
            </w:pPr>
            <w:r>
              <w:rPr>
                <w:rFonts w:ascii="Calibri" w:hAnsi="Calibri"/>
                <w:b w:val="0"/>
                <w:i w:val="0"/>
                <w:color w:val="222222"/>
                <w:sz w:val="20"/>
              </w:rPr>
              <w:t>0.0025</w:t>
            </w:r>
          </w:p>
        </w:tc>
        <w:tc>
          <w:tcPr>
            <w:tcW w:type="dxa" w:w="1166"/>
            <w:shd w:val="clear" w:color="auto" w:fill="F7F9FB"/>
            <w:vAlign w:val="center"/>
          </w:tcPr>
          <w:p>
            <w:pPr>
              <w:keepNext/>
              <w:spacing w:after="0"/>
              <w:jc w:val="center"/>
            </w:pPr>
            <w:r>
              <w:rPr>
                <w:rFonts w:ascii="Calibri" w:hAnsi="Calibri"/>
                <w:b w:val="0"/>
                <w:i w:val="0"/>
                <w:color w:val="222222"/>
                <w:sz w:val="20"/>
              </w:rPr>
              <w:t>0.1726</w:t>
            </w:r>
          </w:p>
        </w:tc>
        <w:tc>
          <w:tcPr>
            <w:tcW w:type="dxa" w:w="1353"/>
            <w:shd w:val="clear" w:color="auto" w:fill="F7F9FB"/>
            <w:vAlign w:val="center"/>
          </w:tcPr>
          <w:p>
            <w:pPr>
              <w:keepNext/>
              <w:spacing w:after="0"/>
              <w:jc w:val="center"/>
            </w:pPr>
            <w:r>
              <w:rPr>
                <w:rFonts w:ascii="Calibri" w:hAnsi="Calibri"/>
                <w:b w:val="0"/>
                <w:i w:val="0"/>
                <w:color w:val="222222"/>
                <w:sz w:val="20"/>
              </w:rPr>
              <w:t>0.31</w:t>
            </w:r>
          </w:p>
        </w:tc>
        <w:tc>
          <w:tcPr>
            <w:tcW w:type="dxa" w:w="1092"/>
            <w:shd w:val="clear" w:color="auto" w:fill="F7F9FB"/>
            <w:vAlign w:val="center"/>
          </w:tcPr>
          <w:p>
            <w:pPr>
              <w:keepNext/>
              <w:spacing w:after="0"/>
              <w:jc w:val="center"/>
            </w:pPr>
            <w:r>
              <w:rPr>
                <w:rFonts w:ascii="Calibri" w:hAnsi="Calibri"/>
                <w:b w:val="0"/>
                <w:i w:val="0"/>
                <w:color w:val="222222"/>
                <w:sz w:val="20"/>
              </w:rPr>
              <w:t>0.424</w:t>
            </w:r>
          </w:p>
        </w:tc>
      </w:tr>
      <w:tr>
        <w:trPr>
          <w:cantSplit/>
        </w:trPr>
        <w:tc>
          <w:tcPr>
            <w:tcW w:type="dxa" w:w="2618"/>
            <w:shd w:val="clear" w:color="auto" w:fill="FFFFFF"/>
            <w:vAlign w:val="center"/>
          </w:tcPr>
          <w:p>
            <w:pPr>
              <w:keepNext w:val="0"/>
              <w:spacing w:after="0"/>
            </w:pPr>
            <w:r>
              <w:rPr>
                <w:rFonts w:ascii="Consolas" w:hAnsi="Consolas"/>
                <w:b/>
                <w:i w:val="0"/>
                <w:color w:val="222222"/>
                <w:sz w:val="18"/>
              </w:rPr>
              <w:t>inter_in_degree</w:t>
            </w:r>
          </w:p>
        </w:tc>
        <w:tc>
          <w:tcPr>
            <w:tcW w:type="dxa" w:w="1392"/>
            <w:shd w:val="clear" w:color="auto" w:fill="FFFFFF"/>
            <w:vAlign w:val="center"/>
          </w:tcPr>
          <w:p>
            <w:pPr>
              <w:keepNext w:val="0"/>
              <w:spacing w:after="0"/>
              <w:jc w:val="center"/>
            </w:pPr>
            <w:r>
              <w:rPr>
                <w:rFonts w:ascii="Calibri" w:hAnsi="Calibri"/>
                <w:b w:val="0"/>
                <w:i w:val="0"/>
                <w:color w:val="222222"/>
                <w:sz w:val="20"/>
              </w:rPr>
              <w:t>0.0001</w:t>
            </w:r>
          </w:p>
        </w:tc>
        <w:tc>
          <w:tcPr>
            <w:tcW w:type="dxa" w:w="874"/>
            <w:shd w:val="clear" w:color="auto" w:fill="FFFFFF"/>
            <w:vAlign w:val="center"/>
          </w:tcPr>
          <w:p>
            <w:pPr>
              <w:keepNext w:val="0"/>
              <w:spacing w:after="0"/>
              <w:jc w:val="center"/>
            </w:pPr>
            <w:r>
              <w:rPr>
                <w:rFonts w:ascii="Calibri" w:hAnsi="Calibri"/>
                <w:b w:val="0"/>
                <w:i w:val="0"/>
                <w:color w:val="222222"/>
                <w:sz w:val="20"/>
              </w:rPr>
              <w:t>0.0056</w:t>
            </w:r>
          </w:p>
        </w:tc>
        <w:tc>
          <w:tcPr>
            <w:tcW w:type="dxa" w:w="1166"/>
            <w:shd w:val="clear" w:color="auto" w:fill="FFFFFF"/>
            <w:vAlign w:val="center"/>
          </w:tcPr>
          <w:p>
            <w:pPr>
              <w:keepNext w:val="0"/>
              <w:spacing w:after="0"/>
              <w:jc w:val="center"/>
            </w:pPr>
            <w:r>
              <w:rPr>
                <w:rFonts w:ascii="Calibri" w:hAnsi="Calibri"/>
                <w:b w:val="0"/>
                <w:i w:val="0"/>
                <w:color w:val="222222"/>
                <w:sz w:val="20"/>
              </w:rPr>
              <w:t>0.0056</w:t>
            </w:r>
          </w:p>
        </w:tc>
        <w:tc>
          <w:tcPr>
            <w:tcW w:type="dxa" w:w="1353"/>
            <w:shd w:val="clear" w:color="auto" w:fill="FFFFFF"/>
            <w:vAlign w:val="center"/>
          </w:tcPr>
          <w:p>
            <w:pPr>
              <w:keepNext w:val="0"/>
              <w:spacing w:after="0"/>
              <w:jc w:val="center"/>
            </w:pPr>
            <w:r>
              <w:rPr>
                <w:rFonts w:ascii="Calibri" w:hAnsi="Calibri"/>
                <w:b w:val="0"/>
                <w:i w:val="0"/>
                <w:color w:val="222222"/>
                <w:sz w:val="20"/>
              </w:rPr>
              <w:t>0.306</w:t>
            </w:r>
          </w:p>
        </w:tc>
        <w:tc>
          <w:tcPr>
            <w:tcW w:type="dxa" w:w="1092"/>
            <w:shd w:val="clear" w:color="auto" w:fill="FFFFFF"/>
            <w:vAlign w:val="center"/>
          </w:tcPr>
          <w:p>
            <w:pPr>
              <w:keepNext w:val="0"/>
              <w:spacing w:after="0"/>
              <w:jc w:val="center"/>
            </w:pPr>
            <w:r>
              <w:rPr>
                <w:rFonts w:ascii="Calibri" w:hAnsi="Calibri"/>
                <w:b w:val="0"/>
                <w:i w:val="0"/>
                <w:color w:val="222222"/>
                <w:sz w:val="20"/>
              </w:rPr>
              <w:t>0.41</w:t>
            </w:r>
          </w:p>
        </w:tc>
      </w:tr>
    </w:tbl>
    <w:p>
      <w:pPr>
        <w:spacing w:after="80"/>
      </w:pPr>
    </w:p>
    <w:p>
      <w:pPr>
        <w:spacing w:after="120"/>
      </w:pPr>
      <w:r>
        <w:rPr>
          <w:rFonts w:ascii="Calibri" w:hAnsi="Calibri"/>
          <w:b w:val="0"/>
          <w:i w:val="0"/>
          <w:color w:val="222222"/>
          <w:sz w:val="21"/>
        </w:rPr>
        <w:t>Two of the seven predictions pass (2 of 7):</w:t>
      </w:r>
    </w:p>
    <w:p>
      <w:pPr>
        <w:spacing w:after="120"/>
        <w:ind w:left="432" w:hanging="259"/>
      </w:pPr>
      <w:r>
        <w:rPr>
          <w:rFonts w:ascii="Calibri" w:hAnsi="Calibri"/>
          <w:b w:val="0"/>
          <w:i w:val="0"/>
          <w:color w:val="222222"/>
          <w:sz w:val="21"/>
        </w:rPr>
        <w:t>•</w:t>
        <w:tab/>
      </w:r>
      <w:r>
        <w:rPr>
          <w:rFonts w:ascii="Calibri" w:hAnsi="Calibri"/>
          <w:b/>
          <w:i w:val="0"/>
          <w:color w:val="156082"/>
          <w:sz w:val="21"/>
        </w:rPr>
        <w:t>The first-round failure replicates (passes), and more.</w:t>
      </w:r>
      <w:r>
        <w:rPr>
          <w:rFonts w:ascii="Calibri" w:hAnsi="Calibri"/>
          <w:b w:val="0"/>
          <w:i w:val="0"/>
          <w:color w:val="222222"/>
          <w:sz w:val="21"/>
        </w:rPr>
        <w:t xml:space="preserve"> On fresh simulations the first-round flow fails all five parameters, not two. It was not a changed simulator: six of its own training runs, re-simulated today, came out identical (6 of 6, a check added after the result). Nor was it our evaluation code: run on the first-round held-out set, it reproduces the first-round pattern, </w:t>
      </w:r>
      <w:r>
        <w:rPr>
          <w:rFonts w:ascii="Consolas" w:hAnsi="Consolas"/>
          <w:b w:val="0"/>
          <w:i w:val="0"/>
          <w:color w:val="222222"/>
          <w:sz w:val="19"/>
        </w:rPr>
        <w:t>threshold_scale</w:t>
      </w:r>
      <w:r>
        <w:rPr>
          <w:rFonts w:ascii="Calibri" w:hAnsi="Calibri"/>
          <w:b w:val="0"/>
          <w:i w:val="0"/>
          <w:color w:val="222222"/>
          <w:sz w:val="21"/>
        </w:rPr>
        <w:t xml:space="preserve"> passing at 0.7551 and </w:t>
      </w:r>
      <w:r>
        <w:rPr>
          <w:rFonts w:ascii="Consolas" w:hAnsi="Consolas"/>
          <w:b w:val="0"/>
          <w:i w:val="0"/>
          <w:color w:val="222222"/>
          <w:sz w:val="19"/>
        </w:rPr>
        <w:t>inter_in_degree</w:t>
      </w:r>
      <w:r>
        <w:rPr>
          <w:rFonts w:ascii="Calibri" w:hAnsi="Calibri"/>
          <w:b w:val="0"/>
          <w:i w:val="0"/>
          <w:color w:val="222222"/>
          <w:sz w:val="21"/>
        </w:rPr>
        <w:t xml:space="preserve"> failing at 0.0037. What the first-round test missed, coverage shows: even on that set, the first-round flow's 50% intervals held the true value 0.3933 to 0.47 of the time. Three hundred runs are too few for a rank test to see an over-confidence of this size reliably, so the first-round passes were partly luck (post hoc reading).</w:t>
      </w:r>
    </w:p>
    <w:p>
      <w:pPr>
        <w:spacing w:after="120"/>
        <w:ind w:left="432" w:hanging="259"/>
      </w:pPr>
      <w:r>
        <w:rPr>
          <w:rFonts w:ascii="Calibri" w:hAnsi="Calibri"/>
          <w:b w:val="0"/>
          <w:i w:val="0"/>
          <w:color w:val="222222"/>
          <w:sz w:val="21"/>
        </w:rPr>
        <w:t>•</w:t>
        <w:tab/>
      </w:r>
      <w:r>
        <w:rPr>
          <w:rFonts w:ascii="Calibri" w:hAnsi="Calibri"/>
          <w:b/>
          <w:i w:val="0"/>
          <w:color w:val="156082"/>
          <w:sz w:val="21"/>
        </w:rPr>
        <w:t>The ensemble does not calibrate all five (three predictions fail).</w:t>
      </w:r>
      <w:r>
        <w:rPr>
          <w:rFonts w:ascii="Calibri" w:hAnsi="Calibri"/>
          <w:b w:val="0"/>
          <w:i w:val="0"/>
          <w:color w:val="222222"/>
          <w:sz w:val="21"/>
        </w:rPr>
        <w:t xml:space="preserve"> On the primary test it passes four parameters and fails </w:t>
      </w:r>
      <w:r>
        <w:rPr>
          <w:rFonts w:ascii="Consolas" w:hAnsi="Consolas"/>
          <w:b w:val="0"/>
          <w:i w:val="0"/>
          <w:color w:val="222222"/>
          <w:sz w:val="19"/>
        </w:rPr>
        <w:t>inter_in_degree</w:t>
      </w:r>
      <w:r>
        <w:rPr>
          <w:rFonts w:ascii="Calibri" w:hAnsi="Calibri"/>
          <w:b w:val="0"/>
          <w:i w:val="0"/>
          <w:color w:val="222222"/>
          <w:sz w:val="21"/>
        </w:rPr>
        <w:t xml:space="preserve">; on the full held-out set it fails four of five (only </w:t>
      </w:r>
      <w:r>
        <w:rPr>
          <w:rFonts w:ascii="Consolas" w:hAnsi="Consolas"/>
          <w:b w:val="0"/>
          <w:i w:val="0"/>
          <w:color w:val="222222"/>
          <w:sz w:val="19"/>
        </w:rPr>
        <w:t>threshold_scale</w:t>
      </w:r>
      <w:r>
        <w:rPr>
          <w:rFonts w:ascii="Calibri" w:hAnsi="Calibri"/>
          <w:b w:val="0"/>
          <w:i w:val="0"/>
          <w:color w:val="222222"/>
          <w:sz w:val="21"/>
        </w:rPr>
        <w:t>, p = 0.1935, passes), and its intervals are still too narrow for four parameters (coverage check fails).</w:t>
      </w:r>
    </w:p>
    <w:p>
      <w:pPr>
        <w:spacing w:after="120"/>
        <w:ind w:left="432" w:hanging="259"/>
      </w:pPr>
      <w:r>
        <w:rPr>
          <w:rFonts w:ascii="Calibri" w:hAnsi="Calibri"/>
          <w:b w:val="0"/>
          <w:i w:val="0"/>
          <w:color w:val="222222"/>
          <w:sz w:val="21"/>
        </w:rPr>
        <w:t>•</w:t>
        <w:tab/>
      </w:r>
      <w:r>
        <w:rPr>
          <w:rFonts w:ascii="Calibri" w:hAnsi="Calibri"/>
          <w:b/>
          <w:i w:val="0"/>
          <w:color w:val="156082"/>
          <w:sz w:val="21"/>
        </w:rPr>
        <w:t>No contraction is lost (passes).</w:t>
      </w:r>
      <w:r>
        <w:rPr>
          <w:rFonts w:ascii="Calibri" w:hAnsi="Calibri"/>
          <w:b w:val="0"/>
          <w:i w:val="0"/>
          <w:color w:val="222222"/>
          <w:sz w:val="21"/>
        </w:rPr>
        <w:t xml:space="preserve"> Every parameter's contraction is at or above the first-round flow's on the same runs, less the registered margin of 0.05.</w:t>
      </w:r>
    </w:p>
    <w:p>
      <w:pPr>
        <w:spacing w:after="120"/>
        <w:ind w:left="432" w:hanging="259"/>
      </w:pPr>
      <w:r>
        <w:rPr>
          <w:rFonts w:ascii="Calibri" w:hAnsi="Calibri"/>
          <w:b w:val="0"/>
          <w:i w:val="0"/>
          <w:color w:val="222222"/>
          <w:sz w:val="21"/>
        </w:rPr>
        <w:t>•</w:t>
        <w:tab/>
      </w:r>
      <w:r>
        <w:rPr>
          <w:rFonts w:ascii="Calibri" w:hAnsi="Calibri"/>
          <w:b/>
          <w:i w:val="0"/>
          <w:color w:val="156082"/>
          <w:sz w:val="21"/>
        </w:rPr>
        <w:t>It costs more per posterior (fails).</w:t>
      </w:r>
      <w:r>
        <w:rPr>
          <w:rFonts w:ascii="Calibri" w:hAnsi="Calibri"/>
          <w:b w:val="0"/>
          <w:i w:val="0"/>
          <w:color w:val="222222"/>
          <w:sz w:val="21"/>
        </w:rPr>
        <w:t xml:space="preserve"> The ensemble takes 1.953 s for 1,000 draws against 0.3286 s for the first-round flow in the same process; the registered limit was 1 s. Each member is sampled separately, so the cost scales with the number of members.</w:t>
      </w:r>
    </w:p>
    <w:p>
      <w:pPr>
        <w:spacing w:after="120"/>
        <w:ind w:left="432" w:hanging="259"/>
      </w:pPr>
      <w:r>
        <w:rPr>
          <w:rFonts w:ascii="Calibri" w:hAnsi="Calibri"/>
          <w:b w:val="0"/>
          <w:i w:val="0"/>
          <w:color w:val="222222"/>
          <w:sz w:val="21"/>
        </w:rPr>
        <w:t>•</w:t>
        <w:tab/>
      </w:r>
      <w:r>
        <w:rPr>
          <w:rFonts w:ascii="Calibri" w:hAnsi="Calibri"/>
          <w:b/>
          <w:i w:val="0"/>
          <w:color w:val="156082"/>
          <w:sz w:val="21"/>
        </w:rPr>
        <w:t>Budget alone does not fix the two (fails).</w:t>
      </w:r>
      <w:r>
        <w:rPr>
          <w:rFonts w:ascii="Calibri" w:hAnsi="Calibri"/>
          <w:b w:val="0"/>
          <w:i w:val="0"/>
          <w:color w:val="222222"/>
          <w:sz w:val="21"/>
        </w:rPr>
        <w:t xml:space="preserve"> The first-round flow retrained on 15,750 runs is sharper but still fails </w:t>
      </w:r>
      <w:r>
        <w:rPr>
          <w:rFonts w:ascii="Consolas" w:hAnsi="Consolas"/>
          <w:b w:val="0"/>
          <w:i w:val="0"/>
          <w:color w:val="222222"/>
          <w:sz w:val="19"/>
        </w:rPr>
        <w:t>gabaa_scale</w:t>
      </w:r>
      <w:r>
        <w:rPr>
          <w:rFonts w:ascii="Calibri" w:hAnsi="Calibri"/>
          <w:b w:val="0"/>
          <w:i w:val="0"/>
          <w:color w:val="222222"/>
          <w:sz w:val="21"/>
        </w:rPr>
        <w:t xml:space="preserve"> (p = 0.0025) and </w:t>
      </w:r>
      <w:r>
        <w:rPr>
          <w:rFonts w:ascii="Consolas" w:hAnsi="Consolas"/>
          <w:b w:val="0"/>
          <w:i w:val="0"/>
          <w:color w:val="222222"/>
          <w:sz w:val="19"/>
        </w:rPr>
        <w:t>inter_in_degree</w:t>
      </w:r>
      <w:r>
        <w:rPr>
          <w:rFonts w:ascii="Calibri" w:hAnsi="Calibri"/>
          <w:b w:val="0"/>
          <w:i w:val="0"/>
          <w:color w:val="222222"/>
          <w:sz w:val="21"/>
        </w:rPr>
        <w:t xml:space="preserve">. The five-flow ensemble on the first-round training set alone fails all five on the primary test. Only budget and averaging together moved </w:t>
      </w:r>
      <w:r>
        <w:rPr>
          <w:rFonts w:ascii="Consolas" w:hAnsi="Consolas"/>
          <w:b w:val="0"/>
          <w:i w:val="0"/>
          <w:color w:val="222222"/>
          <w:sz w:val="19"/>
        </w:rPr>
        <w:t>gabaa_scale</w:t>
      </w:r>
      <w:r>
        <w:rPr>
          <w:rFonts w:ascii="Calibri" w:hAnsi="Calibri"/>
          <w:b w:val="0"/>
          <w:i w:val="0"/>
          <w:color w:val="222222"/>
          <w:sz w:val="21"/>
        </w:rPr>
        <w:t xml:space="preserve"> past the threshold on the 300-run test, and on the full held-out set it fails there too (exploratory comparison).</w:t>
      </w:r>
    </w:p>
    <w:p>
      <w:pPr>
        <w:spacing w:after="120"/>
      </w:pPr>
      <w:r>
        <w:rPr>
          <w:rFonts w:ascii="Calibri" w:hAnsi="Calibri"/>
          <w:b w:val="0"/>
          <w:i w:val="0"/>
          <w:color w:val="222222"/>
          <w:sz w:val="21"/>
        </w:rPr>
        <w:t xml:space="preserve">The registered check near the real recordings also fails: on the 300 held-out runs closest to the 113 real two-chamber recordings, the ensemble fails </w:t>
      </w:r>
      <w:r>
        <w:rPr>
          <w:rFonts w:ascii="Consolas" w:hAnsi="Consolas"/>
          <w:b w:val="0"/>
          <w:i w:val="0"/>
          <w:color w:val="222222"/>
          <w:sz w:val="19"/>
        </w:rPr>
        <w:t>ampa_scale</w:t>
      </w:r>
      <w:r>
        <w:rPr>
          <w:rFonts w:ascii="Calibri" w:hAnsi="Calibri"/>
          <w:b w:val="0"/>
          <w:i w:val="0"/>
          <w:color w:val="222222"/>
          <w:sz w:val="21"/>
        </w:rPr>
        <w:t xml:space="preserve"> (p = 0.0121). Those runs are not very close: the median real recording lies 2.661 standard units from its nearest simulation, where a simulation lies 0.541 from its nearest neighbour.</w:t>
      </w:r>
    </w:p>
    <w:p>
      <w:pPr>
        <w:spacing w:after="120"/>
      </w:pPr>
      <w:r>
        <w:rPr>
          <w:rFonts w:ascii="Calibri" w:hAnsi="Calibri"/>
          <w:b w:val="0"/>
          <w:i w:val="0"/>
          <w:color w:val="222222"/>
          <w:sz w:val="21"/>
        </w:rPr>
        <w:t xml:space="preserve">Under the rule registered for the slide, the ensemble may be quoted for </w:t>
      </w:r>
      <w:r>
        <w:rPr>
          <w:rFonts w:ascii="Consolas" w:hAnsi="Consolas"/>
          <w:b w:val="0"/>
          <w:i w:val="0"/>
          <w:color w:val="222222"/>
          <w:sz w:val="19"/>
        </w:rPr>
        <w:t>threshold_scale</w:t>
      </w:r>
      <w:r>
        <w:rPr>
          <w:rFonts w:ascii="Calibri" w:hAnsi="Calibri"/>
          <w:b w:val="0"/>
          <w:i w:val="0"/>
          <w:color w:val="222222"/>
          <w:sz w:val="21"/>
        </w:rPr>
        <w:t xml:space="preserve"> only. The inhibitory knob our pharmacology sections lean on stays withheld, as do the other three. More simulations and averaging lower every parameter's rank-test statistic on the full held-out set (for </w:t>
      </w:r>
      <w:r>
        <w:rPr>
          <w:rFonts w:ascii="Consolas" w:hAnsi="Consolas"/>
          <w:b w:val="0"/>
          <w:i w:val="0"/>
          <w:color w:val="222222"/>
          <w:sz w:val="19"/>
        </w:rPr>
        <w:t>gabaa_scale</w:t>
      </w:r>
      <w:r>
        <w:rPr>
          <w:rFonts w:ascii="Calibri" w:hAnsi="Calibri"/>
          <w:b w:val="0"/>
          <w:i w:val="0"/>
          <w:color w:val="222222"/>
          <w:sz w:val="21"/>
        </w:rPr>
        <w:t xml:space="preserve"> from 0.11 to 0.077, for </w:t>
      </w:r>
      <w:r>
        <w:rPr>
          <w:rFonts w:ascii="Consolas" w:hAnsi="Consolas"/>
          <w:b w:val="0"/>
          <w:i w:val="0"/>
          <w:color w:val="222222"/>
          <w:sz w:val="19"/>
        </w:rPr>
        <w:t>inter_in_degree</w:t>
      </w:r>
      <w:r>
        <w:rPr>
          <w:rFonts w:ascii="Calibri" w:hAnsi="Calibri"/>
          <w:b w:val="0"/>
          <w:i w:val="0"/>
          <w:color w:val="222222"/>
          <w:sz w:val="21"/>
        </w:rPr>
        <w:t xml:space="preserve"> from 0.107 to 0.063) without costing sharpness, but not far enough, so the limit is not budget alone; whether it is the estimator family or what the 19 summaries carry is the next question, not one this test answers. The full record is </w:t>
      </w:r>
      <w:r>
        <w:rPr>
          <w:rFonts w:ascii="Consolas" w:hAnsi="Consolas"/>
          <w:b w:val="0"/>
          <w:i w:val="0"/>
          <w:color w:val="222222"/>
          <w:sz w:val="19"/>
        </w:rPr>
        <w:t>twin_hd14b_recalibration</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 and the rank histograms and coverage are in Appendix G.</w:t>
      </w:r>
    </w:p>
    <w:p>
      <w:pPr>
        <w:spacing w:after="120"/>
      </w:pPr>
      <w:r>
        <w:rPr>
          <w:rFonts w:ascii="Calibri" w:hAnsi="Calibri"/>
          <w:b/>
          <w:i w:val="0"/>
          <w:color w:val="156082"/>
          <w:sz w:val="21"/>
        </w:rPr>
        <w:t>The false-disinhibition artifact.</w:t>
      </w:r>
      <w:r>
        <w:rPr>
          <w:rFonts w:ascii="Calibri" w:hAnsi="Calibri"/>
          <w:b w:val="0"/>
          <w:i w:val="0"/>
          <w:color w:val="222222"/>
          <w:sz w:val="21"/>
        </w:rPr>
        <w:t xml:space="preserve"> When we applied the model to real untreated chips, it returned an inferred inhibition scale of 0.5219 on an interval of 0.2732 to 0.8503 — apparent disinhibition in wells that had received no drug. That is not biology. It is the model's way of saying "real recordings do not look like my simulations," in the only vocabulary it has. When we reformulated inference around paired deltas, untreated chips moved to 0.9108 on 0.8583 to 0.966, and contraction rose to 0.5375. Most of the offset disappears, but not all of it: the interval still stops short of neutral.</w:t>
      </w:r>
    </w:p>
    <w:p>
      <w:pPr>
        <w:spacing w:after="120"/>
      </w:pPr>
      <w:r>
        <w:rPr>
          <w:rFonts w:ascii="Calibri" w:hAnsi="Calibri"/>
          <w:b/>
          <w:i w:val="0"/>
          <w:color w:val="156082"/>
          <w:sz w:val="21"/>
        </w:rPr>
        <w:t>Out-of-distribution rejection.</w:t>
      </w:r>
      <w:r>
        <w:rPr>
          <w:rFonts w:ascii="Calibri" w:hAnsi="Calibri"/>
          <w:b w:val="0"/>
          <w:i w:val="0"/>
          <w:color w:val="222222"/>
          <w:sz w:val="21"/>
        </w:rPr>
        <w:t xml:space="preserve"> We asked for 200 draws per recording across 113 bicuculline trials, and the posterior could not deliver them for 9 of those recordings; the worst yielded only 1 draw, and 0 failed outright. This only appeared once the twin moved to its calibrated density: a posterior fitted to a sharper forward model is less forgiving of observations that model cannot produce. In effect the posterior carries a built-in out-of-distribution flag: a recording it cannot sample from is one the twin cannot produce, and in high-content screening that recording should go to a person rather than get a forced answer. We have not measured how well this flag separates genuine anomalies from ordinary recordings, so we report it as a behavior, not as a validated detector.</w:t>
      </w:r>
    </w:p>
    <w:p>
      <w:pPr>
        <w:keepNext/>
        <w:spacing w:before="240" w:after="60"/>
      </w:pPr>
      <w:r>
        <w:rPr>
          <w:rFonts w:ascii="Calibri" w:hAnsi="Calibri"/>
          <w:b/>
          <w:i w:val="0"/>
          <w:color w:val="1F4E79"/>
          <w:sz w:val="23"/>
        </w:rPr>
        <w:t>17. What it takes to see directionality at all</w:t>
      </w:r>
    </w:p>
    <w:p>
      <w:pPr>
        <w:spacing w:after="120"/>
      </w:pPr>
      <w:r>
        <w:rPr>
          <w:rFonts w:ascii="Calibri" w:hAnsi="Calibri"/>
          <w:b w:val="0"/>
          <w:i w:val="0"/>
          <w:color w:val="222222"/>
          <w:sz w:val="21"/>
        </w:rPr>
        <w:t>One thing a twin is genuinely good at is telling you how much experiment you need. Across 120 simulated networks with known wiring, the cheapest configuration that reaches our target distinguishes asymmetric from symmetric wiring with an AUC of 0.8928, using 24 electrodes per compartment and a 10-second recording.</w:t>
      </w:r>
    </w:p>
    <w:p>
      <w:pPr>
        <w:spacing w:after="120"/>
      </w:pPr>
      <w:r>
        <w:rPr>
          <w:rFonts w:ascii="Calibri" w:hAnsi="Calibri"/>
          <w:b/>
          <w:i w:val="0"/>
          <w:color w:val="156082"/>
          <w:sz w:val="21"/>
        </w:rPr>
        <w:t>The hidden catch.</w:t>
      </w:r>
      <w:r>
        <w:rPr>
          <w:rFonts w:ascii="Calibri" w:hAnsi="Calibri"/>
          <w:b w:val="0"/>
          <w:i w:val="0"/>
          <w:color w:val="222222"/>
          <w:sz w:val="21"/>
        </w:rPr>
        <w:t xml:space="preserve"> Most of that signal is firing rate, not direction. A directional pathway delivers more excitation to its target chamber, so the target simply fires more. If we lower the receiving chamber's background drive, measured coupling asymmetry moves from 0.109 to 0.681 with the wiring unchanged. Across the sweep, drive moves the measure further than wiring does: a span of 0.671 against 0.109. Regress firing rate out of the features, inside each training fold, and the cheapest configuration doubles to 48 electrodes per compartment. Twenty-four electrodes and ten seconds will tell these cultures apart, but claiming that this reflects directional communication requires explicit rate-matching controls.</w:t>
      </w:r>
    </w:p>
    <w:p>
      <w:pPr>
        <w:keepNext/>
        <w:spacing w:before="360" w:after="120"/>
      </w:pPr>
      <w:r>
        <w:rPr>
          <w:rFonts w:ascii="Calibri" w:hAnsi="Calibri"/>
          <w:b/>
          <w:i w:val="0"/>
          <w:color w:val="2F5597"/>
          <w:sz w:val="27"/>
        </w:rPr>
        <w:t>ACT V: The negative results and scientific boundaries</w:t>
      </w:r>
    </w:p>
    <w:p>
      <w:pPr>
        <w:keepNext/>
        <w:spacing w:before="240" w:after="60"/>
      </w:pPr>
      <w:r>
        <w:rPr>
          <w:rFonts w:ascii="Calibri" w:hAnsi="Calibri"/>
          <w:b/>
          <w:i w:val="0"/>
          <w:color w:val="1F4E79"/>
          <w:sz w:val="23"/>
        </w:rPr>
        <w:t>18. Collection of negative results</w:t>
      </w:r>
    </w:p>
    <w:p>
      <w:pPr>
        <w:keepNext/>
        <w:spacing w:after="120"/>
      </w:pPr>
      <w:r>
        <w:rPr>
          <w:rFonts w:ascii="Calibri" w:hAnsi="Calibri"/>
          <w:b w:val="0"/>
          <w:i w:val="0"/>
          <w:color w:val="222222"/>
          <w:sz w:val="21"/>
        </w:rPr>
        <w:t>Negative results are easy to miss when they are scattered through a long report. Collected in one place, they are the part of our work we would most like to see challenged — and the part most likely to save someone else an experiment. Each one tells you what not to rely on, so the last column says what we would do instead.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6"/>
        <w:gridCol w:w="2155"/>
        <w:gridCol w:w="2512"/>
        <w:gridCol w:w="3523"/>
      </w:tblGrid>
      <w:tr>
        <w:trPr>
          <w:cantSplit/>
          <w:tblHeader/>
        </w:trPr>
        <w:tc>
          <w:tcPr>
            <w:tcW w:type="dxa" w:w="306"/>
            <w:shd w:val="clear" w:color="auto" w:fill="1F4E79"/>
            <w:vAlign w:val="center"/>
          </w:tcPr>
          <w:p>
            <w:pPr>
              <w:keepNext/>
              <w:spacing w:after="0"/>
              <w:jc w:val="center"/>
            </w:pPr>
            <w:r>
              <w:rPr>
                <w:rFonts w:ascii="Calibri" w:hAnsi="Calibri"/>
                <w:b/>
                <w:i w:val="0"/>
                <w:color w:val="FFFFFF"/>
                <w:sz w:val="20"/>
              </w:rPr>
              <w:t>#</w:t>
            </w:r>
          </w:p>
        </w:tc>
        <w:tc>
          <w:tcPr>
            <w:tcW w:type="dxa" w:w="2155"/>
            <w:shd w:val="clear" w:color="auto" w:fill="1F4E79"/>
            <w:vAlign w:val="center"/>
          </w:tcPr>
          <w:p>
            <w:pPr>
              <w:keepNext/>
              <w:spacing w:after="0"/>
            </w:pPr>
            <w:r>
              <w:rPr>
                <w:rFonts w:ascii="Calibri" w:hAnsi="Calibri"/>
                <w:b/>
                <w:i w:val="0"/>
                <w:color w:val="FFFFFF"/>
                <w:sz w:val="20"/>
              </w:rPr>
              <w:t>finding</w:t>
            </w:r>
          </w:p>
        </w:tc>
        <w:tc>
          <w:tcPr>
            <w:tcW w:type="dxa" w:w="2512"/>
            <w:shd w:val="clear" w:color="auto" w:fill="1F4E79"/>
            <w:vAlign w:val="center"/>
          </w:tcPr>
          <w:p>
            <w:pPr>
              <w:keepNext/>
              <w:spacing w:after="0"/>
            </w:pPr>
            <w:r>
              <w:rPr>
                <w:rFonts w:ascii="Calibri" w:hAnsi="Calibri"/>
                <w:b/>
                <w:i w:val="0"/>
                <w:color w:val="FFFFFF"/>
                <w:sz w:val="20"/>
              </w:rPr>
              <w:t>evidence</w:t>
            </w:r>
          </w:p>
        </w:tc>
        <w:tc>
          <w:tcPr>
            <w:tcW w:type="dxa" w:w="3523"/>
            <w:shd w:val="clear" w:color="auto" w:fill="1F4E79"/>
            <w:vAlign w:val="center"/>
          </w:tcPr>
          <w:p>
            <w:pPr>
              <w:keepNext/>
              <w:spacing w:after="0"/>
            </w:pPr>
            <w:r>
              <w:rPr>
                <w:rFonts w:ascii="Calibri" w:hAnsi="Calibri"/>
                <w:b/>
                <w:i w:val="0"/>
                <w:color w:val="FFFFFF"/>
                <w:sz w:val="20"/>
              </w:rPr>
              <w:t>what to do instead</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1</w:t>
            </w:r>
          </w:p>
        </w:tc>
        <w:tc>
          <w:tcPr>
            <w:tcW w:type="dxa" w:w="2155"/>
            <w:shd w:val="clear" w:color="auto" w:fill="FFFFFF"/>
            <w:vAlign w:val="center"/>
          </w:tcPr>
          <w:p>
            <w:pPr>
              <w:keepNext/>
              <w:spacing w:after="0"/>
            </w:pPr>
            <w:r>
              <w:rPr>
                <w:rFonts w:ascii="Calibri" w:hAnsi="Calibri"/>
                <w:b w:val="0"/>
                <w:i w:val="0"/>
                <w:color w:val="222222"/>
                <w:sz w:val="20"/>
              </w:rPr>
              <w:t>the twin misses a dose trend the features carry</w:t>
            </w:r>
          </w:p>
        </w:tc>
        <w:tc>
          <w:tcPr>
            <w:tcW w:type="dxa" w:w="2512"/>
            <w:shd w:val="clear" w:color="auto" w:fill="FFFFFF"/>
            <w:vAlign w:val="center"/>
          </w:tcPr>
          <w:p>
            <w:pPr>
              <w:keepNext/>
              <w:spacing w:after="0"/>
            </w:pPr>
            <w:r>
              <w:rPr>
                <w:rFonts w:ascii="Calibri" w:hAnsi="Calibri"/>
                <w:b w:val="0"/>
                <w:i w:val="0"/>
                <w:color w:val="222222"/>
                <w:sz w:val="20"/>
              </w:rPr>
              <w:t>2 of 7 features fall with dose; inferred inhibition does not (ρ = −0.121)</w:t>
            </w:r>
          </w:p>
        </w:tc>
        <w:tc>
          <w:tcPr>
            <w:tcW w:type="dxa" w:w="3523"/>
            <w:shd w:val="clear" w:color="auto" w:fill="FFFFFF"/>
            <w:vAlign w:val="center"/>
          </w:tcPr>
          <w:p>
            <w:pPr>
              <w:keepNext/>
              <w:spacing w:after="0"/>
            </w:pPr>
            <w:r>
              <w:rPr>
                <w:rFonts w:ascii="Calibri" w:hAnsi="Calibri"/>
                <w:b w:val="0"/>
                <w:i w:val="0"/>
                <w:color w:val="222222"/>
                <w:sz w:val="20"/>
              </w:rPr>
              <w:t>read dose from burst rates against each device's own baseline; do not use the twin's dose inference until it recovers that trend</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2</w:t>
            </w:r>
          </w:p>
        </w:tc>
        <w:tc>
          <w:tcPr>
            <w:tcW w:type="dxa" w:w="2155"/>
            <w:shd w:val="clear" w:color="auto" w:fill="F7F9FB"/>
            <w:vAlign w:val="center"/>
          </w:tcPr>
          <w:p>
            <w:pPr>
              <w:keepNext/>
              <w:spacing w:after="0"/>
            </w:pPr>
            <w:r>
              <w:rPr>
                <w:rFonts w:ascii="Calibri" w:hAnsi="Calibri"/>
                <w:b w:val="0"/>
                <w:i w:val="0"/>
                <w:color w:val="222222"/>
                <w:sz w:val="20"/>
              </w:rPr>
              <w:t>chamber readouts miss direction</w:t>
            </w:r>
          </w:p>
        </w:tc>
        <w:tc>
          <w:tcPr>
            <w:tcW w:type="dxa" w:w="2512"/>
            <w:shd w:val="clear" w:color="auto" w:fill="F7F9FB"/>
            <w:vAlign w:val="center"/>
          </w:tcPr>
          <w:p>
            <w:pPr>
              <w:keepNext/>
              <w:spacing w:after="0"/>
            </w:pPr>
            <w:r>
              <w:rPr>
                <w:rFonts w:ascii="Calibri" w:hAnsi="Calibri"/>
                <w:b w:val="0"/>
                <w:i w:val="0"/>
                <w:color w:val="222222"/>
                <w:sz w:val="20"/>
              </w:rPr>
              <w:t>chamber classifier 0.3854 against 0.5 chance</w:t>
            </w:r>
          </w:p>
        </w:tc>
        <w:tc>
          <w:tcPr>
            <w:tcW w:type="dxa" w:w="3523"/>
            <w:shd w:val="clear" w:color="auto" w:fill="F7F9FB"/>
            <w:vAlign w:val="center"/>
          </w:tcPr>
          <w:p>
            <w:pPr>
              <w:keepNext/>
              <w:spacing w:after="0"/>
            </w:pPr>
            <w:r>
              <w:rPr>
                <w:rFonts w:ascii="Calibri" w:hAnsi="Calibri"/>
                <w:b w:val="0"/>
                <w:i w:val="0"/>
                <w:color w:val="222222"/>
                <w:sz w:val="20"/>
              </w:rPr>
              <w:t>put electrodes inside the microchannels</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3</w:t>
            </w:r>
          </w:p>
        </w:tc>
        <w:tc>
          <w:tcPr>
            <w:tcW w:type="dxa" w:w="2155"/>
            <w:shd w:val="clear" w:color="auto" w:fill="FFFFFF"/>
            <w:vAlign w:val="center"/>
          </w:tcPr>
          <w:p>
            <w:pPr>
              <w:keepNext/>
              <w:spacing w:after="0"/>
            </w:pPr>
            <w:r>
              <w:rPr>
                <w:rFonts w:ascii="Calibri" w:hAnsi="Calibri"/>
                <w:b w:val="0"/>
                <w:i w:val="0"/>
                <w:color w:val="222222"/>
                <w:sz w:val="20"/>
              </w:rPr>
              <w:t>no cross-laboratory transfer</w:t>
            </w:r>
          </w:p>
        </w:tc>
        <w:tc>
          <w:tcPr>
            <w:tcW w:type="dxa" w:w="2512"/>
            <w:shd w:val="clear" w:color="auto" w:fill="FFFFFF"/>
            <w:vAlign w:val="center"/>
          </w:tcPr>
          <w:p>
            <w:pPr>
              <w:keepNext/>
              <w:spacing w:after="0"/>
            </w:pPr>
            <w:r>
              <w:rPr>
                <w:rFonts w:ascii="Calibri" w:hAnsi="Calibri"/>
                <w:b w:val="0"/>
                <w:i w:val="0"/>
                <w:color w:val="222222"/>
                <w:sz w:val="20"/>
              </w:rPr>
              <w:t>0.3482 against 0.3333 chance</w:t>
            </w:r>
          </w:p>
        </w:tc>
        <w:tc>
          <w:tcPr>
            <w:tcW w:type="dxa" w:w="3523"/>
            <w:shd w:val="clear" w:color="auto" w:fill="FFFFFF"/>
            <w:vAlign w:val="center"/>
          </w:tcPr>
          <w:p>
            <w:pPr>
              <w:keepNext/>
              <w:spacing w:after="0"/>
            </w:pPr>
            <w:r>
              <w:rPr>
                <w:rFonts w:ascii="Calibri" w:hAnsi="Calibri"/>
                <w:b w:val="0"/>
                <w:i w:val="0"/>
                <w:color w:val="222222"/>
                <w:sz w:val="20"/>
              </w:rPr>
              <w:t>validate inside one laboratory; a cross-laboratory test needs two laboratories sharing at least two classes</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4</w:t>
            </w:r>
          </w:p>
        </w:tc>
        <w:tc>
          <w:tcPr>
            <w:tcW w:type="dxa" w:w="2155"/>
            <w:shd w:val="clear" w:color="auto" w:fill="F7F9FB"/>
            <w:vAlign w:val="center"/>
          </w:tcPr>
          <w:p>
            <w:pPr>
              <w:keepNext/>
              <w:spacing w:after="0"/>
            </w:pPr>
            <w:r>
              <w:rPr>
                <w:rFonts w:ascii="Calibri" w:hAnsi="Calibri"/>
                <w:b w:val="0"/>
                <w:i w:val="0"/>
                <w:color w:val="222222"/>
                <w:sz w:val="20"/>
              </w:rPr>
              <w:t>domain adaptation backfires</w:t>
            </w:r>
          </w:p>
        </w:tc>
        <w:tc>
          <w:tcPr>
            <w:tcW w:type="dxa" w:w="2512"/>
            <w:shd w:val="clear" w:color="auto" w:fill="F7F9FB"/>
            <w:vAlign w:val="center"/>
          </w:tcPr>
          <w:p>
            <w:pPr>
              <w:keepNext/>
              <w:spacing w:after="0"/>
            </w:pPr>
            <w:r>
              <w:rPr>
                <w:rFonts w:ascii="Calibri" w:hAnsi="Calibri"/>
                <w:b w:val="0"/>
                <w:i w:val="0"/>
                <w:color w:val="222222"/>
                <w:sz w:val="20"/>
              </w:rPr>
              <w:t>CORAL drops transfer to 0.442, standardization to 0.408</w:t>
            </w:r>
          </w:p>
        </w:tc>
        <w:tc>
          <w:tcPr>
            <w:tcW w:type="dxa" w:w="3523"/>
            <w:shd w:val="clear" w:color="auto" w:fill="F7F9FB"/>
            <w:vAlign w:val="center"/>
          </w:tcPr>
          <w:p>
            <w:pPr>
              <w:keepNext/>
              <w:spacing w:after="0"/>
            </w:pPr>
            <w:r>
              <w:rPr>
                <w:rFonts w:ascii="Calibri" w:hAnsi="Calibri"/>
                <w:b w:val="0"/>
                <w:i w:val="0"/>
                <w:color w:val="222222"/>
                <w:sz w:val="20"/>
              </w:rPr>
              <w:t>report the unadapted transfer first; adapt only once it beats that on held-out cultures</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5</w:t>
            </w:r>
          </w:p>
        </w:tc>
        <w:tc>
          <w:tcPr>
            <w:tcW w:type="dxa" w:w="2155"/>
            <w:shd w:val="clear" w:color="auto" w:fill="FFFFFF"/>
            <w:vAlign w:val="center"/>
          </w:tcPr>
          <w:p>
            <w:pPr>
              <w:keepNext/>
              <w:spacing w:after="0"/>
            </w:pPr>
            <w:r>
              <w:rPr>
                <w:rFonts w:ascii="Calibri" w:hAnsi="Calibri"/>
                <w:b w:val="0"/>
                <w:i w:val="0"/>
                <w:color w:val="222222"/>
                <w:sz w:val="20"/>
              </w:rPr>
              <w:t>synchrony was an artifact</w:t>
            </w:r>
          </w:p>
        </w:tc>
        <w:tc>
          <w:tcPr>
            <w:tcW w:type="dxa" w:w="2512"/>
            <w:shd w:val="clear" w:color="auto" w:fill="FFFFFF"/>
            <w:vAlign w:val="center"/>
          </w:tcPr>
          <w:p>
            <w:pPr>
              <w:keepNext/>
              <w:spacing w:after="0"/>
            </w:pPr>
            <w:r>
              <w:rPr>
                <w:rFonts w:ascii="Calibri" w:hAnsi="Calibri"/>
                <w:b w:val="0"/>
                <w:i w:val="0"/>
                <w:color w:val="222222"/>
                <w:sz w:val="20"/>
              </w:rPr>
              <w:t>depression and delay dispersion fail to fix synchrony</w:t>
            </w:r>
          </w:p>
        </w:tc>
        <w:tc>
          <w:tcPr>
            <w:tcW w:type="dxa" w:w="3523"/>
            <w:shd w:val="clear" w:color="auto" w:fill="FFFFFF"/>
            <w:vAlign w:val="center"/>
          </w:tcPr>
          <w:p>
            <w:pPr>
              <w:keepNext/>
              <w:spacing w:after="0"/>
            </w:pPr>
            <w:r>
              <w:rPr>
                <w:rFonts w:ascii="Calibri" w:hAnsi="Calibri"/>
                <w:b w:val="0"/>
                <w:i w:val="0"/>
                <w:color w:val="222222"/>
                <w:sz w:val="20"/>
              </w:rPr>
              <w:t>match cell density to culture and cap each electrode's radius at half the pitch (§13)</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6</w:t>
            </w:r>
          </w:p>
        </w:tc>
        <w:tc>
          <w:tcPr>
            <w:tcW w:type="dxa" w:w="2155"/>
            <w:shd w:val="clear" w:color="auto" w:fill="F7F9FB"/>
            <w:vAlign w:val="center"/>
          </w:tcPr>
          <w:p>
            <w:pPr>
              <w:keepNext/>
              <w:spacing w:after="0"/>
            </w:pPr>
            <w:r>
              <w:rPr>
                <w:rFonts w:ascii="Calibri" w:hAnsi="Calibri"/>
                <w:b w:val="0"/>
                <w:i w:val="0"/>
                <w:color w:val="222222"/>
                <w:sz w:val="20"/>
              </w:rPr>
              <w:t>posterior over-confidence</w:t>
            </w:r>
          </w:p>
        </w:tc>
        <w:tc>
          <w:tcPr>
            <w:tcW w:type="dxa" w:w="2512"/>
            <w:shd w:val="clear" w:color="auto" w:fill="F7F9FB"/>
            <w:vAlign w:val="center"/>
          </w:tcPr>
          <w:p>
            <w:pPr>
              <w:keepNext/>
              <w:spacing w:after="0"/>
            </w:pPr>
            <w:r>
              <w:rPr>
                <w:rFonts w:ascii="Consolas" w:hAnsi="Consolas"/>
                <w:b w:val="0"/>
                <w:i w:val="0"/>
                <w:color w:val="222222"/>
                <w:sz w:val="18"/>
              </w:rPr>
              <w:t>gabaa_scale</w:t>
            </w:r>
            <w:r>
              <w:rPr>
                <w:rFonts w:ascii="Calibri" w:hAnsi="Calibri"/>
                <w:b w:val="0"/>
                <w:i w:val="0"/>
                <w:color w:val="222222"/>
                <w:sz w:val="20"/>
              </w:rPr>
              <w:t xml:space="preserve"> fails rank uniformity at p = 0.0174; since round 1, on fresh simulations all five parameters fail, and a five-flow ensemble on 15,750 simulations leaves four over-confident (§16)</w:t>
            </w:r>
          </w:p>
        </w:tc>
        <w:tc>
          <w:tcPr>
            <w:tcW w:type="dxa" w:w="3523"/>
            <w:shd w:val="clear" w:color="auto" w:fill="F7F9FB"/>
            <w:vAlign w:val="center"/>
          </w:tcPr>
          <w:p>
            <w:pPr>
              <w:keepNext/>
              <w:spacing w:after="0"/>
            </w:pPr>
            <w:r>
              <w:rPr>
                <w:rFonts w:ascii="Calibri" w:hAnsi="Calibri"/>
                <w:b w:val="0"/>
                <w:i w:val="0"/>
                <w:color w:val="222222"/>
                <w:sz w:val="20"/>
              </w:rPr>
              <w:t>check rank uniformity and interval coverage on fresh simulations before quoting an interval; quote only parameters that pass both</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7</w:t>
            </w:r>
          </w:p>
        </w:tc>
        <w:tc>
          <w:tcPr>
            <w:tcW w:type="dxa" w:w="2155"/>
            <w:shd w:val="clear" w:color="auto" w:fill="FFFFFF"/>
            <w:vAlign w:val="center"/>
          </w:tcPr>
          <w:p>
            <w:pPr>
              <w:keepNext/>
              <w:spacing w:after="0"/>
            </w:pPr>
            <w:r>
              <w:rPr>
                <w:rFonts w:ascii="Calibri" w:hAnsi="Calibri"/>
                <w:b w:val="0"/>
                <w:i w:val="0"/>
                <w:color w:val="222222"/>
                <w:sz w:val="20"/>
              </w:rPr>
              <w:t>baseline read as drug effect</w:t>
            </w:r>
          </w:p>
        </w:tc>
        <w:tc>
          <w:tcPr>
            <w:tcW w:type="dxa" w:w="2512"/>
            <w:shd w:val="clear" w:color="auto" w:fill="FFFFFF"/>
            <w:vAlign w:val="center"/>
          </w:tcPr>
          <w:p>
            <w:pPr>
              <w:keepNext/>
              <w:spacing w:after="0"/>
            </w:pPr>
            <w:r>
              <w:rPr>
                <w:rFonts w:ascii="Calibri" w:hAnsi="Calibri"/>
                <w:b w:val="0"/>
                <w:i w:val="0"/>
                <w:color w:val="222222"/>
                <w:sz w:val="20"/>
              </w:rPr>
              <w:t>absolute features infer 0.5219 inhibition scale on untreated chips</w:t>
            </w:r>
          </w:p>
        </w:tc>
        <w:tc>
          <w:tcPr>
            <w:tcW w:type="dxa" w:w="3523"/>
            <w:shd w:val="clear" w:color="auto" w:fill="FFFFFF"/>
            <w:vAlign w:val="center"/>
          </w:tcPr>
          <w:p>
            <w:pPr>
              <w:keepNext/>
              <w:spacing w:after="0"/>
            </w:pPr>
            <w:r>
              <w:rPr>
                <w:rFonts w:ascii="Calibri" w:hAnsi="Calibri"/>
                <w:b w:val="0"/>
                <w:i w:val="0"/>
                <w:color w:val="222222"/>
                <w:sz w:val="20"/>
              </w:rPr>
              <w:t>infer from paired deltas against each well's own baseline (§16)</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8</w:t>
            </w:r>
          </w:p>
        </w:tc>
        <w:tc>
          <w:tcPr>
            <w:tcW w:type="dxa" w:w="2155"/>
            <w:shd w:val="clear" w:color="auto" w:fill="F7F9FB"/>
            <w:vAlign w:val="center"/>
          </w:tcPr>
          <w:p>
            <w:pPr>
              <w:keepNext/>
              <w:spacing w:after="0"/>
            </w:pPr>
            <w:r>
              <w:rPr>
                <w:rFonts w:ascii="Calibri" w:hAnsi="Calibri"/>
                <w:b w:val="0"/>
                <w:i w:val="0"/>
                <w:color w:val="222222"/>
                <w:sz w:val="20"/>
              </w:rPr>
              <w:t>support rejection</w:t>
            </w:r>
          </w:p>
        </w:tc>
        <w:tc>
          <w:tcPr>
            <w:tcW w:type="dxa" w:w="2512"/>
            <w:shd w:val="clear" w:color="auto" w:fill="F7F9FB"/>
            <w:vAlign w:val="center"/>
          </w:tcPr>
          <w:p>
            <w:pPr>
              <w:keepNext/>
              <w:spacing w:after="0"/>
            </w:pPr>
            <w:r>
              <w:rPr>
                <w:rFonts w:ascii="Calibri" w:hAnsi="Calibri"/>
                <w:b w:val="0"/>
                <w:i w:val="0"/>
                <w:color w:val="222222"/>
                <w:sz w:val="20"/>
              </w:rPr>
              <w:t>the calibrated twin cannot sample 9 of 113 real recordings</w:t>
            </w:r>
          </w:p>
        </w:tc>
        <w:tc>
          <w:tcPr>
            <w:tcW w:type="dxa" w:w="3523"/>
            <w:shd w:val="clear" w:color="auto" w:fill="F7F9FB"/>
            <w:vAlign w:val="center"/>
          </w:tcPr>
          <w:p>
            <w:pPr>
              <w:keepNext/>
              <w:spacing w:after="0"/>
            </w:pPr>
            <w:r>
              <w:rPr>
                <w:rFonts w:ascii="Calibri" w:hAnsi="Calibri"/>
                <w:b w:val="0"/>
                <w:i w:val="0"/>
                <w:color w:val="222222"/>
                <w:sz w:val="20"/>
              </w:rPr>
              <w:t>treat a refusal as an out-of-distribution flag and send the recording to a person</w:t>
            </w:r>
          </w:p>
        </w:tc>
      </w:tr>
      <w:tr>
        <w:trPr>
          <w:cantSplit/>
        </w:trPr>
        <w:tc>
          <w:tcPr>
            <w:tcW w:type="dxa" w:w="306"/>
            <w:shd w:val="clear" w:color="auto" w:fill="FFFFFF"/>
            <w:vAlign w:val="center"/>
          </w:tcPr>
          <w:p>
            <w:pPr>
              <w:keepNext w:val="0"/>
              <w:spacing w:after="0"/>
              <w:jc w:val="center"/>
            </w:pPr>
            <w:r>
              <w:rPr>
                <w:rFonts w:ascii="Calibri" w:hAnsi="Calibri"/>
                <w:b/>
                <w:i w:val="0"/>
                <w:color w:val="222222"/>
                <w:sz w:val="20"/>
              </w:rPr>
              <w:t>9</w:t>
            </w:r>
          </w:p>
        </w:tc>
        <w:tc>
          <w:tcPr>
            <w:tcW w:type="dxa" w:w="2155"/>
            <w:shd w:val="clear" w:color="auto" w:fill="FFFFFF"/>
            <w:vAlign w:val="center"/>
          </w:tcPr>
          <w:p>
            <w:pPr>
              <w:keepNext w:val="0"/>
              <w:spacing w:after="0"/>
            </w:pPr>
            <w:r>
              <w:rPr>
                <w:rFonts w:ascii="Calibri" w:hAnsi="Calibri"/>
                <w:b w:val="0"/>
                <w:i w:val="0"/>
                <w:color w:val="222222"/>
                <w:sz w:val="20"/>
              </w:rPr>
              <w:t>vesicle depletion does not explain the GABA-A reversal (added after the first round)</w:t>
            </w:r>
          </w:p>
        </w:tc>
        <w:tc>
          <w:tcPr>
            <w:tcW w:type="dxa" w:w="2512"/>
            <w:shd w:val="clear" w:color="auto" w:fill="FFFFFF"/>
            <w:vAlign w:val="center"/>
          </w:tcPr>
          <w:p>
            <w:pPr>
              <w:keepNext w:val="0"/>
              <w:spacing w:after="0"/>
            </w:pPr>
            <w:r>
              <w:rPr>
                <w:rFonts w:ascii="Calibri" w:hAnsi="Calibri"/>
                <w:b w:val="0"/>
                <w:i w:val="0"/>
                <w:color w:val="222222"/>
                <w:sz w:val="20"/>
              </w:rPr>
              <w:t>under strong GABA-A block the twin's firing rate rises by 2.389 log2; with depletion, by at least 0.8687; on real chips it changes by −0.335</w:t>
            </w:r>
          </w:p>
        </w:tc>
        <w:tc>
          <w:tcPr>
            <w:tcW w:type="dxa" w:w="3523"/>
            <w:shd w:val="clear" w:color="auto" w:fill="FFFFFF"/>
            <w:vAlign w:val="center"/>
          </w:tcPr>
          <w:p>
            <w:pPr>
              <w:keepNext w:val="0"/>
              <w:spacing w:after="0"/>
            </w:pPr>
            <w:r>
              <w:rPr>
                <w:rFonts w:ascii="Calibri" w:hAnsi="Calibri"/>
                <w:b w:val="0"/>
                <w:i w:val="0"/>
                <w:color w:val="222222"/>
                <w:sz w:val="20"/>
              </w:rPr>
              <w:t>do not read the twin's firing-rate direction under disinhibition as the culture's; look for the missing mechanism elsewhere (recalibrating with depression, depolarization block). Since round 1: in the EPA's rat cortical wells, GABA-A antagonists raise firing rate as the twin does (§33), so the real direction differs between laboratories</w:t>
            </w:r>
          </w:p>
        </w:tc>
      </w:tr>
    </w:tbl>
    <w:p>
      <w:pPr>
        <w:spacing w:after="80"/>
      </w:pPr>
    </w:p>
    <w:p>
      <w:pPr>
        <w:spacing w:after="120"/>
      </w:pPr>
      <w:r>
        <w:rPr>
          <w:rFonts w:ascii="Calibri" w:hAnsi="Calibri"/>
          <w:b/>
          <w:i w:val="0"/>
          <w:color w:val="156082"/>
          <w:sz w:val="21"/>
        </w:rPr>
        <w:t>On the first, which matters most.</w:t>
      </w:r>
      <w:r>
        <w:rPr>
          <w:rFonts w:ascii="Calibri" w:hAnsi="Calibri"/>
          <w:b w:val="0"/>
          <w:i w:val="0"/>
          <w:color w:val="222222"/>
          <w:sz w:val="21"/>
        </w:rPr>
        <w:t xml:space="preserve"> §6 showed that the mechanism classifier had no dose relationship, and §16 showed that the inverse model could not recover dose either. So we asked whether the signal is in the features at all: across 113 bicuculline recordings on 16 devices, does </w:t>
      </w:r>
      <w:r>
        <w:rPr>
          <w:rFonts w:ascii="Calibri" w:hAnsi="Calibri"/>
          <w:b w:val="0"/>
          <w:i/>
          <w:color w:val="222222"/>
          <w:sz w:val="21"/>
        </w:rPr>
        <w:t>any</w:t>
      </w:r>
      <w:r>
        <w:rPr>
          <w:rFonts w:ascii="Calibri" w:hAnsi="Calibri"/>
          <w:b w:val="0"/>
          <w:i w:val="0"/>
          <w:color w:val="222222"/>
          <w:sz w:val="21"/>
        </w:rPr>
        <w:t xml:space="preserve"> feature move monotonically with dose? Seven of the nine had enough points to test; the two burst-shape features, burst duration and spikes per burst, did not. Using raw values, 2 of the 7 do: burst rate (ρ = −0.58) and network burst rate (ρ = −0.60) fall with dose. After subtracting each device's own baseline, the same 2 do, in both cases after a Holm correction for testing seven features at once. The signal is there, and the twin's posterior does not recover it, so the inverse model is the part to fix. An earlier version of this analysis ranked doses without their units, which put the two lowest doses, recorded in nM, among the highest, and concluded the opposite. Another entry in this challenge, NeuroChip Twin, found the trend; tracing that disagreement found our error.</w:t>
      </w:r>
    </w:p>
    <w:p>
      <w:pPr>
        <w:keepNext/>
        <w:spacing w:after="120"/>
      </w:pPr>
      <w:r>
        <w:rPr>
          <w:rFonts w:ascii="Calibri" w:hAnsi="Calibri"/>
          <w:b/>
          <w:i w:val="0"/>
          <w:color w:val="156082"/>
          <w:sz w:val="21"/>
        </w:rPr>
        <w:t>On the ninth.</w:t>
      </w:r>
      <w:r>
        <w:rPr>
          <w:rFonts w:ascii="Calibri" w:hAnsi="Calibri"/>
          <w:b w:val="0"/>
          <w:i w:val="0"/>
          <w:color w:val="222222"/>
          <w:sz w:val="21"/>
        </w:rPr>
        <w:t xml:space="preserve"> A reviewer of the first round suggested that the twin raises firing rate under GABA-A block, where real chips lower it, because it lacks presynaptic vesicle depletion: in a dense culture, disinhibited bursts should exhaust the excitatory synapses and silence the network between them. It is a good hypothesis and the twin can test it, so we registered the test before running it (</w:t>
      </w:r>
      <w:r>
        <w:rPr>
          <w:rFonts w:ascii="Consolas" w:hAnsi="Consolas"/>
          <w:b w:val="0"/>
          <w:i w:val="0"/>
          <w:color w:val="222222"/>
          <w:sz w:val="19"/>
        </w:rPr>
        <w:t>preregistration/twin_depression_under_block.json</w:t>
      </w:r>
      <w:r>
        <w:rPr>
          <w:rFonts w:ascii="Calibri" w:hAnsi="Calibri"/>
          <w:b w:val="0"/>
          <w:i w:val="0"/>
          <w:color w:val="222222"/>
          <w:sz w:val="21"/>
        </w:rPr>
        <w:t>). We ran the four drug knobs and a five-step GABA-A dose series under each of the 7 depression settings of §13's earlier check. Depletion shrinks the rise, the more so the stronger it is, but in none of them does firing rate fall (0 settings), and in none do both burst rates fall with dose, as they do on real chips. The weights were not recalibrated with depression in place, so this does not rule the mechanism out; it does rule out depletion added to the present twin as the explanation.</w:t>
      </w:r>
    </w:p>
    <w:p>
      <w:pPr>
        <w:keepNext/>
        <w:spacing w:before="120" w:after="40"/>
        <w:jc w:val="center"/>
      </w:pPr>
      <w:r>
        <w:drawing>
          <wp:inline xmlns:a="http://schemas.openxmlformats.org/drawingml/2006/main" xmlns:pic="http://schemas.openxmlformats.org/drawingml/2006/picture">
            <wp:extent cx="3884371" cy="2141311"/>
            <wp:docPr id="16" name="Picture 16"/>
            <wp:cNvGraphicFramePr>
              <a:graphicFrameLocks noChangeAspect="1"/>
            </wp:cNvGraphicFramePr>
            <a:graphic>
              <a:graphicData uri="http://schemas.openxmlformats.org/drawingml/2006/picture">
                <pic:pic>
                  <pic:nvPicPr>
                    <pic:cNvPr id="0" name="depression_under_block_simulated.png"/>
                    <pic:cNvPicPr/>
                  </pic:nvPicPr>
                  <pic:blipFill>
                    <a:blip r:embed="rId28"/>
                    <a:stretch>
                      <a:fillRect/>
                    </a:stretch>
                  </pic:blipFill>
                  <pic:spPr>
                    <a:xfrm>
                      <a:off x="0" y="0"/>
                      <a:ext cx="3884371" cy="2141311"/>
                    </a:xfrm>
                    <a:prstGeom prst="rect"/>
                  </pic:spPr>
                </pic:pic>
              </a:graphicData>
            </a:graphic>
          </wp:inline>
        </w:drawing>
      </w:r>
    </w:p>
    <w:p>
      <w:pPr>
        <w:spacing w:after="200"/>
        <w:jc w:val="center"/>
      </w:pPr>
      <w:r>
        <w:rPr>
          <w:rFonts w:ascii="Calibri" w:hAnsi="Calibri"/>
          <w:b/>
          <w:i/>
          <w:color w:val="222222"/>
          <w:sz w:val="17"/>
        </w:rPr>
        <w:t xml:space="preserve">Figure 16. </w:t>
      </w:r>
      <w:r>
        <w:rPr>
          <w:rFonts w:ascii="Calibri" w:hAnsi="Calibri"/>
          <w:b w:val="0"/>
          <w:i/>
          <w:color w:val="222222"/>
          <w:sz w:val="17"/>
        </w:rPr>
        <w:t>Firing-rate change under strong GABA-A block in the SIMULATED twin, per vesicle-depletion setting, against the REAL median change on GABA-A antagonist pairs. Depletion shrinks the rise; no setting reverses it.</w:t>
      </w:r>
    </w:p>
    <w:p>
      <w:pPr>
        <w:keepNext/>
        <w:spacing w:before="240" w:after="60"/>
      </w:pPr>
      <w:r>
        <w:rPr>
          <w:rFonts w:ascii="Calibri" w:hAnsi="Calibri"/>
          <w:b/>
          <w:i w:val="0"/>
          <w:color w:val="1F4E79"/>
          <w:sz w:val="23"/>
        </w:rPr>
        <w:t>19. What you cannot conclude from this work</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or safety claims.</w:t>
      </w:r>
      <w:r>
        <w:rPr>
          <w:rFonts w:ascii="Calibri" w:hAnsi="Calibri"/>
          <w:b w:val="0"/>
          <w:i w:val="0"/>
          <w:color w:val="222222"/>
          <w:sz w:val="21"/>
        </w:rPr>
        <w:t xml:space="preserve"> NeuroMPS is an exploratory analytical framework. We make no efficacy, diagnostic or clinical claims, and the design could not support them.</w:t>
      </w:r>
    </w:p>
    <w:p>
      <w:pPr>
        <w:spacing w:after="120"/>
        <w:ind w:left="432" w:hanging="259"/>
      </w:pPr>
      <w:r>
        <w:rPr>
          <w:rFonts w:ascii="Calibri" w:hAnsi="Calibri"/>
          <w:b w:val="0"/>
          <w:i w:val="0"/>
          <w:color w:val="222222"/>
          <w:sz w:val="21"/>
        </w:rPr>
        <w:t>•</w:t>
        <w:tab/>
      </w:r>
      <w:r>
        <w:rPr>
          <w:rFonts w:ascii="Calibri" w:hAnsi="Calibri"/>
          <w:b/>
          <w:i w:val="0"/>
          <w:color w:val="156082"/>
          <w:sz w:val="21"/>
        </w:rPr>
        <w:t>It is not a screening tool.</w:t>
      </w:r>
      <w:r>
        <w:rPr>
          <w:rFonts w:ascii="Calibri" w:hAnsi="Calibri"/>
          <w:b w:val="0"/>
          <w:i w:val="0"/>
          <w:color w:val="222222"/>
          <w:sz w:val="21"/>
        </w:rPr>
        <w:t xml:space="preserve"> A within-platform mechanism accuracy of 0.537, with an interval from 0.4216 to 0.6845, and near-chance performance across laboratories do not make a decision instrument.</w:t>
      </w:r>
    </w:p>
    <w:p>
      <w:pPr>
        <w:spacing w:after="120"/>
        <w:ind w:left="432" w:hanging="259"/>
      </w:pPr>
      <w:r>
        <w:rPr>
          <w:rFonts w:ascii="Calibri" w:hAnsi="Calibri"/>
          <w:b w:val="0"/>
          <w:i w:val="0"/>
          <w:color w:val="222222"/>
          <w:sz w:val="21"/>
        </w:rPr>
        <w:t>•</w:t>
        <w:tab/>
      </w:r>
      <w:r>
        <w:rPr>
          <w:rFonts w:ascii="Calibri" w:hAnsi="Calibri"/>
          <w:b/>
          <w:i w:val="0"/>
          <w:color w:val="156082"/>
          <w:sz w:val="21"/>
        </w:rPr>
        <w:t>Interspecies support is narrow.</w:t>
      </w:r>
      <w:r>
        <w:rPr>
          <w:rFonts w:ascii="Calibri" w:hAnsi="Calibri"/>
          <w:b w:val="0"/>
          <w:i w:val="0"/>
          <w:color w:val="222222"/>
          <w:sz w:val="21"/>
        </w:rPr>
        <w:t xml:space="preserve"> Rat-to-human transfer rests on 37 rat training pairs and 32 human testing pairs, which supports the direction of the effect rather than its size.</w:t>
      </w:r>
    </w:p>
    <w:p>
      <w:pPr>
        <w:spacing w:after="120"/>
        <w:ind w:left="432" w:hanging="259"/>
      </w:pPr>
      <w:r>
        <w:rPr>
          <w:rFonts w:ascii="Calibri" w:hAnsi="Calibri"/>
          <w:b w:val="0"/>
          <w:i w:val="0"/>
          <w:color w:val="222222"/>
          <w:sz w:val="21"/>
        </w:rPr>
        <w:t>•</w:t>
        <w:tab/>
      </w:r>
      <w:r>
        <w:rPr>
          <w:rFonts w:ascii="Calibri" w:hAnsi="Calibri"/>
          <w:b/>
          <w:i w:val="0"/>
          <w:color w:val="156082"/>
          <w:sz w:val="21"/>
        </w:rPr>
        <w:t>The simulator is not fully reconciled.</w:t>
      </w:r>
      <w:r>
        <w:rPr>
          <w:rFonts w:ascii="Calibri" w:hAnsi="Calibri"/>
          <w:b w:val="0"/>
          <w:i w:val="0"/>
          <w:color w:val="222222"/>
          <w:sz w:val="21"/>
        </w:rPr>
        <w:t xml:space="preserve"> The twin sits inside the real band on two of five features, varies from seed to seed, and gets GABA-A potentiation mostly wrong.</w:t>
      </w:r>
    </w:p>
    <w:p>
      <w:pPr>
        <w:spacing w:after="120"/>
        <w:ind w:left="432" w:hanging="259"/>
      </w:pPr>
      <w:r>
        <w:rPr>
          <w:rFonts w:ascii="Calibri" w:hAnsi="Calibri"/>
          <w:b w:val="0"/>
          <w:i w:val="0"/>
          <w:color w:val="222222"/>
          <w:sz w:val="21"/>
        </w:rPr>
        <w:t>•</w:t>
        <w:tab/>
      </w:r>
      <w:r>
        <w:rPr>
          <w:rFonts w:ascii="Calibri" w:hAnsi="Calibri"/>
          <w:b/>
          <w:i w:val="0"/>
          <w:color w:val="156082"/>
          <w:sz w:val="21"/>
        </w:rPr>
        <w:t>The twin does not track dose.</w:t>
      </w:r>
      <w:r>
        <w:rPr>
          <w:rFonts w:ascii="Calibri" w:hAnsi="Calibri"/>
          <w:b w:val="0"/>
          <w:i w:val="0"/>
          <w:color w:val="222222"/>
          <w:sz w:val="21"/>
        </w:rPr>
        <w:t xml:space="preserve"> Burst rates fall with bicuculline dose, but the twin's inferred inhibition does not, so its dose inference is not usable yet.</w:t>
      </w:r>
    </w:p>
    <w:p>
      <w:pPr>
        <w:spacing w:after="120"/>
        <w:ind w:left="432" w:hanging="259"/>
      </w:pPr>
      <w:r>
        <w:rPr>
          <w:rFonts w:ascii="Calibri" w:hAnsi="Calibri"/>
          <w:b w:val="0"/>
          <w:i w:val="0"/>
          <w:color w:val="222222"/>
          <w:sz w:val="21"/>
        </w:rPr>
        <w:t>•</w:t>
        <w:tab/>
      </w:r>
      <w:r>
        <w:rPr>
          <w:rFonts w:ascii="Calibri" w:hAnsi="Calibri"/>
          <w:b/>
          <w:i w:val="0"/>
          <w:color w:val="156082"/>
          <w:sz w:val="21"/>
        </w:rPr>
        <w:t>The species balance is severe.</w:t>
      </w:r>
      <w:r>
        <w:rPr>
          <w:rFonts w:ascii="Calibri" w:hAnsi="Calibri"/>
          <w:b w:val="0"/>
          <w:i w:val="0"/>
          <w:color w:val="222222"/>
          <w:sz w:val="21"/>
        </w:rPr>
        <w:t xml:space="preserve"> Our asset holds 21,530 rat against 357 human records — a consequence of open-access licensing, not a design choice.</w:t>
      </w:r>
    </w:p>
    <w:p>
      <w:pPr>
        <w:spacing w:after="120"/>
        <w:ind w:left="432" w:hanging="259"/>
      </w:pPr>
      <w:r>
        <w:rPr>
          <w:rFonts w:ascii="Calibri" w:hAnsi="Calibri"/>
          <w:b w:val="0"/>
          <w:i w:val="0"/>
          <w:color w:val="222222"/>
          <w:sz w:val="21"/>
        </w:rPr>
        <w:t>•</w:t>
        <w:tab/>
      </w:r>
      <w:r>
        <w:rPr>
          <w:rFonts w:ascii="Calibri" w:hAnsi="Calibri"/>
          <w:b/>
          <w:i w:val="0"/>
          <w:color w:val="156082"/>
          <w:sz w:val="21"/>
        </w:rPr>
        <w:t>The samples are small.</w:t>
      </w:r>
      <w:r>
        <w:rPr>
          <w:rFonts w:ascii="Calibri" w:hAnsi="Calibri"/>
          <w:b w:val="0"/>
          <w:i w:val="0"/>
          <w:color w:val="222222"/>
          <w:sz w:val="21"/>
        </w:rPr>
        <w:t xml:space="preserve"> Our primary classification rests on 73 paired recordings from 50 independent cultures.</w:t>
      </w:r>
    </w:p>
    <w:p>
      <w:pPr>
        <w:keepNext/>
        <w:spacing w:before="360" w:after="120"/>
      </w:pPr>
      <w:r>
        <w:rPr>
          <w:rFonts w:ascii="Calibri" w:hAnsi="Calibri"/>
          <w:b/>
          <w:i w:val="0"/>
          <w:color w:val="2F5597"/>
          <w:sz w:val="27"/>
        </w:rPr>
        <w:t>ACT VI: Application value, translation and open verification</w:t>
      </w:r>
    </w:p>
    <w:p>
      <w:pPr>
        <w:keepNext/>
        <w:spacing w:before="240" w:after="60"/>
      </w:pPr>
      <w:r>
        <w:rPr>
          <w:rFonts w:ascii="Calibri" w:hAnsi="Calibri"/>
          <w:b/>
          <w:i w:val="0"/>
          <w:color w:val="1F4E79"/>
          <w:sz w:val="23"/>
        </w:rPr>
        <w:t>20. Application value and translation for neural organ-on-a-chip</w:t>
      </w:r>
    </w:p>
    <w:p>
      <w:pPr>
        <w:spacing w:after="120"/>
      </w:pPr>
      <w:r>
        <w:rPr>
          <w:rFonts w:ascii="Calibri" w:hAnsi="Calibri"/>
          <w:b w:val="0"/>
          <w:i w:val="0"/>
          <w:color w:val="222222"/>
          <w:sz w:val="21"/>
        </w:rPr>
        <w:t>The main bottleneck in making neural organ-on-a-chip systems useful is not microfluidic fabrication; it is making functional electrophysiology interpretable and reproducible. Academic centers and commercial vendors alike produce multi-channel MEA recordings that remain hard to compare across sites. Our results translate into practical guidance in six areas.</w:t>
      </w:r>
    </w:p>
    <w:p>
      <w:pPr>
        <w:spacing w:after="120"/>
      </w:pPr>
      <w:r>
        <w:rPr>
          <w:rFonts w:ascii="Calibri" w:hAnsi="Calibri"/>
          <w:b/>
          <w:i w:val="0"/>
          <w:color w:val="156082"/>
          <w:sz w:val="21"/>
        </w:rPr>
        <w:t>Where this sits.</w:t>
      </w:r>
      <w:r>
        <w:rPr>
          <w:rFonts w:ascii="Calibri" w:hAnsi="Calibri"/>
          <w:b w:val="0"/>
          <w:i w:val="0"/>
          <w:color w:val="222222"/>
          <w:sz w:val="21"/>
        </w:rPr>
        <w:t xml:space="preserve"> The US FDA Modernization Act 2.0 (2022) replaced the statutory reference to animal tests with "nonclinical tests", a category that names cell-based assays, organ chips and microphysiological systems, and computer modeling. That makes comparable, checkable readouts from neural chips more useful, and it is the setting our tools are built for. The provenance chain — license, source URL and a cryptographic checksum recorded for every file, and a build that halts on any mismatch — can serve as an open template for documenting where such data came from. It is a record of traceability, not a qualification process: NeuroMPS has not been qualified or reviewed by any regulator, and nothing in this report is evidence for a submission.</w:t>
      </w:r>
    </w:p>
    <w:p>
      <w:pPr>
        <w:spacing w:after="120"/>
      </w:pPr>
      <w:r>
        <w:rPr>
          <w:rFonts w:ascii="Calibri" w:hAnsi="Calibri"/>
          <w:b/>
          <w:i w:val="0"/>
          <w:color w:val="156082"/>
          <w:sz w:val="21"/>
        </w:rPr>
        <w:t>1. Design guidance for chip hardware.</w:t>
      </w:r>
      <w:r>
        <w:rPr>
          <w:rFonts w:ascii="Calibri" w:hAnsi="Calibri"/>
          <w:b w:val="0"/>
          <w:i w:val="0"/>
          <w:color w:val="222222"/>
          <w:sz w:val="21"/>
        </w:rPr>
        <w:t xml:space="preserve"> Developers often assume they can validate directional connectivity by measuring cross-correlation latencies or coupling asymmetries between open somatic chambers. §15 shows on real devices that this does not work: chamber readouts reached 0.3854 balanced accuracy where chance is 0.5, on a sample that could have detected 0.6438. To show that axons really conduct one way, you need microelectrodes inside the microchannels themselves — and knowing that saves time otherwise spent on measures that cannot answer the question.</w:t>
      </w:r>
    </w:p>
    <w:p>
      <w:pPr>
        <w:spacing w:after="120"/>
      </w:pPr>
      <w:r>
        <w:rPr>
          <w:rFonts w:ascii="Calibri" w:hAnsi="Calibri"/>
          <w:b/>
          <w:i w:val="0"/>
          <w:color w:val="156082"/>
          <w:sz w:val="21"/>
        </w:rPr>
        <w:t>2. A standardization framework for contract research.</w:t>
      </w:r>
      <w:r>
        <w:rPr>
          <w:rFonts w:ascii="Calibri" w:hAnsi="Calibri"/>
          <w:b w:val="0"/>
          <w:i w:val="0"/>
          <w:color w:val="222222"/>
          <w:sz w:val="21"/>
        </w:rPr>
        <w:t xml:space="preserve"> Screening protocols should move away from proprietary vendor summary tables toward standardized processing from raw spikes. Our feature ablation (§8) shows that two rate metrics match the predictive power of the full nine-feature vector, while avoiding the cross-platform variance that plagues burst-structure and synchrony metrics (§3, §11). A smaller, more reliable feature vector is the more reproducible instrument.</w:t>
      </w:r>
    </w:p>
    <w:p>
      <w:pPr>
        <w:spacing w:after="120"/>
      </w:pPr>
      <w:r>
        <w:rPr>
          <w:rFonts w:ascii="Calibri" w:hAnsi="Calibri"/>
          <w:b/>
          <w:i w:val="0"/>
          <w:color w:val="156082"/>
          <w:sz w:val="21"/>
        </w:rPr>
        <w:t>3. Cheaper assay design in silico.</w:t>
      </w:r>
      <w:r>
        <w:rPr>
          <w:rFonts w:ascii="Calibri" w:hAnsi="Calibri"/>
          <w:b w:val="0"/>
          <w:i w:val="0"/>
          <w:color w:val="222222"/>
          <w:sz w:val="21"/>
        </w:rPr>
        <w:t xml:space="preserve"> Plating human iPSCs is expensive and takes weeks. The twin gives you a testbed for pre-registering an assay: the power sweep in §17 sets a minimum electrode count (24 electrodes per compartment, 10-second recordings) for distinguishing wiring regimes, and the listening-radius finding in §13 gives you a way to diagnose electrode catchment overlap in physical recordings.</w:t>
      </w:r>
    </w:p>
    <w:p>
      <w:pPr>
        <w:spacing w:after="120"/>
      </w:pPr>
      <w:r>
        <w:rPr>
          <w:rFonts w:ascii="Calibri" w:hAnsi="Calibri"/>
          <w:b/>
          <w:i w:val="0"/>
          <w:color w:val="156082"/>
          <w:sz w:val="21"/>
        </w:rPr>
        <w:t>4. Paired-delta normalization for analysis pipelines.</w:t>
      </w:r>
      <w:r>
        <w:rPr>
          <w:rFonts w:ascii="Calibri" w:hAnsi="Calibri"/>
          <w:b w:val="0"/>
          <w:i w:val="0"/>
          <w:color w:val="222222"/>
          <w:sz w:val="21"/>
        </w:rPr>
        <w:t xml:space="preserve"> Resting firing rates in primary cultures span an order of magnitude. Expressing screening features as paired log-ratios against each well's own baseline stabilizes the analysis, raises posterior contraction from 0.3 to 0.5375, and removes most of the false-disinhibition artifact described in §16.</w:t>
      </w:r>
    </w:p>
    <w:p>
      <w:pPr>
        <w:spacing w:after="120"/>
      </w:pPr>
      <w:r>
        <w:rPr>
          <w:rFonts w:ascii="Calibri" w:hAnsi="Calibri"/>
          <w:b/>
          <w:i w:val="0"/>
          <w:color w:val="156082"/>
          <w:sz w:val="21"/>
        </w:rPr>
        <w:t>5. Sensitivity targets for an assay, set by a mapped brain (Act VII, added after the first round).</w:t>
      </w:r>
      <w:r>
        <w:rPr>
          <w:rFonts w:ascii="Calibri" w:hAnsi="Calibri"/>
          <w:b w:val="0"/>
          <w:i w:val="0"/>
          <w:color w:val="222222"/>
          <w:sz w:val="21"/>
        </w:rPr>
        <w:t xml:space="preserve"> An MEA assay is useful only if it flags a compound before the compound disturbs what a nervous system does. On a simulated fly brain, behaviour failed while the chip's firing rate had moved by as little as 0.149 log2 under GABA block. Two consequences follow for assay design, both from simulation and both to be checked on real tissue. First, measure each readout's untreated variation and state it: an assay meant to catch disinhibition in time needs firing-rate noise below that level, which the best real controls in our asset only just reach. Second, read a screen's hit threshold for what it can miss: the EPA's acute MEA screen calls a firing-rate hit only beyond a change of about −1.784 log2, 5.87 times the largest firing-rate change at which the fly's behaviour had already failed. That threshold is a reasonable guard against false hits; it is not evidence that a compound below it leaves circuits untouched. Third, where to record matters as much as how precisely: in the same simulation, electrodes on the brain's output tract caught GABA block in time where a planar array did not (§24), the same advice §15 gives from real devices: instrument the channels.</w:t>
      </w:r>
    </w:p>
    <w:p>
      <w:pPr>
        <w:spacing w:after="120"/>
      </w:pPr>
      <w:r>
        <w:rPr>
          <w:rFonts w:ascii="Calibri" w:hAnsi="Calibri"/>
          <w:b/>
          <w:i w:val="0"/>
          <w:color w:val="156082"/>
          <w:sz w:val="21"/>
        </w:rPr>
        <w:t>6. Sample size and plate layout, from real untreated wells (Act IX, added after the first round).</w:t>
      </w:r>
      <w:r>
        <w:rPr>
          <w:rFonts w:ascii="Calibri" w:hAnsi="Calibri"/>
          <w:b w:val="0"/>
          <w:i w:val="0"/>
          <w:color w:val="222222"/>
          <w:sz w:val="21"/>
        </w:rPr>
        <w:t xml:space="preserve"> Before a lab runs a chip screen it needs to know how many wells a given change takes and how to lay them out. The EPA's own vehicle wells answer that for each of 15 readouts (§32). Untreated firing rate falls by a median of −32% over the exposure window, and the exposure day carries 0.42 of the variance, so every reading must be made against vehicle wells from the same day: against a historical reference no number of wells from one day sees a halving of firing rate, while 4 treated and 4 vehicle wells on that day do. Burst-shape and synchrony readouts are several times quieter than firing rate and need far fewer wells for the same relative change. §34 turns this into three quality-control rules.</w:t>
      </w:r>
    </w:p>
    <w:p>
      <w:pPr>
        <w:keepNext/>
        <w:spacing w:before="240" w:after="60"/>
      </w:pPr>
      <w:r>
        <w:rPr>
          <w:rFonts w:ascii="Calibri" w:hAnsi="Calibri"/>
          <w:b/>
          <w:i w:val="0"/>
          <w:color w:val="1F4E79"/>
          <w:sz w:val="23"/>
        </w:rPr>
        <w:t>21. How to reproduce and check this work</w:t>
      </w:r>
    </w:p>
    <w:p>
      <w:pPr>
        <w:keepNext/>
        <w:spacing w:after="120"/>
      </w:pPr>
      <w:r>
        <w:rPr>
          <w:rFonts w:ascii="Calibri" w:hAnsi="Calibri"/>
          <w:b w:val="0"/>
          <w:i w:val="0"/>
          <w:color w:val="222222"/>
          <w:sz w:val="21"/>
        </w:rPr>
        <w:t xml:space="preserve">Every computed number in this report carries an automated pointer back to the </w:t>
      </w:r>
      <w:r>
        <w:rPr>
          <w:rFonts w:ascii="Consolas" w:hAnsi="Consolas"/>
          <w:b w:val="0"/>
          <w:i w:val="0"/>
          <w:color w:val="222222"/>
          <w:sz w:val="19"/>
        </w:rPr>
        <w:t>outputs/metrics.json</w:t>
      </w:r>
      <w:r>
        <w:rPr>
          <w:rFonts w:ascii="Calibri" w:hAnsi="Calibri"/>
          <w:b w:val="0"/>
          <w:i w:val="0"/>
          <w:color w:val="222222"/>
          <w:sz w:val="21"/>
        </w:rPr>
        <w:t xml:space="preserve"> key that produced it, and a test fails if any number drifts from that file. To reproduce everything from a clean machine, run these steps in a terminal:</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76"/>
        <w:gridCol w:w="4519"/>
        <w:gridCol w:w="2301"/>
      </w:tblGrid>
      <w:tr>
        <w:trPr>
          <w:cantSplit/>
          <w:tblHeader/>
        </w:trPr>
        <w:tc>
          <w:tcPr>
            <w:tcW w:type="dxa" w:w="1676"/>
            <w:shd w:val="clear" w:color="auto" w:fill="1F4E79"/>
            <w:vAlign w:val="center"/>
          </w:tcPr>
          <w:p>
            <w:pPr>
              <w:keepNext/>
              <w:spacing w:after="0"/>
            </w:pPr>
            <w:r>
              <w:rPr>
                <w:rFonts w:ascii="Calibri" w:hAnsi="Calibri"/>
                <w:b/>
                <w:i w:val="0"/>
                <w:color w:val="FFFFFF"/>
                <w:sz w:val="20"/>
              </w:rPr>
              <w:t>step</w:t>
            </w:r>
          </w:p>
        </w:tc>
        <w:tc>
          <w:tcPr>
            <w:tcW w:type="dxa" w:w="4519"/>
            <w:shd w:val="clear" w:color="auto" w:fill="1F4E79"/>
            <w:vAlign w:val="center"/>
          </w:tcPr>
          <w:p>
            <w:pPr>
              <w:keepNext/>
              <w:spacing w:after="0"/>
            </w:pPr>
            <w:r>
              <w:rPr>
                <w:rFonts w:ascii="Calibri" w:hAnsi="Calibri"/>
                <w:b/>
                <w:i w:val="0"/>
                <w:color w:val="FFFFFF"/>
                <w:sz w:val="20"/>
              </w:rPr>
              <w:t>command</w:t>
            </w:r>
          </w:p>
        </w:tc>
        <w:tc>
          <w:tcPr>
            <w:tcW w:type="dxa" w:w="2301"/>
            <w:shd w:val="clear" w:color="auto" w:fill="1F4E79"/>
            <w:vAlign w:val="center"/>
          </w:tcPr>
          <w:p>
            <w:pPr>
              <w:keepNext/>
              <w:spacing w:after="0"/>
            </w:pPr>
            <w:r>
              <w:rPr>
                <w:rFonts w:ascii="Calibri" w:hAnsi="Calibri"/>
                <w:b/>
                <w:i w:val="0"/>
                <w:color w:val="FFFFFF"/>
                <w:sz w:val="20"/>
              </w:rPr>
              <w:t>what it does</w:t>
            </w:r>
          </w:p>
        </w:tc>
      </w:tr>
      <w:tr>
        <w:trPr>
          <w:cantSplit/>
        </w:trPr>
        <w:tc>
          <w:tcPr>
            <w:tcW w:type="dxa" w:w="1676"/>
            <w:shd w:val="clear" w:color="auto" w:fill="FFFFFF"/>
            <w:vAlign w:val="center"/>
          </w:tcPr>
          <w:p>
            <w:pPr>
              <w:keepNext/>
              <w:spacing w:after="0"/>
            </w:pPr>
            <w:r>
              <w:rPr>
                <w:rFonts w:ascii="Calibri" w:hAnsi="Calibri"/>
                <w:b/>
                <w:i w:val="0"/>
                <w:color w:val="222222"/>
                <w:sz w:val="20"/>
              </w:rPr>
              <w:t>1. get the code</w:t>
            </w:r>
          </w:p>
        </w:tc>
        <w:tc>
          <w:tcPr>
            <w:tcW w:type="dxa" w:w="4519"/>
            <w:shd w:val="clear" w:color="auto" w:fill="FFFFFF"/>
            <w:vAlign w:val="center"/>
          </w:tcPr>
          <w:p>
            <w:pPr>
              <w:keepNext/>
              <w:spacing w:after="0"/>
            </w:pPr>
            <w:r>
              <w:rPr>
                <w:rFonts w:ascii="Consolas" w:hAnsi="Consolas"/>
                <w:b w:val="0"/>
                <w:i w:val="0"/>
                <w:color w:val="222222"/>
                <w:sz w:val="18"/>
              </w:rPr>
              <w:t>git clone https://github.com/Vodolay/AI4S</w:t>
            </w:r>
            <w:r>
              <w:rPr>
                <w:rFonts w:ascii="Calibri" w:hAnsi="Calibri"/>
                <w:b w:val="0"/>
                <w:i w:val="0"/>
                <w:color w:val="222222"/>
                <w:sz w:val="20"/>
              </w:rPr>
              <w:t xml:space="preserve">, then </w:t>
            </w:r>
            <w:r>
              <w:rPr>
                <w:rFonts w:ascii="Consolas" w:hAnsi="Consolas"/>
                <w:b w:val="0"/>
                <w:i w:val="0"/>
                <w:color w:val="222222"/>
                <w:sz w:val="18"/>
              </w:rPr>
              <w:t>cd AI4S</w:t>
            </w:r>
          </w:p>
        </w:tc>
        <w:tc>
          <w:tcPr>
            <w:tcW w:type="dxa" w:w="2301"/>
            <w:shd w:val="clear" w:color="auto" w:fill="FFFFFF"/>
            <w:vAlign w:val="center"/>
          </w:tcPr>
          <w:p>
            <w:pPr>
              <w:keepNext/>
              <w:spacing w:after="0"/>
            </w:pPr>
            <w:r>
              <w:rPr>
                <w:rFonts w:ascii="Calibri" w:hAnsi="Calibri"/>
                <w:b w:val="0"/>
                <w:i w:val="0"/>
                <w:color w:val="222222"/>
                <w:sz w:val="20"/>
              </w:rPr>
              <w:t>downloads the repository</w:t>
            </w:r>
          </w:p>
        </w:tc>
      </w:tr>
      <w:tr>
        <w:trPr>
          <w:cantSplit/>
        </w:trPr>
        <w:tc>
          <w:tcPr>
            <w:tcW w:type="dxa" w:w="1676"/>
            <w:shd w:val="clear" w:color="auto" w:fill="F7F9FB"/>
            <w:vAlign w:val="center"/>
          </w:tcPr>
          <w:p>
            <w:pPr>
              <w:keepNext/>
              <w:spacing w:after="0"/>
            </w:pPr>
            <w:r>
              <w:rPr>
                <w:rFonts w:ascii="Calibri" w:hAnsi="Calibri"/>
                <w:b/>
                <w:i w:val="0"/>
                <w:color w:val="222222"/>
                <w:sz w:val="20"/>
              </w:rPr>
              <w:t>2. create the environment</w:t>
            </w:r>
          </w:p>
        </w:tc>
        <w:tc>
          <w:tcPr>
            <w:tcW w:type="dxa" w:w="4519"/>
            <w:shd w:val="clear" w:color="auto" w:fill="F7F9FB"/>
            <w:vAlign w:val="center"/>
          </w:tcPr>
          <w:p>
            <w:pPr>
              <w:keepNext/>
              <w:spacing w:after="0"/>
            </w:pPr>
            <w:r>
              <w:rPr>
                <w:rFonts w:ascii="Calibri" w:hAnsi="Calibri"/>
                <w:b w:val="0"/>
                <w:i w:val="0"/>
                <w:color w:val="222222"/>
                <w:sz w:val="20"/>
              </w:rPr>
              <w:t xml:space="preserve">install uv as the README shows, then </w:t>
            </w:r>
            <w:r>
              <w:rPr>
                <w:rFonts w:ascii="Consolas" w:hAnsi="Consolas"/>
                <w:b w:val="0"/>
                <w:i w:val="0"/>
                <w:color w:val="222222"/>
                <w:sz w:val="18"/>
              </w:rPr>
              <w:t>uv venv --python 3.11 .venv</w:t>
            </w:r>
          </w:p>
        </w:tc>
        <w:tc>
          <w:tcPr>
            <w:tcW w:type="dxa" w:w="2301"/>
            <w:shd w:val="clear" w:color="auto" w:fill="F7F9FB"/>
            <w:vAlign w:val="center"/>
          </w:tcPr>
          <w:p>
            <w:pPr>
              <w:keepNext/>
              <w:spacing w:after="0"/>
            </w:pPr>
            <w:r>
              <w:rPr>
                <w:rFonts w:ascii="Calibri" w:hAnsi="Calibri"/>
                <w:b w:val="0"/>
                <w:i w:val="0"/>
                <w:color w:val="222222"/>
                <w:sz w:val="20"/>
              </w:rPr>
              <w:t>an isolated environment with the pinned Python</w:t>
            </w:r>
          </w:p>
        </w:tc>
      </w:tr>
      <w:tr>
        <w:trPr>
          <w:cantSplit/>
        </w:trPr>
        <w:tc>
          <w:tcPr>
            <w:tcW w:type="dxa" w:w="1676"/>
            <w:shd w:val="clear" w:color="auto" w:fill="FFFFFF"/>
            <w:vAlign w:val="center"/>
          </w:tcPr>
          <w:p>
            <w:pPr>
              <w:keepNext/>
              <w:spacing w:after="0"/>
            </w:pPr>
            <w:r>
              <w:rPr>
                <w:rFonts w:ascii="Calibri" w:hAnsi="Calibri"/>
                <w:b/>
                <w:i w:val="0"/>
                <w:color w:val="222222"/>
                <w:sz w:val="20"/>
              </w:rPr>
              <w:t>3. install</w:t>
            </w:r>
          </w:p>
        </w:tc>
        <w:tc>
          <w:tcPr>
            <w:tcW w:type="dxa" w:w="4519"/>
            <w:shd w:val="clear" w:color="auto" w:fill="FFFFFF"/>
            <w:vAlign w:val="center"/>
          </w:tcPr>
          <w:p>
            <w:pPr>
              <w:keepNext/>
              <w:spacing w:after="0"/>
            </w:pPr>
            <w:r>
              <w:rPr>
                <w:rFonts w:ascii="Consolas" w:hAnsi="Consolas"/>
                <w:b w:val="0"/>
                <w:i w:val="0"/>
                <w:color w:val="222222"/>
                <w:sz w:val="18"/>
              </w:rPr>
              <w:t>uv pip install --python .venv/bin/python -e ".[dev]"</w:t>
            </w:r>
          </w:p>
        </w:tc>
        <w:tc>
          <w:tcPr>
            <w:tcW w:type="dxa" w:w="2301"/>
            <w:shd w:val="clear" w:color="auto" w:fill="FFFFFF"/>
            <w:vAlign w:val="center"/>
          </w:tcPr>
          <w:p>
            <w:pPr>
              <w:keepNext/>
              <w:spacing w:after="0"/>
            </w:pPr>
            <w:r>
              <w:rPr>
                <w:rFonts w:ascii="Calibri" w:hAnsi="Calibri"/>
                <w:b w:val="0"/>
                <w:i w:val="0"/>
                <w:color w:val="222222"/>
                <w:sz w:val="20"/>
              </w:rPr>
              <w:t>NeuroMPS and its pinned dependencies</w:t>
            </w:r>
          </w:p>
        </w:tc>
      </w:tr>
      <w:tr>
        <w:trPr>
          <w:cantSplit/>
        </w:trPr>
        <w:tc>
          <w:tcPr>
            <w:tcW w:type="dxa" w:w="1676"/>
            <w:shd w:val="clear" w:color="auto" w:fill="F7F9FB"/>
            <w:vAlign w:val="center"/>
          </w:tcPr>
          <w:p>
            <w:pPr>
              <w:keepNext/>
              <w:spacing w:after="0"/>
            </w:pPr>
            <w:r>
              <w:rPr>
                <w:rFonts w:ascii="Calibri" w:hAnsi="Calibri"/>
                <w:b/>
                <w:i w:val="0"/>
                <w:color w:val="222222"/>
                <w:sz w:val="20"/>
              </w:rPr>
              <w:t>4. quick run</w:t>
            </w:r>
          </w:p>
        </w:tc>
        <w:tc>
          <w:tcPr>
            <w:tcW w:type="dxa" w:w="4519"/>
            <w:shd w:val="clear" w:color="auto" w:fill="F7F9FB"/>
            <w:vAlign w:val="center"/>
          </w:tcPr>
          <w:p>
            <w:pPr>
              <w:keepNext/>
              <w:spacing w:after="0"/>
            </w:pPr>
            <w:r>
              <w:rPr>
                <w:rFonts w:ascii="Consolas" w:hAnsi="Consolas"/>
                <w:b w:val="0"/>
                <w:i w:val="0"/>
                <w:color w:val="222222"/>
                <w:sz w:val="18"/>
              </w:rPr>
              <w:t>.venv/bin/python run_all.py --quick</w:t>
            </w:r>
          </w:p>
        </w:tc>
        <w:tc>
          <w:tcPr>
            <w:tcW w:type="dxa" w:w="2301"/>
            <w:shd w:val="clear" w:color="auto" w:fill="F7F9FB"/>
            <w:vAlign w:val="center"/>
          </w:tcPr>
          <w:p>
            <w:pPr>
              <w:keepNext/>
              <w:spacing w:after="0"/>
            </w:pPr>
            <w:r>
              <w:rPr>
                <w:rFonts w:ascii="Calibri" w:hAnsi="Calibri"/>
                <w:b w:val="0"/>
                <w:i w:val="0"/>
                <w:color w:val="222222"/>
                <w:sz w:val="20"/>
              </w:rPr>
              <w:t>every stage end to end on the reduced data tier</w:t>
            </w:r>
          </w:p>
        </w:tc>
      </w:tr>
      <w:tr>
        <w:trPr>
          <w:cantSplit/>
        </w:trPr>
        <w:tc>
          <w:tcPr>
            <w:tcW w:type="dxa" w:w="1676"/>
            <w:shd w:val="clear" w:color="auto" w:fill="FFFFFF"/>
            <w:vAlign w:val="center"/>
          </w:tcPr>
          <w:p>
            <w:pPr>
              <w:keepNext/>
              <w:spacing w:after="0"/>
            </w:pPr>
            <w:r>
              <w:rPr>
                <w:rFonts w:ascii="Calibri" w:hAnsi="Calibri"/>
                <w:b/>
                <w:i w:val="0"/>
                <w:color w:val="222222"/>
                <w:sz w:val="20"/>
              </w:rPr>
              <w:t>5. full run</w:t>
            </w:r>
          </w:p>
        </w:tc>
        <w:tc>
          <w:tcPr>
            <w:tcW w:type="dxa" w:w="4519"/>
            <w:shd w:val="clear" w:color="auto" w:fill="FFFFFF"/>
            <w:vAlign w:val="center"/>
          </w:tcPr>
          <w:p>
            <w:pPr>
              <w:keepNext/>
              <w:spacing w:after="0"/>
            </w:pPr>
            <w:r>
              <w:rPr>
                <w:rFonts w:ascii="Consolas" w:hAnsi="Consolas"/>
                <w:b w:val="0"/>
                <w:i w:val="0"/>
                <w:color w:val="222222"/>
                <w:sz w:val="18"/>
              </w:rPr>
              <w:t>.venv/bin/python run_all.py</w:t>
            </w:r>
          </w:p>
        </w:tc>
        <w:tc>
          <w:tcPr>
            <w:tcW w:type="dxa" w:w="2301"/>
            <w:shd w:val="clear" w:color="auto" w:fill="FFFFFF"/>
            <w:vAlign w:val="center"/>
          </w:tcPr>
          <w:p>
            <w:pPr>
              <w:keepNext/>
              <w:spacing w:after="0"/>
            </w:pPr>
            <w:r>
              <w:rPr>
                <w:rFonts w:ascii="Calibri" w:hAnsi="Calibri"/>
                <w:b w:val="0"/>
                <w:i w:val="0"/>
                <w:color w:val="222222"/>
                <w:sz w:val="20"/>
              </w:rPr>
              <w:t>the full data tier, 3,000 forward simulations, every figure</w:t>
            </w:r>
          </w:p>
        </w:tc>
      </w:tr>
      <w:tr>
        <w:trPr>
          <w:cantSplit/>
        </w:trPr>
        <w:tc>
          <w:tcPr>
            <w:tcW w:type="dxa" w:w="1676"/>
            <w:shd w:val="clear" w:color="auto" w:fill="F7F9FB"/>
            <w:vAlign w:val="center"/>
          </w:tcPr>
          <w:p>
            <w:pPr>
              <w:keepNext/>
              <w:spacing w:after="0"/>
            </w:pPr>
            <w:r>
              <w:rPr>
                <w:rFonts w:ascii="Calibri" w:hAnsi="Calibri"/>
                <w:b/>
                <w:i w:val="0"/>
                <w:color w:val="222222"/>
                <w:sz w:val="20"/>
              </w:rPr>
              <w:t>6. check the numbers</w:t>
            </w:r>
          </w:p>
        </w:tc>
        <w:tc>
          <w:tcPr>
            <w:tcW w:type="dxa" w:w="4519"/>
            <w:shd w:val="clear" w:color="auto" w:fill="F7F9FB"/>
            <w:vAlign w:val="center"/>
          </w:tcPr>
          <w:p>
            <w:pPr>
              <w:keepNext/>
              <w:spacing w:after="0"/>
            </w:pPr>
            <w:r>
              <w:rPr>
                <w:rFonts w:ascii="Consolas" w:hAnsi="Consolas"/>
                <w:b w:val="0"/>
                <w:i w:val="0"/>
                <w:color w:val="222222"/>
                <w:sz w:val="18"/>
              </w:rPr>
              <w:t>.venv/bin/python -m neuromps.report.verify</w:t>
            </w:r>
          </w:p>
        </w:tc>
        <w:tc>
          <w:tcPr>
            <w:tcW w:type="dxa" w:w="2301"/>
            <w:shd w:val="clear" w:color="auto" w:fill="F7F9FB"/>
            <w:vAlign w:val="center"/>
          </w:tcPr>
          <w:p>
            <w:pPr>
              <w:keepNext/>
              <w:spacing w:after="0"/>
            </w:pPr>
            <w:r>
              <w:rPr>
                <w:rFonts w:ascii="Calibri" w:hAnsi="Calibri"/>
                <w:b w:val="0"/>
                <w:i w:val="0"/>
                <w:color w:val="222222"/>
                <w:sz w:val="20"/>
              </w:rPr>
              <w:t>re-reads every citation in this report and fails on any disagreement</w:t>
            </w:r>
          </w:p>
        </w:tc>
      </w:tr>
      <w:tr>
        <w:trPr>
          <w:cantSplit/>
        </w:trPr>
        <w:tc>
          <w:tcPr>
            <w:tcW w:type="dxa" w:w="1676"/>
            <w:shd w:val="clear" w:color="auto" w:fill="FFFFFF"/>
            <w:vAlign w:val="center"/>
          </w:tcPr>
          <w:p>
            <w:pPr>
              <w:keepNext/>
              <w:spacing w:after="0"/>
            </w:pPr>
            <w:r>
              <w:rPr>
                <w:rFonts w:ascii="Calibri" w:hAnsi="Calibri"/>
                <w:b/>
                <w:i w:val="0"/>
                <w:color w:val="222222"/>
                <w:sz w:val="20"/>
              </w:rPr>
              <w:t>7. check the registrations</w:t>
            </w:r>
          </w:p>
        </w:tc>
        <w:tc>
          <w:tcPr>
            <w:tcW w:type="dxa" w:w="4519"/>
            <w:shd w:val="clear" w:color="auto" w:fill="FFFFFF"/>
            <w:vAlign w:val="center"/>
          </w:tcPr>
          <w:p>
            <w:pPr>
              <w:keepNext/>
              <w:spacing w:after="0"/>
            </w:pPr>
            <w:r>
              <w:rPr>
                <w:rFonts w:ascii="Consolas" w:hAnsi="Consolas"/>
                <w:b w:val="0"/>
                <w:i w:val="0"/>
                <w:color w:val="222222"/>
                <w:sz w:val="18"/>
              </w:rPr>
              <w:t>.venv/bin/python -m neuromps.report.timestamps</w:t>
            </w:r>
          </w:p>
        </w:tc>
        <w:tc>
          <w:tcPr>
            <w:tcW w:type="dxa" w:w="2301"/>
            <w:shd w:val="clear" w:color="auto" w:fill="FFFFFF"/>
            <w:vAlign w:val="center"/>
          </w:tcPr>
          <w:p>
            <w:pPr>
              <w:keepNext/>
              <w:spacing w:after="0"/>
            </w:pPr>
            <w:r>
              <w:rPr>
                <w:rFonts w:ascii="Calibri" w:hAnsi="Calibri"/>
                <w:b w:val="0"/>
                <w:i w:val="0"/>
                <w:color w:val="222222"/>
                <w:sz w:val="20"/>
              </w:rPr>
              <w:t>hash-chains every registration and checks that each was committed before its results (needs the full git history, not a shallow clone)</w:t>
            </w:r>
          </w:p>
        </w:tc>
      </w:tr>
      <w:tr>
        <w:trPr>
          <w:cantSplit/>
        </w:trPr>
        <w:tc>
          <w:tcPr>
            <w:tcW w:type="dxa" w:w="1676"/>
            <w:shd w:val="clear" w:color="auto" w:fill="F7F9FB"/>
            <w:vAlign w:val="center"/>
          </w:tcPr>
          <w:p>
            <w:pPr>
              <w:keepNext w:val="0"/>
              <w:spacing w:after="0"/>
            </w:pPr>
            <w:r>
              <w:rPr>
                <w:rFonts w:ascii="Calibri" w:hAnsi="Calibri"/>
                <w:b/>
                <w:i w:val="0"/>
                <w:color w:val="222222"/>
                <w:sz w:val="20"/>
              </w:rPr>
              <w:t>8. open the demo</w:t>
            </w:r>
          </w:p>
        </w:tc>
        <w:tc>
          <w:tcPr>
            <w:tcW w:type="dxa" w:w="4519"/>
            <w:shd w:val="clear" w:color="auto" w:fill="F7F9FB"/>
            <w:vAlign w:val="center"/>
          </w:tcPr>
          <w:p>
            <w:pPr>
              <w:keepNext w:val="0"/>
              <w:spacing w:after="0"/>
            </w:pPr>
            <w:r>
              <w:rPr>
                <w:rFonts w:ascii="Consolas" w:hAnsi="Consolas"/>
                <w:b w:val="0"/>
                <w:i w:val="0"/>
                <w:color w:val="222222"/>
                <w:sz w:val="18"/>
              </w:rPr>
              <w:t>.venv/bin/streamlit run app/app.py</w:t>
            </w:r>
          </w:p>
        </w:tc>
        <w:tc>
          <w:tcPr>
            <w:tcW w:type="dxa" w:w="2301"/>
            <w:shd w:val="clear" w:color="auto" w:fill="F7F9FB"/>
            <w:vAlign w:val="center"/>
          </w:tcPr>
          <w:p>
            <w:pPr>
              <w:keepNext w:val="0"/>
              <w:spacing w:after="0"/>
            </w:pPr>
            <w:r>
              <w:rPr>
                <w:rFonts w:ascii="Calibri" w:hAnsi="Calibri"/>
                <w:b w:val="0"/>
                <w:i w:val="0"/>
                <w:color w:val="222222"/>
                <w:sz w:val="20"/>
              </w:rPr>
              <w:t>interactive mechanism prediction, twin sweeps and record browser</w:t>
            </w:r>
          </w:p>
        </w:tc>
      </w:tr>
    </w:tbl>
    <w:p>
      <w:pPr>
        <w:spacing w:after="80"/>
      </w:pPr>
    </w:p>
    <w:p>
      <w:pPr>
        <w:spacing w:after="120"/>
      </w:pPr>
      <w:r>
        <w:rPr>
          <w:rFonts w:ascii="Calibri" w:hAnsi="Calibri"/>
          <w:b w:val="0"/>
          <w:i w:val="0"/>
          <w:color w:val="222222"/>
          <w:sz w:val="21"/>
        </w:rPr>
        <w:t xml:space="preserve">Use the environment's own </w:t>
      </w:r>
      <w:r>
        <w:rPr>
          <w:rFonts w:ascii="Consolas" w:hAnsi="Consolas"/>
          <w:b w:val="0"/>
          <w:i w:val="0"/>
          <w:color w:val="222222"/>
          <w:sz w:val="19"/>
        </w:rPr>
        <w:t>python</w:t>
      </w:r>
      <w:r>
        <w:rPr>
          <w:rFonts w:ascii="Calibri" w:hAnsi="Calibri"/>
          <w:b w:val="0"/>
          <w:i w:val="0"/>
          <w:color w:val="222222"/>
          <w:sz w:val="21"/>
        </w:rPr>
        <w:t xml:space="preserve"> and </w:t>
      </w:r>
      <w:r>
        <w:rPr>
          <w:rFonts w:ascii="Consolas" w:hAnsi="Consolas"/>
          <w:b w:val="0"/>
          <w:i w:val="0"/>
          <w:color w:val="222222"/>
          <w:sz w:val="19"/>
        </w:rPr>
        <w:t>streamlit</w:t>
      </w:r>
      <w:r>
        <w:rPr>
          <w:rFonts w:ascii="Calibri" w:hAnsi="Calibri"/>
          <w:b w:val="0"/>
          <w:i w:val="0"/>
          <w:color w:val="222222"/>
          <w:sz w:val="21"/>
        </w:rPr>
        <w:t xml:space="preserve">, as shown. We ran these steps on a fresh clone, and every cited number reproduced exactly except ten that depend on the machine: the timings, and the counts and intervals from posterior sampling that stops at a time limit (§16). Provenance is guarded throughout: </w:t>
      </w:r>
      <w:r>
        <w:rPr>
          <w:rFonts w:ascii="Consolas" w:hAnsi="Consolas"/>
          <w:b w:val="0"/>
          <w:i w:val="0"/>
          <w:color w:val="222222"/>
          <w:sz w:val="19"/>
        </w:rPr>
        <w:t>data/raw/MANIFEST.json</w:t>
      </w:r>
      <w:r>
        <w:rPr>
          <w:rFonts w:ascii="Calibri" w:hAnsi="Calibri"/>
          <w:b w:val="0"/>
          <w:i w:val="0"/>
          <w:color w:val="222222"/>
          <w:sz w:val="21"/>
        </w:rPr>
        <w:t xml:space="preserve"> records every source's URL, license and checksum.</w:t>
      </w:r>
    </w:p>
    <w:p>
      <w:pPr>
        <w:spacing w:after="120"/>
      </w:pPr>
      <w:r>
        <w:rPr>
          <w:rFonts w:ascii="Calibri" w:hAnsi="Calibri"/>
          <w:b w:val="0"/>
          <w:i w:val="0"/>
          <w:color w:val="222222"/>
          <w:sz w:val="21"/>
        </w:rPr>
        <w:t xml:space="preserve">The registrations are checked the same way. Every study that registered its predictions in </w:t>
      </w:r>
      <w:r>
        <w:rPr>
          <w:rFonts w:ascii="Consolas" w:hAnsi="Consolas"/>
          <w:b w:val="0"/>
          <w:i w:val="0"/>
          <w:color w:val="222222"/>
          <w:sz w:val="19"/>
        </w:rPr>
        <w:t>preregistration/</w:t>
      </w:r>
      <w:r>
        <w:rPr>
          <w:rFonts w:ascii="Calibri" w:hAnsi="Calibri"/>
          <w:b w:val="0"/>
          <w:i w:val="0"/>
          <w:color w:val="222222"/>
          <w:sz w:val="21"/>
        </w:rPr>
        <w:t xml:space="preserve"> records each prediction's outcome, and </w:t>
      </w:r>
      <w:r>
        <w:rPr>
          <w:rFonts w:ascii="Consolas" w:hAnsi="Consolas"/>
          <w:b w:val="0"/>
          <w:i w:val="0"/>
          <w:color w:val="222222"/>
          <w:sz w:val="19"/>
        </w:rPr>
        <w:t>neuromps.report.audit</w:t>
      </w:r>
      <w:r>
        <w:rPr>
          <w:rFonts w:ascii="Calibri" w:hAnsi="Calibri"/>
          <w:b w:val="0"/>
          <w:i w:val="0"/>
          <w:color w:val="222222"/>
          <w:sz w:val="21"/>
        </w:rPr>
        <w:t xml:space="preserve"> (run at the end of every </w:t>
      </w:r>
      <w:r>
        <w:rPr>
          <w:rFonts w:ascii="Consolas" w:hAnsi="Consolas"/>
          <w:b w:val="0"/>
          <w:i w:val="0"/>
          <w:color w:val="222222"/>
          <w:sz w:val="19"/>
        </w:rPr>
        <w:t>run_all</w:t>
      </w:r>
      <w:r>
        <w:rPr>
          <w:rFonts w:ascii="Calibri" w:hAnsi="Calibri"/>
          <w:b w:val="0"/>
          <w:i w:val="0"/>
          <w:color w:val="222222"/>
          <w:sz w:val="21"/>
        </w:rPr>
        <w:t xml:space="preserve">) counts them: 46 studies made 233 registered predictions, of which 105 passed, 88 failed and 39 were uninterpretable. The audit names any study whose predictions carry no outcome, so that none is left out unnoticed (none is now; </w:t>
      </w:r>
      <w:r>
        <w:rPr>
          <w:rFonts w:ascii="Consolas" w:hAnsi="Consolas"/>
          <w:b w:val="0"/>
          <w:i w:val="0"/>
          <w:color w:val="222222"/>
          <w:sz w:val="19"/>
        </w:rPr>
        <w:t>registration_audit.unrecognised</w:t>
      </w:r>
      <w:r>
        <w:rPr>
          <w:rFonts w:ascii="Calibri" w:hAnsi="Calibri"/>
          <w:b w:val="0"/>
          <w:i w:val="0"/>
          <w:color w:val="222222"/>
          <w:sz w:val="21"/>
        </w:rPr>
        <w:t xml:space="preserve">), and it leaves out the rhythm audit, which re-reads predictions already counted under their own stages. </w:t>
      </w:r>
      <w:r>
        <w:rPr>
          <w:rFonts w:ascii="Consolas" w:hAnsi="Consolas"/>
          <w:b w:val="0"/>
          <w:i w:val="0"/>
          <w:color w:val="222222"/>
          <w:sz w:val="19"/>
        </w:rPr>
        <w:t>neuromps.report.timestamps</w:t>
      </w:r>
      <w:r>
        <w:rPr>
          <w:rFonts w:ascii="Calibri" w:hAnsi="Calibri"/>
          <w:b w:val="0"/>
          <w:i w:val="0"/>
          <w:color w:val="222222"/>
          <w:sz w:val="21"/>
        </w:rPr>
        <w:t xml:space="preserve"> writes </w:t>
      </w:r>
      <w:r>
        <w:rPr>
          <w:rFonts w:ascii="Consolas" w:hAnsi="Consolas"/>
          <w:b w:val="0"/>
          <w:i w:val="0"/>
          <w:color w:val="222222"/>
          <w:sz w:val="19"/>
        </w:rPr>
        <w:t>preregistration/TIMESTAMPS.json</w:t>
      </w:r>
      <w:r>
        <w:rPr>
          <w:rFonts w:ascii="Calibri" w:hAnsi="Calibri"/>
          <w:b w:val="0"/>
          <w:i w:val="0"/>
          <w:color w:val="222222"/>
          <w:sz w:val="21"/>
        </w:rPr>
        <w:t xml:space="preserve">: each registration's checksum and the commit that first added it, a hash chain over them in commit order, and, for every result file that names its registration, whether the registration's commit came first. Of 45 registrations, 41 result files were checked and 0 came before their registration. The check cannot see the 4 registrations whose results do not name them (the twin's depression test, its prior classifier, the ToxCast noise floors and the inverse-model recalibration, whose results are recorded only in </w:t>
      </w:r>
      <w:r>
        <w:rPr>
          <w:rFonts w:ascii="Consolas" w:hAnsi="Consolas"/>
          <w:b w:val="0"/>
          <w:i w:val="0"/>
          <w:color w:val="222222"/>
          <w:sz w:val="19"/>
        </w:rPr>
        <w:t>metrics.json</w:t>
      </w:r>
      <w:r>
        <w:rPr>
          <w:rFonts w:ascii="Calibri" w:hAnsi="Calibri"/>
          <w:b w:val="0"/>
          <w:i w:val="0"/>
          <w:color w:val="222222"/>
          <w:sz w:val="21"/>
        </w:rPr>
        <w:t>), and it rests on this repository's own history, not on a third-party timestamp. The two manuscripts in preparation register their studies the same way in a separate, private repository.</w:t>
      </w:r>
    </w:p>
    <w:p>
      <w:pPr>
        <w:keepNext/>
        <w:spacing w:before="240" w:after="60"/>
      </w:pPr>
      <w:r>
        <w:rPr>
          <w:rFonts w:ascii="Calibri" w:hAnsi="Calibri"/>
          <w:b/>
          <w:i w:val="0"/>
          <w:color w:val="1F4E79"/>
          <w:sz w:val="23"/>
        </w:rPr>
        <w:t>22. AI assistance disclosure</w:t>
      </w:r>
    </w:p>
    <w:p>
      <w:pPr>
        <w:spacing w:after="120"/>
      </w:pPr>
      <w:r>
        <w:rPr>
          <w:rFonts w:ascii="Calibri" w:hAnsi="Calibri"/>
          <w:b w:val="0"/>
          <w:i w:val="0"/>
          <w:color w:val="222222"/>
          <w:sz w:val="21"/>
        </w:rPr>
        <w:t xml:space="preserve">We built this project in a paired workflow with Anthropic's Claude Code. Claude wrote most of the code and tests under step-by-step human direction: we set the plan and the phase gates, chose the scope, approved each step, and directed the science. We also used it to draft and revise parts of this report, which we then edited ourselves. Three practices kept that collaboration honest. Numbers are emitted into </w:t>
      </w:r>
      <w:r>
        <w:rPr>
          <w:rFonts w:ascii="Consolas" w:hAnsi="Consolas"/>
          <w:b w:val="0"/>
          <w:i w:val="0"/>
          <w:color w:val="222222"/>
          <w:sz w:val="19"/>
        </w:rPr>
        <w:t>metrics.json</w:t>
      </w:r>
      <w:r>
        <w:rPr>
          <w:rFonts w:ascii="Calibri" w:hAnsi="Calibri"/>
          <w:b w:val="0"/>
          <w:i w:val="0"/>
          <w:color w:val="222222"/>
          <w:sz w:val="21"/>
        </w:rPr>
        <w:t xml:space="preserve"> by scripts and re-checked by </w:t>
      </w:r>
      <w:r>
        <w:rPr>
          <w:rFonts w:ascii="Consolas" w:hAnsi="Consolas"/>
          <w:b w:val="0"/>
          <w:i w:val="0"/>
          <w:color w:val="222222"/>
          <w:sz w:val="19"/>
        </w:rPr>
        <w:t>neuromps.report.verify</w:t>
      </w:r>
      <w:r>
        <w:rPr>
          <w:rFonts w:ascii="Calibri" w:hAnsi="Calibri"/>
          <w:b w:val="0"/>
          <w:i w:val="0"/>
          <w:color w:val="222222"/>
          <w:sz w:val="21"/>
        </w:rPr>
        <w:t xml:space="preserve">, never typed by hand. We report results as we observed them, including the ones that failed. And </w:t>
      </w:r>
      <w:r>
        <w:rPr>
          <w:rFonts w:ascii="Consolas" w:hAnsi="Consolas"/>
          <w:b w:val="0"/>
          <w:i w:val="0"/>
          <w:color w:val="222222"/>
          <w:sz w:val="19"/>
        </w:rPr>
        <w:t>report/LAB_NOTEBOOK.md</w:t>
      </w:r>
      <w:r>
        <w:rPr>
          <w:rFonts w:ascii="Calibri" w:hAnsi="Calibri"/>
          <w:b w:val="0"/>
          <w:i w:val="0"/>
          <w:color w:val="222222"/>
          <w:sz w:val="21"/>
        </w:rPr>
        <w:t xml:space="preserve"> records what we tried and abandoned. No AI model is part of the delivered pipeline itself: every statistical model in it is trained from scratch on the data described here.</w:t>
      </w:r>
    </w:p>
    <w:p>
      <w:pPr>
        <w:keepNext/>
        <w:spacing w:before="360" w:after="120"/>
      </w:pPr>
      <w:r>
        <w:rPr>
          <w:rFonts w:ascii="Calibri" w:hAnsi="Calibri"/>
          <w:b/>
          <w:i w:val="0"/>
          <w:color w:val="2F5597"/>
          <w:sz w:val="27"/>
        </w:rPr>
        <w:t>ACT VII: From chip to animal (after round 1)</w:t>
      </w:r>
    </w:p>
    <w:p>
      <w:pPr>
        <w:spacing w:after="120"/>
      </w:pPr>
      <w:r>
        <w:rPr>
          <w:rFonts w:ascii="Calibri" w:hAnsi="Calibri"/>
          <w:b w:val="0"/>
          <w:i/>
          <w:color w:val="222222"/>
          <w:sz w:val="21"/>
        </w:rPr>
        <w:t xml:space="preserve">Added after the first-round deadline; `report/POST_SUBMISSION_CHANGES.md` records every change since the submission. Every result in this act is from </w:t>
      </w:r>
      <w:r>
        <w:rPr>
          <w:rFonts w:ascii="Calibri" w:hAnsi="Calibri"/>
          <w:b w:val="0"/>
          <w:i/>
          <w:color w:val="222222"/>
          <w:sz w:val="21"/>
        </w:rPr>
        <w:t>simulation</w:t>
      </w:r>
      <w:r>
        <w:rPr>
          <w:rFonts w:ascii="Calibri" w:hAnsi="Calibri"/>
          <w:b w:val="0"/>
          <w:i/>
          <w:color w:val="222222"/>
          <w:sz w:val="21"/>
        </w:rPr>
        <w:t>, for research decision support; nothing in it is a claim about any compound's effect in any animal or person.</w:t>
      </w:r>
    </w:p>
    <w:p>
      <w:pPr>
        <w:keepNext/>
        <w:spacing w:before="240" w:after="60"/>
      </w:pPr>
      <w:r>
        <w:rPr>
          <w:rFonts w:ascii="Calibri" w:hAnsi="Calibri"/>
          <w:b/>
          <w:i w:val="0"/>
          <w:color w:val="1F4E79"/>
          <w:sz w:val="23"/>
        </w:rPr>
        <w:t>23. The question a chip cannot answer on its own</w:t>
      </w:r>
    </w:p>
    <w:p>
      <w:pPr>
        <w:spacing w:after="120"/>
      </w:pPr>
      <w:r>
        <w:rPr>
          <w:rFonts w:ascii="Calibri" w:hAnsi="Calibri"/>
          <w:b w:val="0"/>
          <w:i w:val="0"/>
          <w:color w:val="222222"/>
          <w:sz w:val="21"/>
        </w:rPr>
        <w:t xml:space="preserve">A neural chip reports what a drug does to a dish of neurons. The question an assay is used to answer is different: will the drug disturb what a nervous system </w:t>
      </w:r>
      <w:r>
        <w:rPr>
          <w:rFonts w:ascii="Calibri" w:hAnsi="Calibri"/>
          <w:b w:val="0"/>
          <w:i/>
          <w:color w:val="222222"/>
          <w:sz w:val="21"/>
        </w:rPr>
        <w:t>does</w:t>
      </w:r>
      <w:r>
        <w:rPr>
          <w:rFonts w:ascii="Calibri" w:hAnsi="Calibri"/>
          <w:b w:val="0"/>
          <w:i w:val="0"/>
          <w:color w:val="222222"/>
          <w:sz w:val="21"/>
        </w:rPr>
        <w:t>? No culture can answer that, and so no chip assay can be checked against it. A mapped brain lets us ask. The adult fly brain has been reconstructed synapse by synapse, and Shiu et al. (2024) turned that wiring diagram into a leaky integrate-and-fire model whose responses match the fly's own sensorimotor pathways.</w:t>
      </w:r>
    </w:p>
    <w:p>
      <w:pPr>
        <w:spacing w:after="120"/>
      </w:pPr>
      <w:r>
        <w:rPr>
          <w:rFonts w:ascii="Calibri" w:hAnsi="Calibri"/>
          <w:b w:val="0"/>
          <w:i w:val="0"/>
          <w:color w:val="222222"/>
          <w:sz w:val="21"/>
        </w:rPr>
        <w:t>We applied the twin's drug knobs to that model on the FlyWire connectome, 138,639 neurons joined by 15,091,983 connections, and read the same simulated brain two ways at once:</w:t>
      </w:r>
    </w:p>
    <w:p>
      <w:pPr>
        <w:spacing w:after="120"/>
        <w:ind w:left="432" w:hanging="259"/>
      </w:pPr>
      <w:r>
        <w:rPr>
          <w:rFonts w:ascii="Calibri" w:hAnsi="Calibri"/>
          <w:b w:val="0"/>
          <w:i w:val="0"/>
          <w:color w:val="222222"/>
          <w:sz w:val="21"/>
        </w:rPr>
        <w:t>•</w:t>
        <w:tab/>
      </w:r>
      <w:r>
        <w:rPr>
          <w:rFonts w:ascii="Calibri" w:hAnsi="Calibri"/>
          <w:b/>
          <w:i w:val="0"/>
          <w:color w:val="156082"/>
          <w:sz w:val="21"/>
        </w:rPr>
        <w:t>as a chip</w:t>
      </w:r>
      <w:r>
        <w:rPr>
          <w:rFonts w:ascii="Calibri" w:hAnsi="Calibri"/>
          <w:b w:val="0"/>
          <w:i w:val="0"/>
          <w:color w:val="222222"/>
          <w:sz w:val="21"/>
        </w:rPr>
        <w:t xml:space="preserve">: a virtual electrode array laid over the brain's regions, each electrode hearing one neuron, its recordings scored by </w:t>
      </w:r>
      <w:r>
        <w:rPr>
          <w:rFonts w:ascii="Consolas" w:hAnsi="Consolas"/>
          <w:b w:val="0"/>
          <w:i w:val="0"/>
          <w:color w:val="222222"/>
          <w:sz w:val="19"/>
        </w:rPr>
        <w:t>features/mea.py</w:t>
      </w:r>
      <w:r>
        <w:rPr>
          <w:rFonts w:ascii="Calibri" w:hAnsi="Calibri"/>
          <w:b w:val="0"/>
          <w:i w:val="0"/>
          <w:color w:val="222222"/>
          <w:sz w:val="21"/>
        </w:rPr>
        <w:t>, the extractor every real recording in the asset goes through;</w:t>
      </w:r>
    </w:p>
    <w:p>
      <w:pPr>
        <w:spacing w:after="120"/>
        <w:ind w:left="432" w:hanging="259"/>
      </w:pPr>
      <w:r>
        <w:rPr>
          <w:rFonts w:ascii="Calibri" w:hAnsi="Calibri"/>
          <w:b w:val="0"/>
          <w:i w:val="0"/>
          <w:color w:val="222222"/>
          <w:sz w:val="21"/>
        </w:rPr>
        <w:t>•</w:t>
        <w:tab/>
      </w:r>
      <w:r>
        <w:rPr>
          <w:rFonts w:ascii="Calibri" w:hAnsi="Calibri"/>
          <w:b/>
          <w:i w:val="0"/>
          <w:color w:val="156082"/>
          <w:sz w:val="21"/>
        </w:rPr>
        <w:t>as an animal</w:t>
      </w:r>
      <w:r>
        <w:rPr>
          <w:rFonts w:ascii="Calibri" w:hAnsi="Calibri"/>
          <w:b w:val="0"/>
          <w:i w:val="0"/>
          <w:color w:val="222222"/>
          <w:sz w:val="21"/>
        </w:rPr>
        <w:t>: the neurons the published model validated against behaviour. MN9, the proboscis motor neuron, under sugar drive (feeding) and again with bitter drive added (aversive gating); aBN1 under antennal mechanosensory drive (grooming); and how many descending neurons the sugar drive recruits (how selectively one stimulus reaches one output).</w:t>
      </w:r>
    </w:p>
    <w:p>
      <w:pPr>
        <w:spacing w:after="120"/>
      </w:pPr>
      <w:r>
        <w:rPr>
          <w:rFonts w:ascii="Calibri" w:hAnsi="Calibri"/>
          <w:b w:val="0"/>
          <w:i w:val="0"/>
          <w:color w:val="222222"/>
          <w:sz w:val="21"/>
        </w:rPr>
        <w:t>Five drug families were each run at four or five strengths: GABA block, block of the glutamate-gated chloride channel (GluCl), GABA potentiation, acetylcholine block and a raised spike threshold. In the fly, GABA and glutamate are the fast inhibitory transmitters and acetylcholine the fast excitatory one, so these are the fly's counterparts of the twin's GABA-A, AMPA and sodium-channel knobs (§14). Behaviour is summarised by a disruption index: the mean absolute log2 change of the four readouts.</w:t>
      </w:r>
    </w:p>
    <w:p>
      <w:pPr>
        <w:spacing w:after="120"/>
      </w:pPr>
      <w:r>
        <w:rPr>
          <w:rFonts w:ascii="Calibri" w:hAnsi="Calibri"/>
          <w:b/>
          <w:i w:val="0"/>
          <w:color w:val="156082"/>
          <w:sz w:val="21"/>
        </w:rPr>
        <w:t>How it was kept honest.</w:t>
      </w:r>
      <w:r>
        <w:rPr>
          <w:rFonts w:ascii="Calibri" w:hAnsi="Calibri"/>
          <w:b w:val="0"/>
          <w:i w:val="0"/>
          <w:color w:val="222222"/>
          <w:sz w:val="21"/>
        </w:rPr>
        <w:t xml:space="preserve"> The design, ten predictions and their pass/fail tests were committed before the simulations were run (</w:t>
      </w:r>
      <w:r>
        <w:rPr>
          <w:rFonts w:ascii="Consolas" w:hAnsi="Consolas"/>
          <w:b w:val="0"/>
          <w:i w:val="0"/>
          <w:color w:val="222222"/>
          <w:sz w:val="19"/>
        </w:rPr>
        <w:t>preregistration/fly_chip_to_animal.json</w:t>
      </w:r>
      <w:r>
        <w:rPr>
          <w:rFonts w:ascii="Calibri" w:hAnsi="Calibri"/>
          <w:b w:val="0"/>
          <w:i w:val="0"/>
          <w:color w:val="222222"/>
          <w:sz w:val="21"/>
        </w:rPr>
        <w:t xml:space="preserve">; its commit and checksum are in </w:t>
      </w:r>
      <w:r>
        <w:rPr>
          <w:rFonts w:ascii="Consolas" w:hAnsi="Consolas"/>
          <w:b w:val="0"/>
          <w:i w:val="0"/>
          <w:color w:val="222222"/>
          <w:sz w:val="19"/>
        </w:rPr>
        <w:t>fly_chip_to_animal.registration</w:t>
      </w:r>
      <w:r>
        <w:rPr>
          <w:rFonts w:ascii="Calibri" w:hAnsi="Calibri"/>
          <w:b w:val="0"/>
          <w:i w:val="0"/>
          <w:color w:val="222222"/>
          <w:sz w:val="21"/>
        </w:rPr>
        <w:t>), together with every exploratory result seen before registering. Two later addenda followed the same rule. The published neuron lists come from an older FlyWire release than the one we model, and a neuron's identifier changes when it is edited, so the code keeps only neurons whose identifier is unchanged and refuses any table that covers too few of the model's neurons; the two tables we use cover 0.9999 and 0.9964 of them. With the same code, sugar drives MN9 at 76.75 Hz on our release and 77.375 Hz on the paper's.</w:t>
      </w:r>
    </w:p>
    <w:p>
      <w:pPr>
        <w:keepNext/>
        <w:spacing w:before="240" w:after="60"/>
      </w:pPr>
      <w:r>
        <w:rPr>
          <w:rFonts w:ascii="Calibri" w:hAnsi="Calibri"/>
          <w:b/>
          <w:i w:val="0"/>
          <w:color w:val="1F4E79"/>
          <w:sz w:val="23"/>
        </w:rPr>
        <w:t>24. The chip ranks drugs correctly and raises the alarm late</w:t>
      </w:r>
    </w:p>
    <w:p>
      <w:pPr>
        <w:keepNext/>
        <w:spacing w:before="120" w:after="40"/>
        <w:jc w:val="center"/>
      </w:pPr>
      <w:r>
        <w:drawing>
          <wp:inline xmlns:a="http://schemas.openxmlformats.org/drawingml/2006/main" xmlns:pic="http://schemas.openxmlformats.org/drawingml/2006/picture">
            <wp:extent cx="5394960" cy="3245303"/>
            <wp:docPr id="17" name="Picture 17"/>
            <wp:cNvGraphicFramePr>
              <a:graphicFrameLocks noChangeAspect="1"/>
            </wp:cNvGraphicFramePr>
            <a:graphic>
              <a:graphicData uri="http://schemas.openxmlformats.org/drawingml/2006/picture">
                <pic:pic>
                  <pic:nvPicPr>
                    <pic:cNvPr id="0" name="fly_chip_to_animal_dose_SIMULATED.png"/>
                    <pic:cNvPicPr/>
                  </pic:nvPicPr>
                  <pic:blipFill>
                    <a:blip r:embed="rId29"/>
                    <a:stretch>
                      <a:fillRect/>
                    </a:stretch>
                  </pic:blipFill>
                  <pic:spPr>
                    <a:xfrm>
                      <a:off x="0" y="0"/>
                      <a:ext cx="5394960" cy="3245303"/>
                    </a:xfrm>
                    <a:prstGeom prst="rect"/>
                  </pic:spPr>
                </pic:pic>
              </a:graphicData>
            </a:graphic>
          </wp:inline>
        </w:drawing>
      </w:r>
    </w:p>
    <w:p>
      <w:pPr>
        <w:spacing w:after="200"/>
        <w:jc w:val="center"/>
      </w:pPr>
      <w:r>
        <w:rPr>
          <w:rFonts w:ascii="Calibri" w:hAnsi="Calibri"/>
          <w:b/>
          <w:i/>
          <w:color w:val="222222"/>
          <w:sz w:val="17"/>
        </w:rPr>
        <w:t xml:space="preserve">Figure 17. </w:t>
      </w:r>
      <w:r>
        <w:rPr>
          <w:rFonts w:ascii="Calibri" w:hAnsi="Calibri"/>
          <w:b w:val="0"/>
          <w:i/>
          <w:color w:val="222222"/>
          <w:sz w:val="17"/>
        </w:rPr>
        <w:t>Chip readouts and behaviour readouts of the SIMULATED fly brain against dose, one line per drug family. Top: the virtual array's firing-rate and synchrony changes, and MN9 under sugar drive. Bottom: MN9 with bitter drive added, aBN1 under antennal drive, and the disruption index.</w:t>
      </w:r>
    </w:p>
    <w:p>
      <w:pPr>
        <w:spacing w:after="120"/>
      </w:pPr>
      <w:r>
        <w:rPr>
          <w:rFonts w:ascii="Calibri" w:hAnsi="Calibri"/>
          <w:b/>
          <w:i w:val="0"/>
          <w:color w:val="156082"/>
          <w:sz w:val="21"/>
        </w:rPr>
        <w:t>Behaviour responds as the circuits predict.</w:t>
      </w:r>
      <w:r>
        <w:rPr>
          <w:rFonts w:ascii="Calibri" w:hAnsi="Calibri"/>
          <w:b w:val="0"/>
          <w:i w:val="0"/>
          <w:color w:val="222222"/>
          <w:sz w:val="21"/>
        </w:rPr>
        <w:t xml:space="preserve"> Blocking GABA releases feeding from bitter suppression (rank correlation with dose 1.0) and recruits ever more descending neurons (1.0): the brain loses its selectivity. Blocking acetylcholine silences the motor and grooming outputs.</w:t>
      </w:r>
    </w:p>
    <w:p>
      <w:pPr>
        <w:spacing w:after="120"/>
      </w:pPr>
      <w:r>
        <w:rPr>
          <w:rFonts w:ascii="Calibri" w:hAnsi="Calibri"/>
          <w:b/>
          <w:i w:val="0"/>
          <w:color w:val="156082"/>
          <w:sz w:val="21"/>
        </w:rPr>
        <w:t>The chip ranks drugs by their effect on behaviour.</w:t>
      </w:r>
      <w:r>
        <w:rPr>
          <w:rFonts w:ascii="Calibri" w:hAnsi="Calibri"/>
          <w:b w:val="0"/>
          <w:i w:val="0"/>
          <w:color w:val="222222"/>
          <w:sz w:val="21"/>
        </w:rPr>
        <w:t xml:space="preserve"> Across the 21 drug conditions, the change in the array's firing rate tracks the disruption index (Spearman 0.863). The fly array also agrees with real chips about which way each mechanism moves each feature as often as the chip twin does: 12 agreeing features against the twin's 12.</w:t>
      </w:r>
    </w:p>
    <w:p>
      <w:pPr>
        <w:keepNext/>
        <w:spacing w:after="120"/>
      </w:pPr>
      <w:r>
        <w:rPr>
          <w:rFonts w:ascii="Calibri" w:hAnsi="Calibri"/>
          <w:b/>
          <w:i w:val="0"/>
          <w:color w:val="156082"/>
          <w:sz w:val="21"/>
        </w:rPr>
        <w:t>But it is late: the registered prediction failed in every family.</w:t>
      </w:r>
      <w:r>
        <w:rPr>
          <w:rFonts w:ascii="Calibri" w:hAnsi="Calibri"/>
          <w:b w:val="0"/>
          <w:i w:val="0"/>
          <w:color w:val="222222"/>
          <w:sz w:val="21"/>
        </w:rPr>
        <w:t xml:space="preserve"> We predicted that, at the registered detection threshold, the chip would flag each drug at a dose no higher than the one that impairs behaviour. In all five families behaviour failed first. At the weakest GABA block, the bitter gate on feeding has already broken while the array's firing rate has barely moved. Dropping any one readout from the disruption index leaves the chip late in at least four of the five families, and the result replicates on fresh random seeds.</w:t>
      </w:r>
    </w:p>
    <w:p>
      <w:pPr>
        <w:keepNext/>
        <w:spacing w:before="120" w:after="40"/>
        <w:jc w:val="center"/>
      </w:pPr>
      <w:r>
        <w:drawing>
          <wp:inline xmlns:a="http://schemas.openxmlformats.org/drawingml/2006/main" xmlns:pic="http://schemas.openxmlformats.org/drawingml/2006/picture">
            <wp:extent cx="5394960" cy="1463647"/>
            <wp:docPr id="18" name="Picture 18"/>
            <wp:cNvGraphicFramePr>
              <a:graphicFrameLocks noChangeAspect="1"/>
            </wp:cNvGraphicFramePr>
            <a:graphic>
              <a:graphicData uri="http://schemas.openxmlformats.org/drawingml/2006/picture">
                <pic:pic>
                  <pic:nvPicPr>
                    <pic:cNvPr id="0" name="fly_sentinel_ladder_SIMULATED.png"/>
                    <pic:cNvPicPr/>
                  </pic:nvPicPr>
                  <pic:blipFill>
                    <a:blip r:embed="rId30"/>
                    <a:stretch>
                      <a:fillRect/>
                    </a:stretch>
                  </pic:blipFill>
                  <pic:spPr>
                    <a:xfrm>
                      <a:off x="0" y="0"/>
                      <a:ext cx="5394960" cy="1463647"/>
                    </a:xfrm>
                    <a:prstGeom prst="rect"/>
                  </pic:spPr>
                </pic:pic>
              </a:graphicData>
            </a:graphic>
          </wp:inline>
        </w:drawing>
      </w:r>
    </w:p>
    <w:p>
      <w:pPr>
        <w:spacing w:after="200"/>
        <w:jc w:val="center"/>
      </w:pPr>
      <w:r>
        <w:rPr>
          <w:rFonts w:ascii="Calibri" w:hAnsi="Calibri"/>
          <w:b/>
          <w:i/>
          <w:color w:val="222222"/>
          <w:sz w:val="17"/>
        </w:rPr>
        <w:t xml:space="preserve">Figure 18. </w:t>
      </w:r>
      <w:r>
        <w:rPr>
          <w:rFonts w:ascii="Calibri" w:hAnsi="Calibri"/>
          <w:b w:val="0"/>
          <w:i/>
          <w:color w:val="222222"/>
          <w:sz w:val="17"/>
        </w:rPr>
        <w:t>Which readout raises the alarm first, SIMULATED. For each drug family: the first dose that impairs behaviour (black), and the first at which the array's network-burst rate (green) and firing rate (orange) change by the registered threshold. Left: the sweep in which network-burst rate was picked out; middle and right: the two out-of-sample runs. Network-burst rate's early crossings are within untreated noise (see text).</w:t>
      </w:r>
    </w:p>
    <w:p>
      <w:pPr>
        <w:keepNext/>
        <w:spacing w:after="120"/>
      </w:pPr>
      <w:r>
        <w:rPr>
          <w:rFonts w:ascii="Calibri" w:hAnsi="Calibri"/>
          <w:b/>
          <w:i w:val="0"/>
          <w:color w:val="156082"/>
          <w:sz w:val="21"/>
        </w:rPr>
        <w:t>What a chip would need to catch it in time.</w:t>
      </w:r>
      <w:r>
        <w:rPr>
          <w:rFonts w:ascii="Calibri" w:hAnsi="Calibri"/>
          <w:b w:val="0"/>
          <w:i w:val="0"/>
          <w:color w:val="222222"/>
          <w:sz w:val="21"/>
        </w:rPr>
        <w:t xml:space="preserve"> The change in firing rate at the first dose that impairs behaviour is the precision a chip must reach to flag that drug before behaviour fails. This analysis is exploratory: it was done after the registered test failed.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66"/>
        <w:gridCol w:w="5330"/>
      </w:tblGrid>
      <w:tr>
        <w:trPr>
          <w:cantSplit/>
          <w:tblHeader/>
        </w:trPr>
        <w:tc>
          <w:tcPr>
            <w:tcW w:type="dxa" w:w="3166"/>
            <w:shd w:val="clear" w:color="auto" w:fill="1F4E79"/>
            <w:vAlign w:val="center"/>
          </w:tcPr>
          <w:p>
            <w:pPr>
              <w:keepNext/>
              <w:spacing w:after="0"/>
            </w:pPr>
            <w:r>
              <w:rPr>
                <w:rFonts w:ascii="Calibri" w:hAnsi="Calibri"/>
                <w:b/>
                <w:i w:val="0"/>
                <w:color w:val="FFFFFF"/>
                <w:sz w:val="20"/>
              </w:rPr>
              <w:t>Drug family</w:t>
            </w:r>
          </w:p>
        </w:tc>
        <w:tc>
          <w:tcPr>
            <w:tcW w:type="dxa" w:w="5330"/>
            <w:shd w:val="clear" w:color="auto" w:fill="1F4E79"/>
            <w:vAlign w:val="center"/>
          </w:tcPr>
          <w:p>
            <w:pPr>
              <w:keepNext/>
              <w:spacing w:after="0"/>
              <w:jc w:val="center"/>
            </w:pPr>
            <w:r>
              <w:rPr>
                <w:rFonts w:ascii="Calibri" w:hAnsi="Calibri"/>
                <w:b/>
                <w:i w:val="0"/>
                <w:color w:val="FFFFFF"/>
                <w:sz w:val="20"/>
              </w:rPr>
              <w:t>Firing-rate change at behavioural onset (log2)</w:t>
            </w:r>
          </w:p>
        </w:tc>
      </w:tr>
      <w:tr>
        <w:trPr>
          <w:cantSplit/>
        </w:trPr>
        <w:tc>
          <w:tcPr>
            <w:tcW w:type="dxa" w:w="3166"/>
            <w:shd w:val="clear" w:color="auto" w:fill="FFFFFF"/>
            <w:vAlign w:val="center"/>
          </w:tcPr>
          <w:p>
            <w:pPr>
              <w:keepNext/>
              <w:spacing w:after="0"/>
            </w:pPr>
            <w:r>
              <w:rPr>
                <w:rFonts w:ascii="Calibri" w:hAnsi="Calibri"/>
                <w:b/>
                <w:i w:val="0"/>
                <w:color w:val="222222"/>
                <w:sz w:val="20"/>
              </w:rPr>
              <w:t>GABA block</w:t>
            </w:r>
          </w:p>
        </w:tc>
        <w:tc>
          <w:tcPr>
            <w:tcW w:type="dxa" w:w="5330"/>
            <w:shd w:val="clear" w:color="auto" w:fill="FFFFFF"/>
            <w:vAlign w:val="center"/>
          </w:tcPr>
          <w:p>
            <w:pPr>
              <w:keepNext/>
              <w:spacing w:after="0"/>
              <w:jc w:val="center"/>
            </w:pPr>
            <w:r>
              <w:rPr>
                <w:rFonts w:ascii="Calibri" w:hAnsi="Calibri"/>
                <w:b w:val="0"/>
                <w:i w:val="0"/>
                <w:color w:val="222222"/>
                <w:sz w:val="20"/>
              </w:rPr>
              <w:t>0.149</w:t>
            </w:r>
          </w:p>
        </w:tc>
      </w:tr>
      <w:tr>
        <w:trPr>
          <w:cantSplit/>
        </w:trPr>
        <w:tc>
          <w:tcPr>
            <w:tcW w:type="dxa" w:w="3166"/>
            <w:shd w:val="clear" w:color="auto" w:fill="F7F9FB"/>
            <w:vAlign w:val="center"/>
          </w:tcPr>
          <w:p>
            <w:pPr>
              <w:keepNext/>
              <w:spacing w:after="0"/>
            </w:pPr>
            <w:r>
              <w:rPr>
                <w:rFonts w:ascii="Calibri" w:hAnsi="Calibri"/>
                <w:b/>
                <w:i w:val="0"/>
                <w:color w:val="222222"/>
                <w:sz w:val="20"/>
              </w:rPr>
              <w:t>Raised threshold</w:t>
            </w:r>
          </w:p>
        </w:tc>
        <w:tc>
          <w:tcPr>
            <w:tcW w:type="dxa" w:w="5330"/>
            <w:shd w:val="clear" w:color="auto" w:fill="F7F9FB"/>
            <w:vAlign w:val="center"/>
          </w:tcPr>
          <w:p>
            <w:pPr>
              <w:keepNext/>
              <w:spacing w:after="0"/>
              <w:jc w:val="center"/>
            </w:pPr>
            <w:r>
              <w:rPr>
                <w:rFonts w:ascii="Calibri" w:hAnsi="Calibri"/>
                <w:b w:val="0"/>
                <w:i w:val="0"/>
                <w:color w:val="222222"/>
                <w:sz w:val="20"/>
              </w:rPr>
              <w:t>0.124</w:t>
            </w:r>
          </w:p>
        </w:tc>
      </w:tr>
      <w:tr>
        <w:trPr>
          <w:cantSplit/>
        </w:trPr>
        <w:tc>
          <w:tcPr>
            <w:tcW w:type="dxa" w:w="3166"/>
            <w:shd w:val="clear" w:color="auto" w:fill="FFFFFF"/>
            <w:vAlign w:val="center"/>
          </w:tcPr>
          <w:p>
            <w:pPr>
              <w:keepNext/>
              <w:spacing w:after="0"/>
            </w:pPr>
            <w:r>
              <w:rPr>
                <w:rFonts w:ascii="Calibri" w:hAnsi="Calibri"/>
                <w:b/>
                <w:i w:val="0"/>
                <w:color w:val="222222"/>
                <w:sz w:val="20"/>
              </w:rPr>
              <w:t>GABA potentiation</w:t>
            </w:r>
          </w:p>
        </w:tc>
        <w:tc>
          <w:tcPr>
            <w:tcW w:type="dxa" w:w="5330"/>
            <w:shd w:val="clear" w:color="auto" w:fill="FFFFFF"/>
            <w:vAlign w:val="center"/>
          </w:tcPr>
          <w:p>
            <w:pPr>
              <w:keepNext/>
              <w:spacing w:after="0"/>
              <w:jc w:val="center"/>
            </w:pPr>
            <w:r>
              <w:rPr>
                <w:rFonts w:ascii="Calibri" w:hAnsi="Calibri"/>
                <w:b w:val="0"/>
                <w:i w:val="0"/>
                <w:color w:val="222222"/>
                <w:sz w:val="20"/>
              </w:rPr>
              <w:t>0.199</w:t>
            </w:r>
          </w:p>
        </w:tc>
      </w:tr>
      <w:tr>
        <w:trPr>
          <w:cantSplit/>
        </w:trPr>
        <w:tc>
          <w:tcPr>
            <w:tcW w:type="dxa" w:w="3166"/>
            <w:shd w:val="clear" w:color="auto" w:fill="F7F9FB"/>
            <w:vAlign w:val="center"/>
          </w:tcPr>
          <w:p>
            <w:pPr>
              <w:keepNext/>
              <w:spacing w:after="0"/>
            </w:pPr>
            <w:r>
              <w:rPr>
                <w:rFonts w:ascii="Calibri" w:hAnsi="Calibri"/>
                <w:b/>
                <w:i w:val="0"/>
                <w:color w:val="222222"/>
                <w:sz w:val="20"/>
              </w:rPr>
              <w:t>GluCl block</w:t>
            </w:r>
          </w:p>
        </w:tc>
        <w:tc>
          <w:tcPr>
            <w:tcW w:type="dxa" w:w="5330"/>
            <w:shd w:val="clear" w:color="auto" w:fill="F7F9FB"/>
            <w:vAlign w:val="center"/>
          </w:tcPr>
          <w:p>
            <w:pPr>
              <w:keepNext/>
              <w:spacing w:after="0"/>
              <w:jc w:val="center"/>
            </w:pPr>
            <w:r>
              <w:rPr>
                <w:rFonts w:ascii="Calibri" w:hAnsi="Calibri"/>
                <w:b w:val="0"/>
                <w:i w:val="0"/>
                <w:color w:val="222222"/>
                <w:sz w:val="20"/>
              </w:rPr>
              <w:t>0.263</w:t>
            </w:r>
          </w:p>
        </w:tc>
      </w:tr>
      <w:tr>
        <w:trPr>
          <w:cantSplit/>
        </w:trPr>
        <w:tc>
          <w:tcPr>
            <w:tcW w:type="dxa" w:w="3166"/>
            <w:shd w:val="clear" w:color="auto" w:fill="FFFFFF"/>
            <w:vAlign w:val="center"/>
          </w:tcPr>
          <w:p>
            <w:pPr>
              <w:keepNext w:val="0"/>
              <w:spacing w:after="0"/>
            </w:pPr>
            <w:r>
              <w:rPr>
                <w:rFonts w:ascii="Calibri" w:hAnsi="Calibri"/>
                <w:b/>
                <w:i w:val="0"/>
                <w:color w:val="222222"/>
                <w:sz w:val="20"/>
              </w:rPr>
              <w:t>Acetylcholine block</w:t>
            </w:r>
          </w:p>
        </w:tc>
        <w:tc>
          <w:tcPr>
            <w:tcW w:type="dxa" w:w="5330"/>
            <w:shd w:val="clear" w:color="auto" w:fill="FFFFFF"/>
            <w:vAlign w:val="center"/>
          </w:tcPr>
          <w:p>
            <w:pPr>
              <w:keepNext w:val="0"/>
              <w:spacing w:after="0"/>
              <w:jc w:val="center"/>
            </w:pPr>
            <w:r>
              <w:rPr>
                <w:rFonts w:ascii="Calibri" w:hAnsi="Calibri"/>
                <w:b w:val="0"/>
                <w:i w:val="0"/>
                <w:color w:val="222222"/>
                <w:sz w:val="20"/>
              </w:rPr>
              <w:t>0.304</w:t>
            </w:r>
          </w:p>
        </w:tc>
      </w:tr>
    </w:tbl>
    <w:p>
      <w:pPr>
        <w:spacing w:after="80"/>
      </w:pPr>
    </w:p>
    <w:p>
      <w:pPr>
        <w:spacing w:after="120"/>
      </w:pPr>
      <w:r>
        <w:rPr>
          <w:rFonts w:ascii="Calibri" w:hAnsi="Calibri"/>
          <w:b w:val="0"/>
          <w:i w:val="0"/>
          <w:color w:val="222222"/>
          <w:sz w:val="21"/>
        </w:rPr>
        <w:t>Real chips in the asset vary between untreated recordings by up to 0.156 (Kapucu's vehicle controls, 95th percentile) and 1.752 (Vassallo's inactive compounds). At the better of the two, a chip would flag acetylcholine block, GluCl block and GABA potentiation in time, but not GABA block or a raised threshold; at the worse, none of the five. GABA block was the hardest family to catch in the second brain as well. The practical reading is a specification, not a verdict: an assay meant to catch disinhibition before it reaches behaviour must resolve firing-rate changes of a few percent.</w:t>
      </w:r>
    </w:p>
    <w:p>
      <w:pPr>
        <w:spacing w:after="120"/>
      </w:pPr>
      <w:r>
        <w:rPr>
          <w:rFonts w:ascii="Calibri" w:hAnsi="Calibri"/>
          <w:b/>
          <w:i w:val="0"/>
          <w:color w:val="156082"/>
          <w:sz w:val="21"/>
        </w:rPr>
        <w:t>A tempting fix that is noise.</w:t>
      </w:r>
      <w:r>
        <w:rPr>
          <w:rFonts w:ascii="Calibri" w:hAnsi="Calibri"/>
          <w:b w:val="0"/>
          <w:i w:val="0"/>
          <w:color w:val="222222"/>
          <w:sz w:val="21"/>
        </w:rPr>
        <w:t xml:space="preserve"> In the first sweep, network-burst rate crossed the threshold at or before behaviour in every family. We registered a confirmation, on fresh seeds and on the second brain, before seeing either. Out of sample it crossed early in 8 of 10 family tests against 3 for firing rate, and two of the four registered tests passed. Then we checked what the registration had not: two groups of </w:t>
      </w:r>
      <w:r>
        <w:rPr>
          <w:rFonts w:ascii="Calibri" w:hAnsi="Calibri"/>
          <w:b w:val="0"/>
          <w:i/>
          <w:color w:val="222222"/>
          <w:sz w:val="21"/>
        </w:rPr>
        <w:t>untreated</w:t>
      </w:r>
      <w:r>
        <w:rPr>
          <w:rFonts w:ascii="Calibri" w:hAnsi="Calibri"/>
          <w:b w:val="0"/>
          <w:i w:val="0"/>
          <w:color w:val="222222"/>
          <w:sz w:val="21"/>
        </w:rPr>
        <w:t xml:space="preserve"> recordings already differ by the threshold in a fraction 0.382 of random splits, while for firing rate the untreated 95th percentile is 0.028 log2. Trains shifted in time, which keeps every rate and breaks every coincidence, still yield network bursts. Network-burst rate looked early because it is noisy, not because it sees more.</w:t>
      </w:r>
    </w:p>
    <w:p>
      <w:pPr>
        <w:keepNext/>
        <w:spacing w:after="120"/>
      </w:pPr>
      <w:r>
        <w:rPr>
          <w:rFonts w:ascii="Calibri" w:hAnsi="Calibri"/>
          <w:b/>
          <w:i w:val="0"/>
          <w:color w:val="156082"/>
          <w:sz w:val="21"/>
        </w:rPr>
        <w:t>Where to put the electrode.</w:t>
      </w:r>
      <w:r>
        <w:rPr>
          <w:rFonts w:ascii="Calibri" w:hAnsi="Calibri"/>
          <w:b w:val="0"/>
          <w:i w:val="0"/>
          <w:color w:val="222222"/>
          <w:sz w:val="21"/>
        </w:rPr>
        <w:t xml:space="preserve"> The fly's descending neurons carry the brain's output down the neck to the nerve cord: a bundle of axons between two compartments, which is what a chip's microchannels are. We registered a test before recording them (</w:t>
      </w:r>
      <w:r>
        <w:rPr>
          <w:rFonts w:ascii="Consolas" w:hAnsi="Consolas"/>
          <w:b w:val="0"/>
          <w:i w:val="0"/>
          <w:color w:val="222222"/>
          <w:sz w:val="19"/>
        </w:rPr>
        <w:t>preregistration/fly_output_tract_electrode.json</w:t>
      </w:r>
      <w:r>
        <w:rPr>
          <w:rFonts w:ascii="Calibri" w:hAnsi="Calibri"/>
          <w:b w:val="0"/>
          <w:i w:val="0"/>
          <w:color w:val="222222"/>
          <w:sz w:val="21"/>
        </w:rPr>
        <w:t>): read the same spontaneous recordings through 64 single-unit electrodes on descending neurons and through 64 electrodes drawn from the planar array, at one threshold set by real-chip noise. All four registered predictions passed. Under GABA block, at the dose where behaviour first fails, the tract's firing rate has moved by 0.361 log2 against 0.044 for the equal-count planar array and 0.149 for the full one. The tract flags 3 of the five families no later than behaviour, against 2, and never false-alarms on untreated recordings (rate 0.0). Two checks we added after it passed temper it without overturning it. Which 64 neurons the electrodes hear matters: over ten random draws of each array, the tract is ahead in 7 of the 10 draws. And the result does not come from the overlap between the tract and one behaviour readout, which counts descending neurons: leaving that readout out changes nothing. This agrees with what real devices showed in §15, from the other side: there, chamber electrodes could not tell which way axons fired and only electrodes inside the microchannels could; here, an electrode on the output tract sees the circuit fail sooner than one on the tissue around it.</w:t>
      </w:r>
    </w:p>
    <w:p>
      <w:pPr>
        <w:keepNext/>
        <w:spacing w:before="120" w:after="40"/>
        <w:jc w:val="center"/>
      </w:pPr>
      <w:r>
        <w:drawing>
          <wp:inline xmlns:a="http://schemas.openxmlformats.org/drawingml/2006/main" xmlns:pic="http://schemas.openxmlformats.org/drawingml/2006/picture">
            <wp:extent cx="4585716" cy="2152592"/>
            <wp:docPr id="19" name="Picture 19"/>
            <wp:cNvGraphicFramePr>
              <a:graphicFrameLocks noChangeAspect="1"/>
            </wp:cNvGraphicFramePr>
            <a:graphic>
              <a:graphicData uri="http://schemas.openxmlformats.org/drawingml/2006/picture">
                <pic:pic>
                  <pic:nvPicPr>
                    <pic:cNvPr id="0" name="fly_output_tract_SIMULATED.png"/>
                    <pic:cNvPicPr/>
                  </pic:nvPicPr>
                  <pic:blipFill>
                    <a:blip r:embed="rId31"/>
                    <a:stretch>
                      <a:fillRect/>
                    </a:stretch>
                  </pic:blipFill>
                  <pic:spPr>
                    <a:xfrm>
                      <a:off x="0" y="0"/>
                      <a:ext cx="4585716" cy="2152592"/>
                    </a:xfrm>
                    <a:prstGeom prst="rect"/>
                  </pic:spPr>
                </pic:pic>
              </a:graphicData>
            </a:graphic>
          </wp:inline>
        </w:drawing>
      </w:r>
    </w:p>
    <w:p>
      <w:pPr>
        <w:spacing w:after="200"/>
        <w:jc w:val="center"/>
      </w:pPr>
      <w:r>
        <w:rPr>
          <w:rFonts w:ascii="Calibri" w:hAnsi="Calibri"/>
          <w:b/>
          <w:i/>
          <w:color w:val="222222"/>
          <w:sz w:val="17"/>
        </w:rPr>
        <w:t xml:space="preserve">Figure 19. </w:t>
      </w:r>
      <w:r>
        <w:rPr>
          <w:rFonts w:ascii="Calibri" w:hAnsi="Calibri"/>
          <w:b w:val="0"/>
          <w:i/>
          <w:color w:val="222222"/>
          <w:sz w:val="17"/>
        </w:rPr>
        <w:t>Firing-rate change at behavioural onset in the SIMULATED fly brain, per drug family, read through the full planar array, 64 of its electrodes, and 64 electrodes on the descending neurons of the output tract, against a threshold set by REAL chip noise.</w:t>
      </w:r>
    </w:p>
    <w:p>
      <w:pPr>
        <w:keepNext/>
        <w:spacing w:before="240" w:after="60"/>
      </w:pPr>
      <w:r>
        <w:rPr>
          <w:rFonts w:ascii="Calibri" w:hAnsi="Calibri"/>
          <w:b/>
          <w:i w:val="0"/>
          <w:color w:val="1F4E79"/>
          <w:sz w:val="23"/>
        </w:rPr>
        <w:t>25. Direction between regions, and a second brain</w:t>
      </w:r>
    </w:p>
    <w:p>
      <w:pPr>
        <w:keepNext/>
        <w:spacing w:before="120" w:after="40"/>
        <w:jc w:val="center"/>
      </w:pPr>
      <w:r>
        <w:drawing>
          <wp:inline xmlns:a="http://schemas.openxmlformats.org/drawingml/2006/main" xmlns:pic="http://schemas.openxmlformats.org/drawingml/2006/picture">
            <wp:extent cx="4855464" cy="2127521"/>
            <wp:docPr id="20" name="Picture 20"/>
            <wp:cNvGraphicFramePr>
              <a:graphicFrameLocks noChangeAspect="1"/>
            </wp:cNvGraphicFramePr>
            <a:graphic>
              <a:graphicData uri="http://schemas.openxmlformats.org/drawingml/2006/picture">
                <pic:pic>
                  <pic:nvPicPr>
                    <pic:cNvPr id="0" name="fly_direction_SIMULATED.png"/>
                    <pic:cNvPicPr/>
                  </pic:nvPicPr>
                  <pic:blipFill>
                    <a:blip r:embed="rId32"/>
                    <a:stretch>
                      <a:fillRect/>
                    </a:stretch>
                  </pic:blipFill>
                  <pic:spPr>
                    <a:xfrm>
                      <a:off x="0" y="0"/>
                      <a:ext cx="4855464" cy="2127521"/>
                    </a:xfrm>
                    <a:prstGeom prst="rect"/>
                  </pic:spPr>
                </pic:pic>
              </a:graphicData>
            </a:graphic>
          </wp:inline>
        </w:drawing>
      </w:r>
    </w:p>
    <w:p>
      <w:pPr>
        <w:spacing w:after="200"/>
        <w:jc w:val="center"/>
      </w:pPr>
      <w:r>
        <w:rPr>
          <w:rFonts w:ascii="Calibri" w:hAnsi="Calibri"/>
          <w:b/>
          <w:i/>
          <w:color w:val="222222"/>
          <w:sz w:val="17"/>
        </w:rPr>
        <w:t xml:space="preserve">Figure 20. </w:t>
      </w:r>
      <w:r>
        <w:rPr>
          <w:rFonts w:ascii="Calibri" w:hAnsi="Calibri"/>
          <w:b w:val="0"/>
          <w:i/>
          <w:color w:val="222222"/>
          <w:sz w:val="17"/>
        </w:rPr>
        <w:t>Region-to-region direction in the SIMULATED fly brain. Each point is a pair of brain regions joined by many synapses; the horizontal axis is the connectome's true asymmetry, the vertical the measured one. Left: the chip's cross-correlation measure on spontaneous activity. Right: pulsed stimulation of one region, read shortly after each pulse.</w:t>
      </w:r>
    </w:p>
    <w:p>
      <w:pPr>
        <w:spacing w:after="120"/>
      </w:pPr>
      <w:r>
        <w:rPr>
          <w:rFonts w:ascii="Calibri" w:hAnsi="Calibri"/>
          <w:b w:val="0"/>
          <w:i w:val="0"/>
          <w:color w:val="222222"/>
          <w:sz w:val="21"/>
        </w:rPr>
        <w:t>§15 and §17 found that a chamber-level measure does not recover direction on real devices whose axons are instrumented. The fly brain repeats that test where the answer is known for every pair of regions. On spontaneous activity, the chip's cross-correlation measure gets the direction of strongly asymmetric pairs right at chance (0.4946). Pulsed stimulation of one region, read shortly after each pulse, does better (0.6222) but misses the registered target, and read through the array's electrodes alone it falls back to chance (0.4889).</w:t>
      </w:r>
    </w:p>
    <w:p>
      <w:pPr>
        <w:spacing w:after="120"/>
      </w:pPr>
      <w:r>
        <w:rPr>
          <w:rFonts w:ascii="Calibri" w:hAnsi="Calibri"/>
          <w:b/>
          <w:i w:val="0"/>
          <w:color w:val="156082"/>
          <w:sz w:val="21"/>
        </w:rPr>
        <w:t>A second brain agrees.</w:t>
      </w:r>
      <w:r>
        <w:rPr>
          <w:rFonts w:ascii="Calibri" w:hAnsi="Calibri"/>
          <w:b w:val="0"/>
          <w:i w:val="0"/>
          <w:color w:val="222222"/>
          <w:sz w:val="21"/>
        </w:rPr>
        <w:t xml:space="preserve"> The male central nervous system connectome (MaleCNS: brain and nerve cord, an independent reconstruction of a male fly; 165,122 neurons and 25,563,096 connections) was run under the same design, with the published neuron sets matched by cell type and side. All five registered replication tests pass: sugar drives MN9 at 31.625 Hz and bitter suppresses it; GABA block releases it; acetylcholine block silences the outputs; and the chip's firing-rate change again tracks behavioural disruption (Spearman 0.878).</w:t>
      </w:r>
    </w:p>
    <w:p>
      <w:pPr>
        <w:keepNext/>
        <w:spacing w:after="120"/>
      </w:pPr>
      <w:r>
        <w:rPr>
          <w:rFonts w:ascii="Calibri" w:hAnsi="Calibri"/>
          <w:b/>
          <w:i w:val="0"/>
          <w:color w:val="156082"/>
          <w:sz w:val="21"/>
        </w:rPr>
        <w:t>One step closer to behaviour: motor neurons.</w:t>
      </w:r>
      <w:r>
        <w:rPr>
          <w:rFonts w:ascii="Calibri" w:hAnsi="Calibri"/>
          <w:b w:val="0"/>
          <w:i w:val="0"/>
          <w:color w:val="222222"/>
          <w:sz w:val="21"/>
        </w:rPr>
        <w:t xml:space="preserve"> The behaviour readouts above are named interneurons, MN9 excepted. The male connectome includes the nerve cord, so the same protocols can be read at the motor neurons that move the body: the 67 proboscis motor neurons for feeding and its bitter gate, the 135 front-leg motor neurons for antennal grooming, and how many of all 815 motor neurons a drive recruits. We registered the test before running it (</w:t>
      </w:r>
      <w:r>
        <w:rPr>
          <w:rFonts w:ascii="Consolas" w:hAnsi="Consolas"/>
          <w:b w:val="0"/>
          <w:i w:val="0"/>
          <w:color w:val="222222"/>
          <w:sz w:val="19"/>
        </w:rPr>
        <w:t>preregistration/fly_motor_readout.json</w:t>
      </w:r>
      <w:r>
        <w:rPr>
          <w:rFonts w:ascii="Calibri" w:hAnsi="Calibri"/>
          <w:b w:val="0"/>
          <w:i w:val="0"/>
          <w:color w:val="222222"/>
          <w:sz w:val="21"/>
        </w:rPr>
        <w:t>), repeating the replication's trials with the same seeds, so its interneuron readouts had to come back unchanged; they did (largest difference 0.0). The pools carry the behaviours: sugar drives the proboscis pool at 31.405 Hz and bitter cuts it to 5.625 Hz; antennal drive moves the front legs at 5.023 Hz against 2.394 under sugar. Six of the seven registered predictions passed: GABA block releases the gate at the motor level, acetylcholine block silences motor output, and the chip's firing-rate change tracks motor disruption (Spearman 0.8922). The one that failed was the chip-is-late prediction, and narrowly: the chip flagged the drug after motor output was impaired in 3 families and at the same dose in 2, where the test needed four. It was never earlier (0 families). Motor output failed no later than the interneuron readouts in every family, and earlier under acetylcholine block. Read at the motor level, then, the chip is not ahead of behaviour, it is at best level with it.</w:t>
      </w:r>
    </w:p>
    <w:p>
      <w:pPr>
        <w:keepNext/>
        <w:spacing w:before="120" w:after="40"/>
        <w:jc w:val="center"/>
      </w:pPr>
      <w:r>
        <w:drawing>
          <wp:inline xmlns:a="http://schemas.openxmlformats.org/drawingml/2006/main" xmlns:pic="http://schemas.openxmlformats.org/drawingml/2006/picture">
            <wp:extent cx="4046220" cy="2166892"/>
            <wp:docPr id="21" name="Picture 21"/>
            <wp:cNvGraphicFramePr>
              <a:graphicFrameLocks noChangeAspect="1"/>
            </wp:cNvGraphicFramePr>
            <a:graphic>
              <a:graphicData uri="http://schemas.openxmlformats.org/drawingml/2006/picture">
                <pic:pic>
                  <pic:nvPicPr>
                    <pic:cNvPr id="0" name="fly_motor_onsets_SIMULATED.png"/>
                    <pic:cNvPicPr/>
                  </pic:nvPicPr>
                  <pic:blipFill>
                    <a:blip r:embed="rId33"/>
                    <a:stretch>
                      <a:fillRect/>
                    </a:stretch>
                  </pic:blipFill>
                  <pic:spPr>
                    <a:xfrm>
                      <a:off x="0" y="0"/>
                      <a:ext cx="4046220" cy="2166892"/>
                    </a:xfrm>
                    <a:prstGeom prst="rect"/>
                  </pic:spPr>
                </pic:pic>
              </a:graphicData>
            </a:graphic>
          </wp:inline>
        </w:drawing>
      </w:r>
    </w:p>
    <w:p>
      <w:pPr>
        <w:spacing w:after="200"/>
        <w:jc w:val="center"/>
      </w:pPr>
      <w:r>
        <w:rPr>
          <w:rFonts w:ascii="Calibri" w:hAnsi="Calibri"/>
          <w:b/>
          <w:i/>
          <w:color w:val="222222"/>
          <w:sz w:val="17"/>
        </w:rPr>
        <w:t xml:space="preserve">Figure 21. </w:t>
      </w:r>
      <w:r>
        <w:rPr>
          <w:rFonts w:ascii="Calibri" w:hAnsi="Calibri"/>
          <w:b w:val="0"/>
          <w:i/>
          <w:color w:val="222222"/>
          <w:sz w:val="17"/>
        </w:rPr>
        <w:t>First impairing dose at the interneuron and motor levels, and first chip detection, per drug family, in the SIMULATED male CNS. The chip is never earlier than motor output.</w:t>
      </w:r>
    </w:p>
    <w:p>
      <w:pPr>
        <w:keepNext/>
        <w:spacing w:after="120"/>
      </w:pPr>
      <w:r>
        <w:rPr>
          <w:rFonts w:ascii="Calibri" w:hAnsi="Calibri"/>
          <w:b w:val="0"/>
          <w:i w:val="0"/>
          <w:color w:val="222222"/>
          <w:sz w:val="21"/>
        </w:rPr>
        <w:t>The two ties were a matter of resolution: both onsets fell inside one coarse dose step. So we registered a follow-up before running it (</w:t>
      </w:r>
      <w:r>
        <w:rPr>
          <w:rFonts w:ascii="Consolas" w:hAnsi="Consolas"/>
          <w:b w:val="0"/>
          <w:i w:val="0"/>
          <w:color w:val="222222"/>
          <w:sz w:val="19"/>
        </w:rPr>
        <w:t>preregistration/fly_motor_tie_break.json</w:t>
      </w:r>
      <w:r>
        <w:rPr>
          <w:rFonts w:ascii="Calibri" w:hAnsi="Calibri"/>
          <w:b w:val="0"/>
          <w:i w:val="0"/>
          <w:color w:val="222222"/>
          <w:sz w:val="21"/>
        </w:rPr>
        <w:t>), with four finer levels inside each tied step, the same seeds and the same untreated references; re-running the tied levels reproduced them exactly (largest difference 0.0). The raised threshold resolves: motor output fails at 0.32, the chip detects at 0.4. GABA potentiation stays tied even on the finer grid, both crossing at 0.6; there the chip is within a hair of its threshold one step earlier. The registered follow-up predicted that both ties would resolve with the chip later, so it failed too. MR5 stays failed as registered; read with the follow-up beside it, the chip is later than motor output in 4 families, level in 1 and earlier in 0.</w:t>
      </w:r>
    </w:p>
    <w:p>
      <w:pPr>
        <w:keepNext/>
        <w:spacing w:before="120" w:after="40"/>
        <w:jc w:val="center"/>
      </w:pPr>
      <w:r>
        <w:drawing>
          <wp:inline xmlns:a="http://schemas.openxmlformats.org/drawingml/2006/main" xmlns:pic="http://schemas.openxmlformats.org/drawingml/2006/picture">
            <wp:extent cx="4315968" cy="1820456"/>
            <wp:docPr id="22" name="Picture 22"/>
            <wp:cNvGraphicFramePr>
              <a:graphicFrameLocks noChangeAspect="1"/>
            </wp:cNvGraphicFramePr>
            <a:graphic>
              <a:graphicData uri="http://schemas.openxmlformats.org/drawingml/2006/picture">
                <pic:pic>
                  <pic:nvPicPr>
                    <pic:cNvPr id="0" name="fly_motor_tie_break_SIMULATED.png"/>
                    <pic:cNvPicPr/>
                  </pic:nvPicPr>
                  <pic:blipFill>
                    <a:blip r:embed="rId34"/>
                    <a:stretch>
                      <a:fillRect/>
                    </a:stretch>
                  </pic:blipFill>
                  <pic:spPr>
                    <a:xfrm>
                      <a:off x="0" y="0"/>
                      <a:ext cx="4315968" cy="1820456"/>
                    </a:xfrm>
                    <a:prstGeom prst="rect"/>
                  </pic:spPr>
                </pic:pic>
              </a:graphicData>
            </a:graphic>
          </wp:inline>
        </w:drawing>
      </w:r>
    </w:p>
    <w:p>
      <w:pPr>
        <w:spacing w:after="200"/>
        <w:jc w:val="center"/>
      </w:pPr>
      <w:r>
        <w:rPr>
          <w:rFonts w:ascii="Calibri" w:hAnsi="Calibri"/>
          <w:b/>
          <w:i/>
          <w:color w:val="222222"/>
          <w:sz w:val="17"/>
        </w:rPr>
        <w:t xml:space="preserve">Figure 22. </w:t>
      </w:r>
      <w:r>
        <w:rPr>
          <w:rFonts w:ascii="Calibri" w:hAnsi="Calibri"/>
          <w:b w:val="0"/>
          <w:i/>
          <w:color w:val="222222"/>
          <w:sz w:val="17"/>
        </w:rPr>
        <w:t>Chip firing-rate change and motor disruption across the two tied dose steps, on a finer grid, in the SIMULATED male CNS; dashed line, the 0.5 threshold both are read against.</w:t>
      </w:r>
    </w:p>
    <w:p>
      <w:pPr>
        <w:keepNext/>
        <w:spacing w:before="240" w:after="60"/>
      </w:pPr>
      <w:r>
        <w:rPr>
          <w:rFonts w:ascii="Calibri" w:hAnsi="Calibri"/>
          <w:b/>
          <w:i w:val="0"/>
          <w:color w:val="1F4E79"/>
          <w:sz w:val="23"/>
        </w:rPr>
        <w:t>26. What the fly study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a model.</w:t>
      </w:r>
      <w:r>
        <w:rPr>
          <w:rFonts w:ascii="Calibri" w:hAnsi="Calibri"/>
          <w:b w:val="0"/>
          <w:i w:val="0"/>
          <w:color w:val="222222"/>
          <w:sz w:val="21"/>
        </w:rPr>
        <w:t xml:space="preserve"> The fly model is a leaky integrate-and-fire network with one free weight, no adaptation and no neuromodulation; it fires asynchronously and does not burst the way a culture does. Its behaviour readouts are firing rates of named neurons, motor neurons included, not movement: there is no body and no sensory feedback. In the male connectome, which has more synapses per neuron under the same weight, any drive recruits a large share of the motor neurons, so off-target recruitment starts high.</w:t>
      </w:r>
    </w:p>
    <w:p>
      <w:pPr>
        <w:spacing w:after="120"/>
        <w:ind w:left="432" w:hanging="259"/>
      </w:pPr>
      <w:r>
        <w:rPr>
          <w:rFonts w:ascii="Calibri" w:hAnsi="Calibri"/>
          <w:b w:val="0"/>
          <w:i w:val="0"/>
          <w:color w:val="222222"/>
          <w:sz w:val="21"/>
        </w:rPr>
        <w:t>•</w:t>
        <w:tab/>
      </w:r>
      <w:r>
        <w:rPr>
          <w:rFonts w:ascii="Calibri" w:hAnsi="Calibri"/>
          <w:b/>
          <w:i w:val="0"/>
          <w:color w:val="156082"/>
          <w:sz w:val="21"/>
        </w:rPr>
        <w:t>The knobs scale whole transmitter classes.</w:t>
      </w:r>
      <w:r>
        <w:rPr>
          <w:rFonts w:ascii="Calibri" w:hAnsi="Calibri"/>
          <w:b w:val="0"/>
          <w:i w:val="0"/>
          <w:color w:val="222222"/>
          <w:sz w:val="21"/>
        </w:rPr>
        <w:t xml:space="preserve"> A real compound acts on particular receptor subunits, with its own potency and off-target effects. Nothing here says what any compound does to a fly, a culture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precision table is exploratory.</w:t>
      </w:r>
      <w:r>
        <w:rPr>
          <w:rFonts w:ascii="Calibri" w:hAnsi="Calibri"/>
          <w:b w:val="0"/>
          <w:i w:val="0"/>
          <w:color w:val="222222"/>
          <w:sz w:val="21"/>
        </w:rPr>
        <w:t xml:space="preserve"> It depends on the disruption index and the registered threshold, and it was computed after the registered test failed.</w:t>
      </w:r>
    </w:p>
    <w:p>
      <w:pPr>
        <w:spacing w:after="120"/>
        <w:ind w:left="432" w:hanging="259"/>
      </w:pPr>
      <w:r>
        <w:rPr>
          <w:rFonts w:ascii="Calibri" w:hAnsi="Calibri"/>
          <w:b w:val="0"/>
          <w:i w:val="0"/>
          <w:color w:val="222222"/>
          <w:sz w:val="21"/>
        </w:rPr>
        <w:t>•</w:t>
        <w:tab/>
      </w:r>
      <w:r>
        <w:rPr>
          <w:rFonts w:ascii="Calibri" w:hAnsi="Calibri"/>
          <w:b/>
          <w:i w:val="0"/>
          <w:color w:val="156082"/>
          <w:sz w:val="21"/>
        </w:rPr>
        <w:t>The real-chip noise floors</w:t>
      </w:r>
      <w:r>
        <w:rPr>
          <w:rFonts w:ascii="Calibri" w:hAnsi="Calibri"/>
          <w:b w:val="0"/>
          <w:i w:val="0"/>
          <w:color w:val="222222"/>
          <w:sz w:val="21"/>
        </w:rPr>
        <w:t xml:space="preserve"> come from two sources with very different spreads, one of them from few recordings.</w:t>
      </w:r>
    </w:p>
    <w:p>
      <w:pPr>
        <w:spacing w:after="120"/>
      </w:pPr>
      <w:r>
        <w:rPr>
          <w:rFonts w:ascii="Calibri" w:hAnsi="Calibri"/>
          <w:b w:val="0"/>
          <w:i w:val="0"/>
          <w:color w:val="222222"/>
          <w:sz w:val="21"/>
        </w:rPr>
        <w:t xml:space="preserve">The study runs with </w:t>
      </w:r>
      <w:r>
        <w:rPr>
          <w:rFonts w:ascii="Consolas" w:hAnsi="Consolas"/>
          <w:b w:val="0"/>
          <w:i w:val="0"/>
          <w:color w:val="222222"/>
          <w:sz w:val="19"/>
        </w:rPr>
        <w:t>python run_all.py --stage fly</w:t>
      </w:r>
      <w:r>
        <w:rPr>
          <w:rFonts w:ascii="Calibri" w:hAnsi="Calibri"/>
          <w:b w:val="0"/>
          <w:i w:val="0"/>
          <w:color w:val="222222"/>
          <w:sz w:val="21"/>
        </w:rPr>
        <w:t xml:space="preserve"> (the licensed files are fetched first); </w:t>
      </w:r>
      <w:r>
        <w:rPr>
          <w:rFonts w:ascii="Consolas" w:hAnsi="Consolas"/>
          <w:b w:val="0"/>
          <w:i w:val="0"/>
          <w:color w:val="222222"/>
          <w:sz w:val="19"/>
        </w:rPr>
        <w:t>python -m neuromps.fly.replication</w:t>
      </w:r>
      <w:r>
        <w:rPr>
          <w:rFonts w:ascii="Calibri" w:hAnsi="Calibri"/>
          <w:b w:val="0"/>
          <w:i w:val="0"/>
          <w:color w:val="222222"/>
          <w:sz w:val="21"/>
        </w:rPr>
        <w:t xml:space="preserve">, </w:t>
      </w:r>
      <w:r>
        <w:rPr>
          <w:rFonts w:ascii="Consolas" w:hAnsi="Consolas"/>
          <w:b w:val="0"/>
          <w:i w:val="0"/>
          <w:color w:val="222222"/>
          <w:sz w:val="19"/>
        </w:rPr>
        <w:t>python -m neuromps.fly.confirm</w:t>
      </w:r>
      <w:r>
        <w:rPr>
          <w:rFonts w:ascii="Calibri" w:hAnsi="Calibri"/>
          <w:b w:val="0"/>
          <w:i w:val="0"/>
          <w:color w:val="222222"/>
          <w:sz w:val="21"/>
        </w:rPr>
        <w:t xml:space="preserve"> and </w:t>
      </w:r>
      <w:r>
        <w:rPr>
          <w:rFonts w:ascii="Consolas" w:hAnsi="Consolas"/>
          <w:b w:val="0"/>
          <w:i w:val="0"/>
          <w:color w:val="222222"/>
          <w:sz w:val="19"/>
        </w:rPr>
        <w:t>python -m neuromps.fly.checks</w:t>
      </w:r>
      <w:r>
        <w:rPr>
          <w:rFonts w:ascii="Calibri" w:hAnsi="Calibri"/>
          <w:b w:val="0"/>
          <w:i w:val="0"/>
          <w:color w:val="222222"/>
          <w:sz w:val="21"/>
        </w:rPr>
        <w:t xml:space="preserve"> run the two addenda and the noise checks. The demo app's fourth tab shows the sweep with a dose slider.</w:t>
      </w:r>
    </w:p>
    <w:p>
      <w:pPr>
        <w:keepNext/>
        <w:spacing w:before="360" w:after="120"/>
      </w:pPr>
      <w:r>
        <w:rPr>
          <w:rFonts w:ascii="Calibri" w:hAnsi="Calibri"/>
          <w:b/>
          <w:i w:val="0"/>
          <w:color w:val="2F5597"/>
          <w:sz w:val="27"/>
        </w:rPr>
        <w:t>ACT VIII: The embodied fly (after round 1)</w:t>
      </w:r>
    </w:p>
    <w:p>
      <w:pPr>
        <w:spacing w:after="120"/>
      </w:pPr>
      <w:r>
        <w:rPr>
          <w:rFonts w:ascii="Calibri" w:hAnsi="Calibri"/>
          <w:b w:val="0"/>
          <w:i w:val="0"/>
          <w:color w:val="222222"/>
          <w:sz w:val="21"/>
        </w:rPr>
        <w:t>Act VII read behaviour as the firing of named neurons. This act gives the simulated fly a body and asks whether Act VII's answer survives: does the chip still flag a drug before behaviour fails when behaviour is movement? Every stage below was registered before it ran; the roadmap document (</w:t>
      </w:r>
      <w:r>
        <w:rPr>
          <w:rFonts w:ascii="Consolas" w:hAnsi="Consolas"/>
          <w:b w:val="0"/>
          <w:i w:val="0"/>
          <w:color w:val="222222"/>
          <w:sz w:val="19"/>
        </w:rPr>
        <w:t>report/ROADMAP_EMBODIED_FLY.md</w:t>
      </w:r>
      <w:r>
        <w:rPr>
          <w:rFonts w:ascii="Calibri" w:hAnsi="Calibri"/>
          <w:b w:val="0"/>
          <w:i w:val="0"/>
          <w:color w:val="222222"/>
          <w:sz w:val="21"/>
        </w:rPr>
        <w:t xml:space="preserve">, §7) carries each stage in full, including the failures, and </w:t>
      </w:r>
      <w:r>
        <w:rPr>
          <w:rFonts w:ascii="Consolas" w:hAnsi="Consolas"/>
          <w:b w:val="0"/>
          <w:i w:val="0"/>
          <w:color w:val="222222"/>
          <w:sz w:val="19"/>
        </w:rPr>
        <w:t>report/DECISION_LOG.md</w:t>
      </w:r>
      <w:r>
        <w:rPr>
          <w:rFonts w:ascii="Calibri" w:hAnsi="Calibri"/>
          <w:b w:val="0"/>
          <w:i w:val="0"/>
          <w:color w:val="222222"/>
          <w:sz w:val="21"/>
        </w:rPr>
        <w:t xml:space="preserve"> records every choice of path. Everything here is simulated.</w:t>
      </w:r>
    </w:p>
    <w:p>
      <w:pPr>
        <w:keepNext/>
        <w:spacing w:before="240" w:after="60"/>
      </w:pPr>
      <w:r>
        <w:rPr>
          <w:rFonts w:ascii="Calibri" w:hAnsi="Calibri"/>
          <w:b/>
          <w:i w:val="0"/>
          <w:color w:val="1F4E79"/>
          <w:sz w:val="23"/>
        </w:rPr>
        <w:t>27. A body for the simulated fly</w:t>
      </w:r>
    </w:p>
    <w:p>
      <w:pPr>
        <w:spacing w:after="120"/>
      </w:pPr>
      <w:r>
        <w:rPr>
          <w:rFonts w:ascii="Calibri" w:hAnsi="Calibri"/>
          <w:b w:val="0"/>
          <w:i w:val="0"/>
          <w:color w:val="222222"/>
          <w:sz w:val="21"/>
        </w:rPr>
        <w:t>The male nerve cord (male CNS connectome) drives a muscle-driven front leg (FlyMimic, in MuJoCo) through a motor-neuron-to-muscle map built from published names; the FlyWire brain drives the proboscis of a whole-fly model (flybody) through the motor neurons of each proboscis muscle. The two connectomes are joined where each model is validated: the FlyWire brain's descending spikes are replayed into the male nerve cord, matched by cell type and side. Antennal input to the brain then brings the claw to 0.5369 mm of the antenna, sugar input only to 0.9377 mm, and removing the two antennal-grooming descending neuron types alone leaves it at 1.4793 mm. Sugar input extends the proboscis fully (0.3431 mm of a possible 0.3428), and adding bitter input halves the peak (0.1618 mm).</w:t>
      </w:r>
    </w:p>
    <w:p>
      <w:pPr>
        <w:keepNext/>
        <w:spacing w:before="240" w:after="60"/>
      </w:pPr>
      <w:r>
        <w:rPr>
          <w:rFonts w:ascii="Calibri" w:hAnsi="Calibri"/>
          <w:b/>
          <w:i w:val="0"/>
          <w:color w:val="1F4E79"/>
          <w:sz w:val="23"/>
        </w:rPr>
        <w:t>28. Walking: what the wiring does and does not do</w:t>
      </w:r>
    </w:p>
    <w:p>
      <w:pPr>
        <w:spacing w:after="120"/>
      </w:pPr>
      <w:r>
        <w:rPr>
          <w:rFonts w:ascii="Calibri" w:hAnsi="Calibri"/>
          <w:b w:val="0"/>
          <w:i w:val="0"/>
          <w:color w:val="222222"/>
          <w:sz w:val="21"/>
        </w:rPr>
        <w:t>The male nerve cord, run as leaky integrate-and-fire neurons, does not turn its walking command into a rhythm: not as published, not with spike-frequency adaptation swept over a registered grid, not with either of two rules for where glutamate excites. A firing-rate model published for this question (Pugliese et al. 2025), reimplemented and built on the male CNS as its authors build it, does produce a front-leg motor rhythm under the walking command: a corrected rhythm score of 0.8886 at a period of 196.5 ms without size scaling, and silencing the published three-neuron circuit removes it (0.0). With the published size rule, neuron volume, fetched later from the male CNS release, the circuit's necessity reproduces too (silenced: 0.0115); a registered check finds no rhythm when the volumes are shuffled across neurons, so the rhythm needs the identified neurons' own volumes. A promotor-remotor offset seen once did not replicate reliably, and neither model alternates antagonist muscles. One earlier claim was withdrawn on the way: the rhythm measure registered since the first leg stage took the largest autocorrelation without requiring a peak, so smooth movements scored as rhythmic; a registered audit with a corrected measure reproduced every recorded outcome and reversed one (that walking drive "swings" the leg).</w:t>
      </w:r>
    </w:p>
    <w:p>
      <w:pPr>
        <w:keepNext/>
        <w:spacing w:before="240" w:after="60"/>
      </w:pPr>
      <w:r>
        <w:rPr>
          <w:rFonts w:ascii="Calibri" w:hAnsi="Calibri"/>
          <w:b/>
          <w:i w:val="0"/>
          <w:color w:val="1F4E79"/>
          <w:sz w:val="23"/>
        </w:rPr>
        <w:t>29. Closing the loop</w:t>
      </w:r>
    </w:p>
    <w:p>
      <w:pPr>
        <w:spacing w:after="120"/>
      </w:pPr>
      <w:r>
        <w:rPr>
          <w:rFonts w:ascii="Calibri" w:hAnsi="Calibri"/>
          <w:b w:val="0"/>
          <w:i w:val="0"/>
          <w:color w:val="222222"/>
          <w:sz w:val="21"/>
        </w:rPr>
        <w:t>Feedback from the front leg's position sensors (the femoral chordotonal claw neurons, identified by type in the male CNS) was closed through the leg every millisecond. It shifts the tibia motor pools toward resisting the movement, but it neither moves a held leg nor returns a pushed one faster: the push returns in 32.0 ms with feedback and 30.0 ms without. The male CNS traces few proprioceptors for the front leg (4 claw neurons on the left, against 22 on the left hind leg), which is the most likely limit. Closed through the well-traced right hind leg instead (25 claw neurons; flybody's servoed tibia), the feedback changes the leg's posture but makes the hold swing, and a registered paired test on fresh seeds found no part of it that speeds the return: resistance sooner than a sham in 14 of 32 seeds.</w:t>
      </w:r>
    </w:p>
    <w:p>
      <w:pPr>
        <w:keepNext/>
        <w:spacing w:before="240" w:after="60"/>
      </w:pPr>
      <w:r>
        <w:rPr>
          <w:rFonts w:ascii="Calibri" w:hAnsi="Calibri"/>
          <w:b/>
          <w:i w:val="0"/>
          <w:color w:val="1F4E79"/>
          <w:sz w:val="23"/>
        </w:rPr>
        <w:t>30. Drugs in the loop: the chip is late at every level</w:t>
      </w:r>
    </w:p>
    <w:p>
      <w:pPr>
        <w:spacing w:after="120"/>
      </w:pPr>
      <w:r>
        <w:rPr>
          <w:rFonts w:ascii="Calibri" w:hAnsi="Calibri"/>
          <w:b w:val="0"/>
          <w:i w:val="0"/>
          <w:color w:val="222222"/>
          <w:sz w:val="21"/>
        </w:rPr>
        <w:t>Act VII's drug design, rerun with movement as the readout (proboscis extension and the grooming reach), gives the same answer. In every family the chip first flags the drug at a higher dose than movement fails: GABA-A block impairs movement at 0.2 of the knob's range and the chip flags it at 0.6; GABA-A potentiation impairs movement at 0.5 and is flagged at 1.0. Movement never fails before the neural readouts of Act VII, and the output-tract electrode no longer leads the planar array at this level. A registered rerun on fresh seeds, against the chip's own fresh-seed replication, finds the chip late again in every family. Left out of the index, the bitter-gated proboscis turns out to carry GABA-A potentiation: without it movement fails only at 1.0, where the chip flags it. A finer registered dose grid keeps the chip late with the full index but leaves that tie in place (both at 0.6). Read through a fictive walking rhythm alone, GABA-A and GluCl block break it well before the chip flags them; whether acetylcholine block is caught first depends on how the rhythm is scored (a registered retest counts its low-dose rise in rhythm as a change at 0.2), so it is not claimed. At the dose where movement first fails the chip has moved by only 0.149 to 0.452 log2 (exploratory), within the noise of real chips. A literature comparison registered before its search found no study that gives adult flies these drugs and scores feeding or grooming movements, so the simulated directions cannot yet be checked against fly pharmacology: the gap names the experiments that would. Simulating the identified neurons such a study manipulated (the front leg's GABAergic 13A and 13B hemilineages) reproduced one published direction for the grooming reach: silencing 13A shortens it to 0.3806 mm. Read at the femur-tibia joint, though, none of the published postures appears (silencing 13A shifts the tibia by -0.1488 rad, toward extension, against a published flexion): in this model the inhibitory leg neurons act as broad brakes, not as joint-specific controllers.</w:t>
      </w:r>
    </w:p>
    <w:p>
      <w:pPr>
        <w:keepNext/>
        <w:spacing w:before="240" w:after="60"/>
      </w:pPr>
      <w:r>
        <w:rPr>
          <w:rFonts w:ascii="Calibri" w:hAnsi="Calibri"/>
          <w:b/>
          <w:i w:val="0"/>
          <w:color w:val="1F4E79"/>
          <w:sz w:val="23"/>
        </w:rPr>
        <w:t>31. What the embodied fly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open loop where it works and weak where it is closed.</w:t>
      </w:r>
      <w:r>
        <w:rPr>
          <w:rFonts w:ascii="Calibri" w:hAnsi="Calibri"/>
          <w:b w:val="0"/>
          <w:i w:val="0"/>
          <w:color w:val="222222"/>
          <w:sz w:val="21"/>
        </w:rPr>
        <w:t xml:space="preserve"> The leg and proboscis results are open loop; the one closed loop runs through four sensory neurons.</w:t>
      </w:r>
    </w:p>
    <w:p>
      <w:pPr>
        <w:spacing w:after="120"/>
        <w:ind w:left="432" w:hanging="259"/>
      </w:pPr>
      <w:r>
        <w:rPr>
          <w:rFonts w:ascii="Calibri" w:hAnsi="Calibri"/>
          <w:b w:val="0"/>
          <w:i w:val="0"/>
          <w:color w:val="222222"/>
          <w:sz w:val="21"/>
        </w:rPr>
        <w:t>•</w:t>
        <w:tab/>
      </w:r>
      <w:r>
        <w:rPr>
          <w:rFonts w:ascii="Calibri" w:hAnsi="Calibri"/>
          <w:b/>
          <w:i w:val="0"/>
          <w:color w:val="156082"/>
          <w:sz w:val="21"/>
        </w:rPr>
        <w:t>The bodies are partial.</w:t>
      </w:r>
      <w:r>
        <w:rPr>
          <w:rFonts w:ascii="Calibri" w:hAnsi="Calibri"/>
          <w:b w:val="0"/>
          <w:i w:val="0"/>
          <w:color w:val="222222"/>
          <w:sz w:val="21"/>
        </w:rPr>
        <w:t xml:space="preserve"> One muscle-driven leg; the proboscis joints are position servos.</w:t>
      </w:r>
    </w:p>
    <w:p>
      <w:pPr>
        <w:spacing w:after="120"/>
        <w:ind w:left="432" w:hanging="259"/>
      </w:pPr>
      <w:r>
        <w:rPr>
          <w:rFonts w:ascii="Calibri" w:hAnsi="Calibri"/>
          <w:b w:val="0"/>
          <w:i w:val="0"/>
          <w:color w:val="222222"/>
          <w:sz w:val="21"/>
        </w:rPr>
        <w:t>•</w:t>
        <w:tab/>
      </w:r>
      <w:r>
        <w:rPr>
          <w:rFonts w:ascii="Calibri" w:hAnsi="Calibri"/>
          <w:b/>
          <w:i w:val="0"/>
          <w:color w:val="156082"/>
          <w:sz w:val="21"/>
        </w:rPr>
        <w:t>The knobs are transmitter-class scalings,</w:t>
      </w:r>
      <w:r>
        <w:rPr>
          <w:rFonts w:ascii="Calibri" w:hAnsi="Calibri"/>
          <w:b w:val="0"/>
          <w:i w:val="0"/>
          <w:color w:val="222222"/>
          <w:sz w:val="21"/>
        </w:rPr>
        <w:t xml:space="preserve"> as in Act VII; nothing here says what any compound does to a fly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walking result is a negative for one model class</w:t>
      </w:r>
      <w:r>
        <w:rPr>
          <w:rFonts w:ascii="Calibri" w:hAnsi="Calibri"/>
          <w:b w:val="0"/>
          <w:i w:val="0"/>
          <w:color w:val="222222"/>
          <w:sz w:val="21"/>
        </w:rPr>
        <w:t xml:space="preserve"> and a reimplementation of another group's model; neither produces coordinated walking.</w:t>
      </w:r>
    </w:p>
    <w:p>
      <w:pPr>
        <w:spacing w:after="120"/>
      </w:pPr>
      <w:r>
        <w:rPr>
          <w:rFonts w:ascii="Calibri" w:hAnsi="Calibri"/>
          <w:b w:val="0"/>
          <w:i w:val="0"/>
          <w:color w:val="222222"/>
          <w:sz w:val="21"/>
        </w:rPr>
        <w:t xml:space="preserve">The stages run with </w:t>
      </w:r>
      <w:r>
        <w:rPr>
          <w:rFonts w:ascii="Consolas" w:hAnsi="Consolas"/>
          <w:b w:val="0"/>
          <w:i w:val="0"/>
          <w:color w:val="222222"/>
          <w:sz w:val="19"/>
        </w:rPr>
        <w:t>python run_all.py --stage embodied</w:t>
      </w:r>
      <w:r>
        <w:rPr>
          <w:rFonts w:ascii="Calibri" w:hAnsi="Calibri"/>
          <w:b w:val="0"/>
          <w:i w:val="0"/>
          <w:color w:val="222222"/>
          <w:sz w:val="21"/>
        </w:rPr>
        <w:t xml:space="preserve"> (or one at a time through </w:t>
      </w:r>
      <w:r>
        <w:rPr>
          <w:rFonts w:ascii="Consolas" w:hAnsi="Consolas"/>
          <w:b w:val="0"/>
          <w:i w:val="0"/>
          <w:color w:val="222222"/>
          <w:sz w:val="19"/>
        </w:rPr>
        <w:t>python -m neuromps.fly.pipeline</w:t>
      </w:r>
      <w:r>
        <w:rPr>
          <w:rFonts w:ascii="Calibri" w:hAnsi="Calibri"/>
          <w:b w:val="0"/>
          <w:i w:val="0"/>
          <w:color w:val="222222"/>
          <w:sz w:val="21"/>
        </w:rPr>
        <w:t>).</w:t>
      </w:r>
    </w:p>
    <w:p>
      <w:pPr>
        <w:keepNext/>
        <w:spacing w:before="360" w:after="120"/>
      </w:pPr>
      <w:r>
        <w:rPr>
          <w:rFonts w:ascii="Calibri" w:hAnsi="Calibri"/>
          <w:b/>
          <w:i w:val="0"/>
          <w:color w:val="2F5597"/>
          <w:sz w:val="27"/>
        </w:rPr>
        <w:t>ACT IX: What a real screen's untreated wells say (after round 1)</w:t>
      </w:r>
    </w:p>
    <w:p>
      <w:pPr>
        <w:spacing w:after="120"/>
      </w:pPr>
      <w:r>
        <w:rPr>
          <w:rFonts w:ascii="Calibri" w:hAnsi="Calibri"/>
          <w:b w:val="0"/>
          <w:i/>
          <w:color w:val="222222"/>
          <w:sz w:val="21"/>
        </w:rPr>
        <w:t xml:space="preserve">Added after the first-round deadline (`report/POST_SUBMISSION_CHANGES.md`, entry 42). Unlike Acts VII and VIII, the measurements in this act are </w:t>
      </w:r>
      <w:r>
        <w:rPr>
          <w:rFonts w:ascii="Calibri" w:hAnsi="Calibri"/>
          <w:b w:val="0"/>
          <w:i/>
          <w:color w:val="222222"/>
          <w:sz w:val="21"/>
        </w:rPr>
        <w:t>real</w:t>
      </w:r>
      <w:r>
        <w:rPr>
          <w:rFonts w:ascii="Calibri" w:hAnsi="Calibri"/>
          <w:b w:val="0"/>
          <w:i/>
          <w:color w:val="222222"/>
          <w:sz w:val="21"/>
        </w:rPr>
        <w:t>: well-level recordings from the EPA's acute MEA screen. The twin's side of §33 and §35 is simulated and labelled so. All three analyses were registered before any response statistic was computed (`preregistration/toxcast_noise_floors.json`, `preregistration/twin_toxcast_positive_controls.json`, `preregistration/twin_toxcast_dose_response.json`). This is research decision support about measurement design; nothing here is a claim about any compound's effect.</w:t>
      </w:r>
    </w:p>
    <w:p>
      <w:pPr>
        <w:keepNext/>
        <w:spacing w:before="240" w:after="60"/>
      </w:pPr>
      <w:r>
        <w:rPr>
          <w:rFonts w:ascii="Calibri" w:hAnsi="Calibri"/>
          <w:b/>
          <w:i w:val="0"/>
          <w:color w:val="1F4E79"/>
          <w:sz w:val="23"/>
        </w:rPr>
        <w:t>32. How large a change can a chip see? The noise floor, per feature</w:t>
      </w:r>
    </w:p>
    <w:p>
      <w:pPr>
        <w:spacing w:after="120"/>
      </w:pPr>
      <w:r>
        <w:rPr>
          <w:rFonts w:ascii="Calibri" w:hAnsi="Calibri"/>
          <w:b w:val="0"/>
          <w:i w:val="0"/>
          <w:color w:val="222222"/>
          <w:sz w:val="21"/>
        </w:rPr>
        <w:t xml:space="preserve">A lab that wants to use a neural chip has to answer a plain question before any modelling: how many wells does it take to see a fall of a fifth, and in which readout? The answer depends on how much an </w:t>
      </w:r>
      <w:r>
        <w:rPr>
          <w:rFonts w:ascii="Calibri" w:hAnsi="Calibri"/>
          <w:b w:val="0"/>
          <w:i/>
          <w:color w:val="222222"/>
          <w:sz w:val="21"/>
        </w:rPr>
        <w:t>untreated</w:t>
      </w:r>
      <w:r>
        <w:rPr>
          <w:rFonts w:ascii="Calibri" w:hAnsi="Calibri"/>
          <w:b w:val="0"/>
          <w:i w:val="0"/>
          <w:color w:val="222222"/>
          <w:sz w:val="21"/>
        </w:rPr>
        <w:t xml:space="preserve"> well moves on its own, and on whether that movement is shared by wells recorded on the same day. Neither number is in the published curve fits we used in round 1. Both are in the EPA's raw database.</w:t>
      </w:r>
    </w:p>
    <w:p>
      <w:pPr>
        <w:keepNext/>
        <w:spacing w:after="120"/>
      </w:pPr>
      <w:r>
        <w:rPr>
          <w:rFonts w:ascii="Calibri" w:hAnsi="Calibri"/>
          <w:b/>
          <w:i w:val="0"/>
          <w:color w:val="156082"/>
          <w:sz w:val="21"/>
        </w:rPr>
        <w:t>The data.</w:t>
      </w:r>
      <w:r>
        <w:rPr>
          <w:rFonts w:ascii="Calibri" w:hAnsi="Calibri"/>
          <w:b w:val="0"/>
          <w:i w:val="0"/>
          <w:color w:val="222222"/>
          <w:sz w:val="21"/>
        </w:rPr>
        <w:t xml:space="preserve"> The EPA's ToxCast database (invitrodb, CC0) holds every well of its acute MEA screen: rat cortical cultures on 48-well plates, each well recorded 40 minutes before and 40 minutes after exposure, stored as the percent change from its own baseline. We read its full MySQL dump as text, never executing it, and extracted the 15 electrophysiology readouts (</w:t>
      </w:r>
      <w:r>
        <w:rPr>
          <w:rFonts w:ascii="Consolas" w:hAnsi="Consolas"/>
          <w:b w:val="0"/>
          <w:i w:val="0"/>
          <w:color w:val="222222"/>
          <w:sz w:val="19"/>
        </w:rPr>
        <w:t>neuromps.etl.toxcast_wells</w:t>
      </w:r>
      <w:r>
        <w:rPr>
          <w:rFonts w:ascii="Calibri" w:hAnsi="Calibri"/>
          <w:b w:val="0"/>
          <w:i w:val="0"/>
          <w:color w:val="222222"/>
          <w:sz w:val="21"/>
        </w:rPr>
        <w:t>). Seven of these readouts, firing rate among them, have no well rows in the public dump; we recovered them from the dump's own row numbering and checked the recovery against values the database stores independently: concentrations agree on every row and each exposure date's stored baseline is reproduced on every date (</w:t>
      </w:r>
      <w:r>
        <w:rPr>
          <w:rFonts w:ascii="Consolas" w:hAnsi="Consolas"/>
          <w:b w:val="0"/>
          <w:i w:val="0"/>
          <w:color w:val="222222"/>
          <w:sz w:val="19"/>
        </w:rPr>
        <w:t>neuromps.etl.toxcast_recover</w:t>
      </w:r>
      <w:r>
        <w:rPr>
          <w:rFonts w:ascii="Calibri" w:hAnsi="Calibri"/>
          <w:b w:val="0"/>
          <w:i w:val="0"/>
          <w:color w:val="222222"/>
          <w:sz w:val="21"/>
        </w:rPr>
        <w:t xml:space="preserve">; checks in </w:t>
      </w:r>
      <w:r>
        <w:rPr>
          <w:rFonts w:ascii="Consolas" w:hAnsi="Consolas"/>
          <w:b w:val="0"/>
          <w:i w:val="0"/>
          <w:color w:val="222222"/>
          <w:sz w:val="19"/>
        </w:rPr>
        <w:t>data/interim/toxcast_mea/recovery_checks.json</w:t>
      </w:r>
      <w:r>
        <w:rPr>
          <w:rFonts w:ascii="Calibri" w:hAnsi="Calibri"/>
          <w:b w:val="0"/>
          <w:i w:val="0"/>
          <w:color w:val="222222"/>
          <w:sz w:val="21"/>
        </w:rPr>
        <w:t>). The vehicle wells (DMSO or water) are the untreated reference: 714 wells on 97 exposure dates and 274 physical plates.</w:t>
      </w:r>
    </w:p>
    <w:p>
      <w:pPr>
        <w:keepNext/>
        <w:spacing w:before="120" w:after="40"/>
        <w:jc w:val="center"/>
      </w:pPr>
      <w:r>
        <w:drawing>
          <wp:inline xmlns:a="http://schemas.openxmlformats.org/drawingml/2006/main" xmlns:pic="http://schemas.openxmlformats.org/drawingml/2006/picture">
            <wp:extent cx="5394960" cy="2062560"/>
            <wp:docPr id="23" name="Picture 23"/>
            <wp:cNvGraphicFramePr>
              <a:graphicFrameLocks noChangeAspect="1"/>
            </wp:cNvGraphicFramePr>
            <a:graphic>
              <a:graphicData uri="http://schemas.openxmlformats.org/drawingml/2006/picture">
                <pic:pic>
                  <pic:nvPicPr>
                    <pic:cNvPr id="0" name="toxcast_noise_floors_real.png"/>
                    <pic:cNvPicPr/>
                  </pic:nvPicPr>
                  <pic:blipFill>
                    <a:blip r:embed="rId35"/>
                    <a:stretch>
                      <a:fillRect/>
                    </a:stretch>
                  </pic:blipFill>
                  <pic:spPr>
                    <a:xfrm>
                      <a:off x="0" y="0"/>
                      <a:ext cx="5394960" cy="2062560"/>
                    </a:xfrm>
                    <a:prstGeom prst="rect"/>
                  </pic:spPr>
                </pic:pic>
              </a:graphicData>
            </a:graphic>
          </wp:inline>
        </w:drawing>
      </w:r>
    </w:p>
    <w:p>
      <w:pPr>
        <w:spacing w:after="200"/>
        <w:jc w:val="center"/>
      </w:pPr>
      <w:r>
        <w:rPr>
          <w:rFonts w:ascii="Calibri" w:hAnsi="Calibri"/>
          <w:b/>
          <w:i/>
          <w:color w:val="222222"/>
          <w:sz w:val="17"/>
        </w:rPr>
        <w:t xml:space="preserve">Figure 23. </w:t>
      </w:r>
      <w:r>
        <w:rPr>
          <w:rFonts w:ascii="Calibri" w:hAnsi="Calibri"/>
          <w:b w:val="0"/>
          <w:i/>
          <w:color w:val="222222"/>
          <w:sz w:val="17"/>
        </w:rPr>
        <w:t>REAL ToxCast acute MEA vehicle wells. Left: each untreated well's change from its own baseline, 5th to 95th percentile (bar) and median (dot), per readout. Middle: the share of that variance carried by the exposure date, with a 95% interval from resampling dates. Right: the firing-rate fall detectable at 5% false alarms with 80% power against the number of wells, for three designs.</w:t>
      </w:r>
    </w:p>
    <w:p>
      <w:pPr>
        <w:spacing w:after="120"/>
      </w:pPr>
      <w:r>
        <w:rPr>
          <w:rFonts w:ascii="Calibri" w:hAnsi="Calibri"/>
          <w:b/>
          <w:i w:val="0"/>
          <w:color w:val="156082"/>
          <w:sz w:val="21"/>
        </w:rPr>
        <w:t>Three findings a chip user needs.</w:t>
      </w:r>
    </w:p>
    <w:p>
      <w:pPr>
        <w:spacing w:after="120"/>
        <w:ind w:left="432" w:hanging="259"/>
      </w:pPr>
      <w:r>
        <w:rPr>
          <w:rFonts w:ascii="Calibri" w:hAnsi="Calibri"/>
          <w:b w:val="0"/>
          <w:i w:val="0"/>
          <w:color w:val="222222"/>
          <w:sz w:val="21"/>
        </w:rPr>
        <w:t>1.</w:t>
        <w:tab/>
      </w:r>
      <w:r>
        <w:rPr>
          <w:rFonts w:ascii="Calibri" w:hAnsi="Calibri"/>
          <w:b/>
          <w:i w:val="0"/>
          <w:color w:val="156082"/>
          <w:sz w:val="21"/>
        </w:rPr>
        <w:t>Untreated wells drift, and by a lot.</w:t>
      </w:r>
      <w:r>
        <w:rPr>
          <w:rFonts w:ascii="Calibri" w:hAnsi="Calibri"/>
          <w:b w:val="0"/>
          <w:i w:val="0"/>
          <w:color w:val="222222"/>
          <w:sz w:val="21"/>
        </w:rPr>
        <w:t xml:space="preserve"> Over the 40-minute exposure window an untreated well's firing rate falls by a median of −32%, and one well in twenty falls by more than −69%. A treated well read only against its own baseline would show a large "effect" with no drug at all. Every change must be read against vehicle wells. Burst counts and cross-correlation drift the same way; burst shape, synchrony and network-burst readouts barely drift.</w:t>
      </w:r>
    </w:p>
    <w:p>
      <w:pPr>
        <w:spacing w:after="120"/>
        <w:ind w:left="432" w:hanging="259"/>
      </w:pPr>
      <w:r>
        <w:rPr>
          <w:rFonts w:ascii="Calibri" w:hAnsi="Calibri"/>
          <w:b w:val="0"/>
          <w:i w:val="0"/>
          <w:color w:val="222222"/>
          <w:sz w:val="21"/>
        </w:rPr>
        <w:t>2.</w:t>
        <w:tab/>
      </w:r>
      <w:r>
        <w:rPr>
          <w:rFonts w:ascii="Calibri" w:hAnsi="Calibri"/>
          <w:b/>
          <w:i w:val="0"/>
          <w:color w:val="156082"/>
          <w:sz w:val="21"/>
        </w:rPr>
        <w:t>Much of the noise is the day, not the well.</w:t>
      </w:r>
      <w:r>
        <w:rPr>
          <w:rFonts w:ascii="Calibri" w:hAnsi="Calibri"/>
          <w:b w:val="0"/>
          <w:i w:val="0"/>
          <w:color w:val="222222"/>
          <w:sz w:val="21"/>
        </w:rPr>
        <w:t xml:space="preserve"> The exposure date carries 0.42 of the variance in vehicle firing rate (95% interval 0.31 to 0.54, resampling dates); the physical plate adds almost nothing beyond it (plate share 0.40). Wells recorded on one day share that day's offset, so adding more of them does not average it away.</w:t>
      </w:r>
    </w:p>
    <w:p>
      <w:pPr>
        <w:spacing w:after="120"/>
        <w:ind w:left="432" w:hanging="259"/>
      </w:pPr>
      <w:r>
        <w:rPr>
          <w:rFonts w:ascii="Calibri" w:hAnsi="Calibri"/>
          <w:b w:val="0"/>
          <w:i w:val="0"/>
          <w:color w:val="222222"/>
          <w:sz w:val="21"/>
        </w:rPr>
        <w:t>3.</w:t>
        <w:tab/>
      </w:r>
      <w:r>
        <w:rPr>
          <w:rFonts w:ascii="Calibri" w:hAnsi="Calibri"/>
          <w:b/>
          <w:i w:val="0"/>
          <w:color w:val="156082"/>
          <w:sz w:val="21"/>
        </w:rPr>
        <w:t>So the design matters more than the well count.</w:t>
      </w:r>
      <w:r>
        <w:rPr>
          <w:rFonts w:ascii="Calibri" w:hAnsi="Calibri"/>
          <w:b w:val="0"/>
          <w:i w:val="0"/>
          <w:color w:val="222222"/>
          <w:sz w:val="21"/>
        </w:rPr>
        <w:t xml:space="preserve"> For a 20% fall in firing rate: 32 wells spread over independent dates suffice; the same number from one date, judged against the screen's historical vehicle mean, never does (more than 96 wells; even a 50% fall stays out of reach, since 96 wells from one date detect only a 52% fall); and wells from one date judged against the same number of vehicle wells from that date need 32 of each. For a 50% fall the counts are 3 independent wells, or 4 treated and 4 vehicle wells on one date. A single well detects only a fall of 68% or more, and rises are harder to see than falls of the same percentage (a 20% rise needs 48 independent wells).</w:t>
      </w:r>
    </w:p>
    <w:p>
      <w:pPr>
        <w:keepNext/>
        <w:spacing w:after="120"/>
      </w:pPr>
      <w:r>
        <w:rPr>
          <w:rFonts w:ascii="Calibri" w:hAnsi="Calibri"/>
          <w:b/>
          <w:i w:val="0"/>
          <w:color w:val="156082"/>
          <w:sz w:val="21"/>
        </w:rPr>
        <w:t>Wells needed to detect a fall, per readout</w:t>
      </w:r>
      <w:r>
        <w:rPr>
          <w:rFonts w:ascii="Calibri" w:hAnsi="Calibri"/>
          <w:b w:val="0"/>
          <w:i w:val="0"/>
          <w:color w:val="222222"/>
          <w:sz w:val="21"/>
        </w:rPr>
        <w:t xml:space="preserve"> (two-sided false alarms at 5% per test, power 80%; smallest count on the grid 1 to 96; A: wells spread over independent dates; B: all wells from one date against the historical vehicle mean; C: that many treated </w:t>
      </w:r>
      <w:r>
        <w:rPr>
          <w:rFonts w:ascii="Calibri" w:hAnsi="Calibri"/>
          <w:b w:val="0"/>
          <w:i/>
          <w:color w:val="222222"/>
          <w:sz w:val="21"/>
        </w:rPr>
        <w:t>and</w:t>
      </w:r>
      <w:r>
        <w:rPr>
          <w:rFonts w:ascii="Calibri" w:hAnsi="Calibri"/>
          <w:b w:val="0"/>
          <w:i w:val="0"/>
          <w:color w:val="222222"/>
          <w:sz w:val="21"/>
        </w:rPr>
        <w:t xml:space="preserve"> that many vehicle wells on one date; sorted by noise floor; every vehicle well of the screen, DMSO and water):</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43"/>
        <w:gridCol w:w="1898"/>
        <w:gridCol w:w="1079"/>
        <w:gridCol w:w="887"/>
        <w:gridCol w:w="1294"/>
        <w:gridCol w:w="1294"/>
      </w:tblGrid>
      <w:tr>
        <w:trPr>
          <w:cantSplit/>
          <w:tblHeader/>
        </w:trPr>
        <w:tc>
          <w:tcPr>
            <w:tcW w:type="dxa" w:w="2043"/>
            <w:shd w:val="clear" w:color="auto" w:fill="1F4E79"/>
            <w:vAlign w:val="center"/>
          </w:tcPr>
          <w:p>
            <w:pPr>
              <w:keepNext/>
              <w:spacing w:after="0"/>
            </w:pPr>
            <w:r>
              <w:rPr>
                <w:rFonts w:ascii="Calibri" w:hAnsi="Calibri"/>
                <w:b/>
                <w:i w:val="0"/>
                <w:color w:val="FFFFFF"/>
                <w:sz w:val="20"/>
              </w:rPr>
              <w:t>readout</w:t>
            </w:r>
          </w:p>
        </w:tc>
        <w:tc>
          <w:tcPr>
            <w:tcW w:type="dxa" w:w="1898"/>
            <w:shd w:val="clear" w:color="auto" w:fill="1F4E79"/>
            <w:vAlign w:val="center"/>
          </w:tcPr>
          <w:p>
            <w:pPr>
              <w:keepNext/>
              <w:spacing w:after="0"/>
            </w:pPr>
            <w:r>
              <w:rPr>
                <w:rFonts w:ascii="Calibri" w:hAnsi="Calibri"/>
                <w:b/>
                <w:i w:val="0"/>
                <w:color w:val="FFFFFF"/>
                <w:sz w:val="20"/>
              </w:rPr>
              <w:t>untreated change, median (5th to 95th pct.)</w:t>
            </w:r>
          </w:p>
        </w:tc>
        <w:tc>
          <w:tcPr>
            <w:tcW w:type="dxa" w:w="1079"/>
            <w:shd w:val="clear" w:color="auto" w:fill="1F4E79"/>
            <w:vAlign w:val="center"/>
          </w:tcPr>
          <w:p>
            <w:pPr>
              <w:keepNext/>
              <w:spacing w:after="0"/>
              <w:jc w:val="center"/>
            </w:pPr>
            <w:r>
              <w:rPr>
                <w:rFonts w:ascii="Calibri" w:hAnsi="Calibri"/>
                <w:b/>
                <w:i w:val="0"/>
                <w:color w:val="FFFFFF"/>
                <w:sz w:val="20"/>
              </w:rPr>
              <w:t>abs. q95 (log2)</w:t>
            </w:r>
          </w:p>
        </w:tc>
        <w:tc>
          <w:tcPr>
            <w:tcW w:type="dxa" w:w="887"/>
            <w:shd w:val="clear" w:color="auto" w:fill="1F4E79"/>
            <w:vAlign w:val="center"/>
          </w:tcPr>
          <w:p>
            <w:pPr>
              <w:keepNext/>
              <w:spacing w:after="0"/>
              <w:jc w:val="center"/>
            </w:pPr>
            <w:r>
              <w:rPr>
                <w:rFonts w:ascii="Calibri" w:hAnsi="Calibri"/>
                <w:b/>
                <w:i w:val="0"/>
                <w:color w:val="FFFFFF"/>
                <w:sz w:val="20"/>
              </w:rPr>
              <w:t>date share</w:t>
            </w:r>
          </w:p>
        </w:tc>
        <w:tc>
          <w:tcPr>
            <w:tcW w:type="dxa" w:w="1294"/>
            <w:shd w:val="clear" w:color="auto" w:fill="1F4E79"/>
            <w:vAlign w:val="center"/>
          </w:tcPr>
          <w:p>
            <w:pPr>
              <w:keepNext/>
              <w:spacing w:after="0"/>
            </w:pPr>
            <w:r>
              <w:rPr>
                <w:rFonts w:ascii="Calibri" w:hAnsi="Calibri"/>
                <w:b/>
                <w:i w:val="0"/>
                <w:color w:val="FFFFFF"/>
                <w:sz w:val="20"/>
              </w:rPr>
              <w:t>wells for a 20% fall (A / B / C)</w:t>
            </w:r>
          </w:p>
        </w:tc>
        <w:tc>
          <w:tcPr>
            <w:tcW w:type="dxa" w:w="1294"/>
            <w:shd w:val="clear" w:color="auto" w:fill="1F4E79"/>
            <w:vAlign w:val="center"/>
          </w:tcPr>
          <w:p>
            <w:pPr>
              <w:keepNext/>
              <w:spacing w:after="0"/>
            </w:pPr>
            <w:r>
              <w:rPr>
                <w:rFonts w:ascii="Calibri" w:hAnsi="Calibri"/>
                <w:b/>
                <w:i w:val="0"/>
                <w:color w:val="FFFFFF"/>
                <w:sz w:val="20"/>
              </w:rPr>
              <w:t>wells for a 50% fall (A / B / C)</w:t>
            </w:r>
          </w:p>
        </w:tc>
      </w:tr>
      <w:tr>
        <w:trPr>
          <w:cantSplit/>
        </w:trPr>
        <w:tc>
          <w:tcPr>
            <w:tcW w:type="dxa" w:w="2043"/>
            <w:shd w:val="clear" w:color="auto" w:fill="FFFFFF"/>
            <w:vAlign w:val="center"/>
          </w:tcPr>
          <w:p>
            <w:pPr>
              <w:keepNext/>
              <w:spacing w:after="0"/>
            </w:pPr>
            <w:r>
              <w:rPr>
                <w:rFonts w:ascii="Calibri" w:hAnsi="Calibri"/>
                <w:b/>
                <w:i w:val="0"/>
                <w:color w:val="222222"/>
                <w:sz w:val="20"/>
              </w:rPr>
              <w:t>network burst percentage</w:t>
            </w:r>
          </w:p>
        </w:tc>
        <w:tc>
          <w:tcPr>
            <w:tcW w:type="dxa" w:w="1898"/>
            <w:shd w:val="clear" w:color="auto" w:fill="FFFFFF"/>
            <w:vAlign w:val="center"/>
          </w:tcPr>
          <w:p>
            <w:pPr>
              <w:keepNext/>
              <w:spacing w:after="0"/>
            </w:pPr>
            <w:r>
              <w:rPr>
                <w:rFonts w:ascii="Calibri" w:hAnsi="Calibri"/>
                <w:b w:val="0"/>
                <w:i w:val="0"/>
                <w:color w:val="222222"/>
                <w:sz w:val="20"/>
              </w:rPr>
              <w:t>−1% (−12% to +2%)</w:t>
            </w:r>
          </w:p>
        </w:tc>
        <w:tc>
          <w:tcPr>
            <w:tcW w:type="dxa" w:w="1079"/>
            <w:shd w:val="clear" w:color="auto" w:fill="FFFFFF"/>
            <w:vAlign w:val="center"/>
          </w:tcPr>
          <w:p>
            <w:pPr>
              <w:keepNext/>
              <w:spacing w:after="0"/>
              <w:jc w:val="center"/>
            </w:pPr>
            <w:r>
              <w:rPr>
                <w:rFonts w:ascii="Calibri" w:hAnsi="Calibri"/>
                <w:b w:val="0"/>
                <w:i w:val="0"/>
                <w:color w:val="222222"/>
                <w:sz w:val="20"/>
              </w:rPr>
              <w:t>0.20</w:t>
            </w:r>
          </w:p>
        </w:tc>
        <w:tc>
          <w:tcPr>
            <w:tcW w:type="dxa" w:w="887"/>
            <w:shd w:val="clear" w:color="auto" w:fill="FFFFFF"/>
            <w:vAlign w:val="center"/>
          </w:tcPr>
          <w:p>
            <w:pPr>
              <w:keepNext/>
              <w:spacing w:after="0"/>
              <w:jc w:val="center"/>
            </w:pPr>
            <w:r>
              <w:rPr>
                <w:rFonts w:ascii="Calibri" w:hAnsi="Calibri"/>
                <w:b w:val="0"/>
                <w:i w:val="0"/>
                <w:color w:val="222222"/>
                <w:sz w:val="20"/>
              </w:rPr>
              <w:t>0.18</w:t>
            </w:r>
          </w:p>
        </w:tc>
        <w:tc>
          <w:tcPr>
            <w:tcW w:type="dxa" w:w="1294"/>
            <w:shd w:val="clear" w:color="auto" w:fill="FFFFFF"/>
            <w:vAlign w:val="center"/>
          </w:tcPr>
          <w:p>
            <w:pPr>
              <w:keepNext/>
              <w:spacing w:after="0"/>
              <w:jc w:val="center"/>
            </w:pPr>
            <w:r>
              <w:rPr>
                <w:rFonts w:ascii="Calibri" w:hAnsi="Calibri"/>
                <w:b w:val="0"/>
                <w:i w:val="0"/>
                <w:color w:val="222222"/>
                <w:sz w:val="20"/>
              </w:rPr>
              <w:t>3 / 8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synchrony index</w:t>
            </w:r>
          </w:p>
        </w:tc>
        <w:tc>
          <w:tcPr>
            <w:tcW w:type="dxa" w:w="1898"/>
            <w:shd w:val="clear" w:color="auto" w:fill="F7F9FB"/>
            <w:vAlign w:val="center"/>
          </w:tcPr>
          <w:p>
            <w:pPr>
              <w:keepNext/>
              <w:spacing w:after="0"/>
            </w:pPr>
            <w:r>
              <w:rPr>
                <w:rFonts w:ascii="Calibri" w:hAnsi="Calibri"/>
                <w:b w:val="0"/>
                <w:i w:val="0"/>
                <w:color w:val="222222"/>
                <w:sz w:val="20"/>
              </w:rPr>
              <w:t>−4% (−16% to +3%)</w:t>
            </w:r>
          </w:p>
        </w:tc>
        <w:tc>
          <w:tcPr>
            <w:tcW w:type="dxa" w:w="1079"/>
            <w:shd w:val="clear" w:color="auto" w:fill="F7F9FB"/>
            <w:vAlign w:val="center"/>
          </w:tcPr>
          <w:p>
            <w:pPr>
              <w:keepNext/>
              <w:spacing w:after="0"/>
              <w:jc w:val="center"/>
            </w:pPr>
            <w:r>
              <w:rPr>
                <w:rFonts w:ascii="Calibri" w:hAnsi="Calibri"/>
                <w:b w:val="0"/>
                <w:i w:val="0"/>
                <w:color w:val="222222"/>
                <w:sz w:val="20"/>
              </w:rPr>
              <w:t>0.26</w:t>
            </w:r>
          </w:p>
        </w:tc>
        <w:tc>
          <w:tcPr>
            <w:tcW w:type="dxa" w:w="887"/>
            <w:shd w:val="clear" w:color="auto" w:fill="F7F9FB"/>
            <w:vAlign w:val="center"/>
          </w:tcPr>
          <w:p>
            <w:pPr>
              <w:keepNext/>
              <w:spacing w:after="0"/>
              <w:jc w:val="center"/>
            </w:pPr>
            <w:r>
              <w:rPr>
                <w:rFonts w:ascii="Calibri" w:hAnsi="Calibri"/>
                <w:b w:val="0"/>
                <w:i w:val="0"/>
                <w:color w:val="222222"/>
                <w:sz w:val="20"/>
              </w:rPr>
              <w:t>0.32</w:t>
            </w:r>
          </w:p>
        </w:tc>
        <w:tc>
          <w:tcPr>
            <w:tcW w:type="dxa" w:w="1294"/>
            <w:shd w:val="clear" w:color="auto" w:fill="F7F9FB"/>
            <w:vAlign w:val="center"/>
          </w:tcPr>
          <w:p>
            <w:pPr>
              <w:keepNext/>
              <w:spacing w:after="0"/>
              <w:jc w:val="center"/>
            </w:pPr>
            <w:r>
              <w:rPr>
                <w:rFonts w:ascii="Calibri" w:hAnsi="Calibri"/>
                <w:b w:val="0"/>
                <w:i w:val="0"/>
                <w:color w:val="222222"/>
                <w:sz w:val="20"/>
              </w:rPr>
              <w:t>6 / 12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electrodes number mean</w:t>
            </w:r>
          </w:p>
        </w:tc>
        <w:tc>
          <w:tcPr>
            <w:tcW w:type="dxa" w:w="1898"/>
            <w:shd w:val="clear" w:color="auto" w:fill="FFFFFF"/>
            <w:vAlign w:val="center"/>
          </w:tcPr>
          <w:p>
            <w:pPr>
              <w:keepNext/>
              <w:spacing w:after="0"/>
            </w:pPr>
            <w:r>
              <w:rPr>
                <w:rFonts w:ascii="Calibri" w:hAnsi="Calibri"/>
                <w:b w:val="0"/>
                <w:i w:val="0"/>
                <w:color w:val="222222"/>
                <w:sz w:val="20"/>
              </w:rPr>
              <w:t>−6% (−21% to +10%)</w:t>
            </w:r>
          </w:p>
        </w:tc>
        <w:tc>
          <w:tcPr>
            <w:tcW w:type="dxa" w:w="1079"/>
            <w:shd w:val="clear" w:color="auto" w:fill="FFFFFF"/>
            <w:vAlign w:val="center"/>
          </w:tcPr>
          <w:p>
            <w:pPr>
              <w:keepNext/>
              <w:spacing w:after="0"/>
              <w:jc w:val="center"/>
            </w:pPr>
            <w:r>
              <w:rPr>
                <w:rFonts w:ascii="Calibri" w:hAnsi="Calibri"/>
                <w:b w:val="0"/>
                <w:i w:val="0"/>
                <w:color w:val="222222"/>
                <w:sz w:val="20"/>
              </w:rPr>
              <w:t>0.40</w:t>
            </w:r>
          </w:p>
        </w:tc>
        <w:tc>
          <w:tcPr>
            <w:tcW w:type="dxa" w:w="887"/>
            <w:shd w:val="clear" w:color="auto" w:fill="FFFFFF"/>
            <w:vAlign w:val="center"/>
          </w:tcPr>
          <w:p>
            <w:pPr>
              <w:keepNext/>
              <w:spacing w:after="0"/>
              <w:jc w:val="center"/>
            </w:pPr>
            <w:r>
              <w:rPr>
                <w:rFonts w:ascii="Calibri" w:hAnsi="Calibri"/>
                <w:b w:val="0"/>
                <w:i w:val="0"/>
                <w:color w:val="222222"/>
                <w:sz w:val="20"/>
              </w:rPr>
              <w:t>0.25</w:t>
            </w:r>
          </w:p>
        </w:tc>
        <w:tc>
          <w:tcPr>
            <w:tcW w:type="dxa" w:w="1294"/>
            <w:shd w:val="clear" w:color="auto" w:fill="FFFFFF"/>
            <w:vAlign w:val="center"/>
          </w:tcPr>
          <w:p>
            <w:pPr>
              <w:keepNext/>
              <w:spacing w:after="0"/>
              <w:jc w:val="center"/>
            </w:pPr>
            <w:r>
              <w:rPr>
                <w:rFonts w:ascii="Calibri" w:hAnsi="Calibri"/>
                <w:b w:val="0"/>
                <w:i w:val="0"/>
                <w:color w:val="222222"/>
                <w:sz w:val="20"/>
              </w:rPr>
              <w:t>3 / 4 / 4</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mean</w:t>
            </w:r>
          </w:p>
        </w:tc>
        <w:tc>
          <w:tcPr>
            <w:tcW w:type="dxa" w:w="1898"/>
            <w:shd w:val="clear" w:color="auto" w:fill="F7F9FB"/>
            <w:vAlign w:val="center"/>
          </w:tcPr>
          <w:p>
            <w:pPr>
              <w:keepNext/>
              <w:spacing w:after="0"/>
            </w:pPr>
            <w:r>
              <w:rPr>
                <w:rFonts w:ascii="Calibri" w:hAnsi="Calibri"/>
                <w:b w:val="0"/>
                <w:i w:val="0"/>
                <w:color w:val="222222"/>
                <w:sz w:val="20"/>
              </w:rPr>
              <w:t>−6% (−24% to +3%)</w:t>
            </w:r>
          </w:p>
        </w:tc>
        <w:tc>
          <w:tcPr>
            <w:tcW w:type="dxa" w:w="1079"/>
            <w:shd w:val="clear" w:color="auto" w:fill="F7F9FB"/>
            <w:vAlign w:val="center"/>
          </w:tcPr>
          <w:p>
            <w:pPr>
              <w:keepNext/>
              <w:spacing w:after="0"/>
              <w:jc w:val="center"/>
            </w:pPr>
            <w:r>
              <w:rPr>
                <w:rFonts w:ascii="Calibri" w:hAnsi="Calibri"/>
                <w:b w:val="0"/>
                <w:i w:val="0"/>
                <w:color w:val="222222"/>
                <w:sz w:val="20"/>
              </w:rPr>
              <w:t>0.40</w:t>
            </w:r>
          </w:p>
        </w:tc>
        <w:tc>
          <w:tcPr>
            <w:tcW w:type="dxa" w:w="887"/>
            <w:shd w:val="clear" w:color="auto" w:fill="F7F9FB"/>
            <w:vAlign w:val="center"/>
          </w:tcPr>
          <w:p>
            <w:pPr>
              <w:keepNext/>
              <w:spacing w:after="0"/>
              <w:jc w:val="center"/>
            </w:pPr>
            <w:r>
              <w:rPr>
                <w:rFonts w:ascii="Calibri" w:hAnsi="Calibri"/>
                <w:b w:val="0"/>
                <w:i w:val="0"/>
                <w:color w:val="222222"/>
                <w:sz w:val="20"/>
              </w:rPr>
              <w:t>0.39</w:t>
            </w:r>
          </w:p>
        </w:tc>
        <w:tc>
          <w:tcPr>
            <w:tcW w:type="dxa" w:w="1294"/>
            <w:shd w:val="clear" w:color="auto" w:fill="F7F9FB"/>
            <w:vAlign w:val="center"/>
          </w:tcPr>
          <w:p>
            <w:pPr>
              <w:keepNext/>
              <w:spacing w:after="0"/>
              <w:jc w:val="center"/>
            </w:pPr>
            <w:r>
              <w:rPr>
                <w:rFonts w:ascii="Calibri" w:hAnsi="Calibri"/>
                <w:b w:val="0"/>
                <w:i w:val="0"/>
                <w:color w:val="222222"/>
                <w:sz w:val="20"/>
              </w:rPr>
              <w:t>3 / 16 / 8</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burst spike number mean</w:t>
            </w:r>
          </w:p>
        </w:tc>
        <w:tc>
          <w:tcPr>
            <w:tcW w:type="dxa" w:w="1898"/>
            <w:shd w:val="clear" w:color="auto" w:fill="FFFFFF"/>
            <w:vAlign w:val="center"/>
          </w:tcPr>
          <w:p>
            <w:pPr>
              <w:keepNext/>
              <w:spacing w:after="0"/>
            </w:pPr>
            <w:r>
              <w:rPr>
                <w:rFonts w:ascii="Calibri" w:hAnsi="Calibri"/>
                <w:b w:val="0"/>
                <w:i w:val="0"/>
                <w:color w:val="222222"/>
                <w:sz w:val="20"/>
              </w:rPr>
              <w:t>−5% (−23% to +22%)</w:t>
            </w:r>
          </w:p>
        </w:tc>
        <w:tc>
          <w:tcPr>
            <w:tcW w:type="dxa" w:w="1079"/>
            <w:shd w:val="clear" w:color="auto" w:fill="FFFFFF"/>
            <w:vAlign w:val="center"/>
          </w:tcPr>
          <w:p>
            <w:pPr>
              <w:keepNext/>
              <w:spacing w:after="0"/>
              <w:jc w:val="center"/>
            </w:pPr>
            <w:r>
              <w:rPr>
                <w:rFonts w:ascii="Calibri" w:hAnsi="Calibri"/>
                <w:b w:val="0"/>
                <w:i w:val="0"/>
                <w:color w:val="222222"/>
                <w:sz w:val="20"/>
              </w:rPr>
              <w:t>0.43</w:t>
            </w:r>
          </w:p>
        </w:tc>
        <w:tc>
          <w:tcPr>
            <w:tcW w:type="dxa" w:w="887"/>
            <w:shd w:val="clear" w:color="auto" w:fill="FFFFFF"/>
            <w:vAlign w:val="center"/>
          </w:tcPr>
          <w:p>
            <w:pPr>
              <w:keepNext/>
              <w:spacing w:after="0"/>
              <w:jc w:val="center"/>
            </w:pPr>
            <w:r>
              <w:rPr>
                <w:rFonts w:ascii="Calibri" w:hAnsi="Calibri"/>
                <w:b w:val="0"/>
                <w:i w:val="0"/>
                <w:color w:val="222222"/>
                <w:sz w:val="20"/>
              </w:rPr>
              <w:t>0.33</w:t>
            </w:r>
          </w:p>
        </w:tc>
        <w:tc>
          <w:tcPr>
            <w:tcW w:type="dxa" w:w="1294"/>
            <w:shd w:val="clear" w:color="auto" w:fill="FFFFFF"/>
            <w:vAlign w:val="center"/>
          </w:tcPr>
          <w:p>
            <w:pPr>
              <w:keepNext/>
              <w:spacing w:after="0"/>
            </w:pPr>
            <w:r>
              <w:rPr>
                <w:rFonts w:ascii="Calibri" w:hAnsi="Calibri"/>
                <w:b w:val="0"/>
                <w:i w:val="0"/>
                <w:color w:val="222222"/>
                <w:sz w:val="20"/>
              </w:rPr>
              <w:t>4 / &gt;96 / 6</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cross correlation HWHM</w:t>
            </w:r>
          </w:p>
        </w:tc>
        <w:tc>
          <w:tcPr>
            <w:tcW w:type="dxa" w:w="1898"/>
            <w:shd w:val="clear" w:color="auto" w:fill="F7F9FB"/>
            <w:vAlign w:val="center"/>
          </w:tcPr>
          <w:p>
            <w:pPr>
              <w:keepNext/>
              <w:spacing w:after="0"/>
            </w:pPr>
            <w:r>
              <w:rPr>
                <w:rFonts w:ascii="Calibri" w:hAnsi="Calibri"/>
                <w:b w:val="0"/>
                <w:i w:val="0"/>
                <w:color w:val="222222"/>
                <w:sz w:val="20"/>
              </w:rPr>
              <w:t>+1% (−26% to +23%)</w:t>
            </w:r>
          </w:p>
        </w:tc>
        <w:tc>
          <w:tcPr>
            <w:tcW w:type="dxa" w:w="1079"/>
            <w:shd w:val="clear" w:color="auto" w:fill="F7F9FB"/>
            <w:vAlign w:val="center"/>
          </w:tcPr>
          <w:p>
            <w:pPr>
              <w:keepNext/>
              <w:spacing w:after="0"/>
              <w:jc w:val="center"/>
            </w:pPr>
            <w:r>
              <w:rPr>
                <w:rFonts w:ascii="Calibri" w:hAnsi="Calibri"/>
                <w:b w:val="0"/>
                <w:i w:val="0"/>
                <w:color w:val="222222"/>
                <w:sz w:val="20"/>
              </w:rPr>
              <w:t>0.49</w:t>
            </w:r>
          </w:p>
        </w:tc>
        <w:tc>
          <w:tcPr>
            <w:tcW w:type="dxa" w:w="887"/>
            <w:shd w:val="clear" w:color="auto" w:fill="F7F9FB"/>
            <w:vAlign w:val="center"/>
          </w:tcPr>
          <w:p>
            <w:pPr>
              <w:keepNext/>
              <w:spacing w:after="0"/>
              <w:jc w:val="center"/>
            </w:pPr>
            <w:r>
              <w:rPr>
                <w:rFonts w:ascii="Calibri" w:hAnsi="Calibri"/>
                <w:b w:val="0"/>
                <w:i w:val="0"/>
                <w:color w:val="222222"/>
                <w:sz w:val="20"/>
              </w:rPr>
              <w:t>0.33</w:t>
            </w:r>
          </w:p>
        </w:tc>
        <w:tc>
          <w:tcPr>
            <w:tcW w:type="dxa" w:w="1294"/>
            <w:shd w:val="clear" w:color="auto" w:fill="F7F9FB"/>
            <w:vAlign w:val="center"/>
          </w:tcPr>
          <w:p>
            <w:pPr>
              <w:keepNext/>
              <w:spacing w:after="0"/>
            </w:pPr>
            <w:r>
              <w:rPr>
                <w:rFonts w:ascii="Calibri" w:hAnsi="Calibri"/>
                <w:b w:val="0"/>
                <w:i w:val="0"/>
                <w:color w:val="222222"/>
                <w:sz w:val="20"/>
              </w:rPr>
              <w:t>6 / &gt;96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burst duration mean</w:t>
            </w:r>
          </w:p>
        </w:tc>
        <w:tc>
          <w:tcPr>
            <w:tcW w:type="dxa" w:w="1898"/>
            <w:shd w:val="clear" w:color="auto" w:fill="FFFFFF"/>
            <w:vAlign w:val="center"/>
          </w:tcPr>
          <w:p>
            <w:pPr>
              <w:keepNext/>
              <w:spacing w:after="0"/>
            </w:pPr>
            <w:r>
              <w:rPr>
                <w:rFonts w:ascii="Calibri" w:hAnsi="Calibri"/>
                <w:b w:val="0"/>
                <w:i w:val="0"/>
                <w:color w:val="222222"/>
                <w:sz w:val="20"/>
              </w:rPr>
              <w:t>+4% (−20% to +43%)</w:t>
            </w:r>
          </w:p>
        </w:tc>
        <w:tc>
          <w:tcPr>
            <w:tcW w:type="dxa" w:w="1079"/>
            <w:shd w:val="clear" w:color="auto" w:fill="FFFFFF"/>
            <w:vAlign w:val="center"/>
          </w:tcPr>
          <w:p>
            <w:pPr>
              <w:keepNext/>
              <w:spacing w:after="0"/>
              <w:jc w:val="center"/>
            </w:pPr>
            <w:r>
              <w:rPr>
                <w:rFonts w:ascii="Calibri" w:hAnsi="Calibri"/>
                <w:b w:val="0"/>
                <w:i w:val="0"/>
                <w:color w:val="222222"/>
                <w:sz w:val="20"/>
              </w:rPr>
              <w:t>0.54</w:t>
            </w:r>
          </w:p>
        </w:tc>
        <w:tc>
          <w:tcPr>
            <w:tcW w:type="dxa" w:w="887"/>
            <w:shd w:val="clear" w:color="auto" w:fill="FFFFFF"/>
            <w:vAlign w:val="center"/>
          </w:tcPr>
          <w:p>
            <w:pPr>
              <w:keepNext/>
              <w:spacing w:after="0"/>
              <w:jc w:val="center"/>
            </w:pPr>
            <w:r>
              <w:rPr>
                <w:rFonts w:ascii="Calibri" w:hAnsi="Calibri"/>
                <w:b w:val="0"/>
                <w:i w:val="0"/>
                <w:color w:val="222222"/>
                <w:sz w:val="20"/>
              </w:rPr>
              <w:t>0.36</w:t>
            </w:r>
          </w:p>
        </w:tc>
        <w:tc>
          <w:tcPr>
            <w:tcW w:type="dxa" w:w="1294"/>
            <w:shd w:val="clear" w:color="auto" w:fill="FFFFFF"/>
            <w:vAlign w:val="center"/>
          </w:tcPr>
          <w:p>
            <w:pPr>
              <w:keepNext/>
              <w:spacing w:after="0"/>
            </w:pPr>
            <w:r>
              <w:rPr>
                <w:rFonts w:ascii="Calibri" w:hAnsi="Calibri"/>
                <w:b w:val="0"/>
                <w:i w:val="0"/>
                <w:color w:val="222222"/>
                <w:sz w:val="20"/>
              </w:rPr>
              <w:t>5 / &gt;96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per network burst spike number std</w:t>
            </w:r>
          </w:p>
        </w:tc>
        <w:tc>
          <w:tcPr>
            <w:tcW w:type="dxa" w:w="1898"/>
            <w:shd w:val="clear" w:color="auto" w:fill="F7F9FB"/>
            <w:vAlign w:val="center"/>
          </w:tcPr>
          <w:p>
            <w:pPr>
              <w:keepNext/>
              <w:spacing w:after="0"/>
            </w:pPr>
            <w:r>
              <w:rPr>
                <w:rFonts w:ascii="Calibri" w:hAnsi="Calibri"/>
                <w:b w:val="0"/>
                <w:i w:val="0"/>
                <w:color w:val="222222"/>
                <w:sz w:val="20"/>
              </w:rPr>
              <w:t>+2% (−31% to +56%)</w:t>
            </w:r>
          </w:p>
        </w:tc>
        <w:tc>
          <w:tcPr>
            <w:tcW w:type="dxa" w:w="1079"/>
            <w:shd w:val="clear" w:color="auto" w:fill="F7F9FB"/>
            <w:vAlign w:val="center"/>
          </w:tcPr>
          <w:p>
            <w:pPr>
              <w:keepNext/>
              <w:spacing w:after="0"/>
              <w:jc w:val="center"/>
            </w:pPr>
            <w:r>
              <w:rPr>
                <w:rFonts w:ascii="Calibri" w:hAnsi="Calibri"/>
                <w:b w:val="0"/>
                <w:i w:val="0"/>
                <w:color w:val="222222"/>
                <w:sz w:val="20"/>
              </w:rPr>
              <w:t>0.80</w:t>
            </w:r>
          </w:p>
        </w:tc>
        <w:tc>
          <w:tcPr>
            <w:tcW w:type="dxa" w:w="887"/>
            <w:shd w:val="clear" w:color="auto" w:fill="F7F9FB"/>
            <w:vAlign w:val="center"/>
          </w:tcPr>
          <w:p>
            <w:pPr>
              <w:keepNext/>
              <w:spacing w:after="0"/>
              <w:jc w:val="center"/>
            </w:pPr>
            <w:r>
              <w:rPr>
                <w:rFonts w:ascii="Calibri" w:hAnsi="Calibri"/>
                <w:b w:val="0"/>
                <w:i w:val="0"/>
                <w:color w:val="222222"/>
                <w:sz w:val="20"/>
              </w:rPr>
              <w:t>0.38</w:t>
            </w:r>
          </w:p>
        </w:tc>
        <w:tc>
          <w:tcPr>
            <w:tcW w:type="dxa" w:w="1294"/>
            <w:shd w:val="clear" w:color="auto" w:fill="F7F9FB"/>
            <w:vAlign w:val="center"/>
          </w:tcPr>
          <w:p>
            <w:pPr>
              <w:keepNext/>
              <w:spacing w:after="0"/>
            </w:pPr>
            <w:r>
              <w:rPr>
                <w:rFonts w:ascii="Calibri" w:hAnsi="Calibri"/>
                <w:b w:val="0"/>
                <w:i w:val="0"/>
                <w:color w:val="222222"/>
                <w:sz w:val="20"/>
              </w:rPr>
              <w:t>16 / &gt;96 / 20</w:t>
            </w:r>
          </w:p>
        </w:tc>
        <w:tc>
          <w:tcPr>
            <w:tcW w:type="dxa" w:w="1294"/>
            <w:shd w:val="clear" w:color="auto" w:fill="F7F9FB"/>
            <w:vAlign w:val="center"/>
          </w:tcPr>
          <w:p>
            <w:pPr>
              <w:keepNext/>
              <w:spacing w:after="0"/>
              <w:jc w:val="center"/>
            </w:pPr>
            <w:r>
              <w:rPr>
                <w:rFonts w:ascii="Calibri" w:hAnsi="Calibri"/>
                <w:b w:val="0"/>
                <w:i w:val="0"/>
                <w:color w:val="222222"/>
                <w:sz w:val="20"/>
              </w:rPr>
              <w:t>2 / 2 / 2</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spike number mean</w:t>
            </w:r>
          </w:p>
        </w:tc>
        <w:tc>
          <w:tcPr>
            <w:tcW w:type="dxa" w:w="1898"/>
            <w:shd w:val="clear" w:color="auto" w:fill="FFFFFF"/>
            <w:vAlign w:val="center"/>
          </w:tcPr>
          <w:p>
            <w:pPr>
              <w:keepNext/>
              <w:spacing w:after="0"/>
            </w:pPr>
            <w:r>
              <w:rPr>
                <w:rFonts w:ascii="Calibri" w:hAnsi="Calibri"/>
                <w:b w:val="0"/>
                <w:i w:val="0"/>
                <w:color w:val="222222"/>
                <w:sz w:val="20"/>
              </w:rPr>
              <w:t>−25% (−52% to +40%)</w:t>
            </w:r>
          </w:p>
        </w:tc>
        <w:tc>
          <w:tcPr>
            <w:tcW w:type="dxa" w:w="1079"/>
            <w:shd w:val="clear" w:color="auto" w:fill="FFFFFF"/>
            <w:vAlign w:val="center"/>
          </w:tcPr>
          <w:p>
            <w:pPr>
              <w:keepNext/>
              <w:spacing w:after="0"/>
              <w:jc w:val="center"/>
            </w:pPr>
            <w:r>
              <w:rPr>
                <w:rFonts w:ascii="Calibri" w:hAnsi="Calibri"/>
                <w:b w:val="0"/>
                <w:i w:val="0"/>
                <w:color w:val="222222"/>
                <w:sz w:val="20"/>
              </w:rPr>
              <w:t>1.11</w:t>
            </w:r>
          </w:p>
        </w:tc>
        <w:tc>
          <w:tcPr>
            <w:tcW w:type="dxa" w:w="887"/>
            <w:shd w:val="clear" w:color="auto" w:fill="FFFFFF"/>
            <w:vAlign w:val="center"/>
          </w:tcPr>
          <w:p>
            <w:pPr>
              <w:keepNext/>
              <w:spacing w:after="0"/>
              <w:jc w:val="center"/>
            </w:pPr>
            <w:r>
              <w:rPr>
                <w:rFonts w:ascii="Calibri" w:hAnsi="Calibri"/>
                <w:b w:val="0"/>
                <w:i w:val="0"/>
                <w:color w:val="222222"/>
                <w:sz w:val="20"/>
              </w:rPr>
              <w:t>0.31</w:t>
            </w:r>
          </w:p>
        </w:tc>
        <w:tc>
          <w:tcPr>
            <w:tcW w:type="dxa" w:w="1294"/>
            <w:shd w:val="clear" w:color="auto" w:fill="FFFFFF"/>
            <w:vAlign w:val="center"/>
          </w:tcPr>
          <w:p>
            <w:pPr>
              <w:keepNext/>
              <w:spacing w:after="0"/>
            </w:pPr>
            <w:r>
              <w:rPr>
                <w:rFonts w:ascii="Calibri" w:hAnsi="Calibri"/>
                <w:b w:val="0"/>
                <w:i w:val="0"/>
                <w:color w:val="222222"/>
                <w:sz w:val="20"/>
              </w:rPr>
              <w:t>20 / &gt;96 / 32</w:t>
            </w:r>
          </w:p>
        </w:tc>
        <w:tc>
          <w:tcPr>
            <w:tcW w:type="dxa" w:w="1294"/>
            <w:shd w:val="clear" w:color="auto" w:fill="FFFFFF"/>
            <w:vAlign w:val="center"/>
          </w:tcPr>
          <w:p>
            <w:pPr>
              <w:keepNext/>
              <w:spacing w:after="0"/>
              <w:jc w:val="center"/>
            </w:pPr>
            <w:r>
              <w:rPr>
                <w:rFonts w:ascii="Calibri" w:hAnsi="Calibri"/>
                <w:b w:val="0"/>
                <w:i w:val="0"/>
                <w:color w:val="222222"/>
                <w:sz w:val="20"/>
              </w:rPr>
              <w:t>2 / 3 / 3</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std</w:t>
            </w:r>
          </w:p>
        </w:tc>
        <w:tc>
          <w:tcPr>
            <w:tcW w:type="dxa" w:w="1898"/>
            <w:shd w:val="clear" w:color="auto" w:fill="F7F9FB"/>
            <w:vAlign w:val="center"/>
          </w:tcPr>
          <w:p>
            <w:pPr>
              <w:keepNext/>
              <w:spacing w:after="0"/>
            </w:pPr>
            <w:r>
              <w:rPr>
                <w:rFonts w:ascii="Calibri" w:hAnsi="Calibri"/>
                <w:b w:val="0"/>
                <w:i w:val="0"/>
                <w:color w:val="222222"/>
                <w:sz w:val="20"/>
              </w:rPr>
              <w:t>+2% (−29% to +121%)</w:t>
            </w:r>
          </w:p>
        </w:tc>
        <w:tc>
          <w:tcPr>
            <w:tcW w:type="dxa" w:w="1079"/>
            <w:shd w:val="clear" w:color="auto" w:fill="F7F9FB"/>
            <w:vAlign w:val="center"/>
          </w:tcPr>
          <w:p>
            <w:pPr>
              <w:keepNext/>
              <w:spacing w:after="0"/>
              <w:jc w:val="center"/>
            </w:pPr>
            <w:r>
              <w:rPr>
                <w:rFonts w:ascii="Calibri" w:hAnsi="Calibri"/>
                <w:b w:val="0"/>
                <w:i w:val="0"/>
                <w:color w:val="222222"/>
                <w:sz w:val="20"/>
              </w:rPr>
              <w:t>1.20</w:t>
            </w:r>
          </w:p>
        </w:tc>
        <w:tc>
          <w:tcPr>
            <w:tcW w:type="dxa" w:w="887"/>
            <w:shd w:val="clear" w:color="auto" w:fill="F7F9FB"/>
            <w:vAlign w:val="center"/>
          </w:tcPr>
          <w:p>
            <w:pPr>
              <w:keepNext/>
              <w:spacing w:after="0"/>
              <w:jc w:val="center"/>
            </w:pPr>
            <w:r>
              <w:rPr>
                <w:rFonts w:ascii="Calibri" w:hAnsi="Calibri"/>
                <w:b w:val="0"/>
                <w:i w:val="0"/>
                <w:color w:val="222222"/>
                <w:sz w:val="20"/>
              </w:rPr>
              <w:t>0.19</w:t>
            </w:r>
          </w:p>
        </w:tc>
        <w:tc>
          <w:tcPr>
            <w:tcW w:type="dxa" w:w="1294"/>
            <w:shd w:val="clear" w:color="auto" w:fill="F7F9FB"/>
            <w:vAlign w:val="center"/>
          </w:tcPr>
          <w:p>
            <w:pPr>
              <w:keepNext/>
              <w:spacing w:after="0"/>
            </w:pPr>
            <w:r>
              <w:rPr>
                <w:rFonts w:ascii="Calibri" w:hAnsi="Calibri"/>
                <w:b w:val="0"/>
                <w:i w:val="0"/>
                <w:color w:val="222222"/>
                <w:sz w:val="20"/>
              </w:rPr>
              <w:t>24 / &gt;96 / 48</w:t>
            </w:r>
          </w:p>
        </w:tc>
        <w:tc>
          <w:tcPr>
            <w:tcW w:type="dxa" w:w="1294"/>
            <w:shd w:val="clear" w:color="auto" w:fill="F7F9FB"/>
            <w:vAlign w:val="center"/>
          </w:tcPr>
          <w:p>
            <w:pPr>
              <w:keepNext/>
              <w:spacing w:after="0"/>
              <w:jc w:val="center"/>
            </w:pPr>
            <w:r>
              <w:rPr>
                <w:rFonts w:ascii="Calibri" w:hAnsi="Calibri"/>
                <w:b w:val="0"/>
                <w:i w:val="0"/>
                <w:color w:val="222222"/>
                <w:sz w:val="20"/>
              </w:rPr>
              <w:t>3 / 4 / 4</w:t>
            </w:r>
          </w:p>
        </w:tc>
      </w:tr>
      <w:tr>
        <w:trPr>
          <w:cantSplit/>
        </w:trPr>
        <w:tc>
          <w:tcPr>
            <w:tcW w:type="dxa" w:w="2043"/>
            <w:shd w:val="clear" w:color="auto" w:fill="FFFFFF"/>
            <w:vAlign w:val="center"/>
          </w:tcPr>
          <w:p>
            <w:pPr>
              <w:keepNext/>
              <w:spacing w:after="0"/>
            </w:pPr>
            <w:r>
              <w:rPr>
                <w:rFonts w:ascii="Calibri" w:hAnsi="Calibri"/>
                <w:b/>
                <w:i w:val="0"/>
                <w:color w:val="222222"/>
                <w:sz w:val="20"/>
              </w:rPr>
              <w:t>spike number</w:t>
            </w:r>
          </w:p>
        </w:tc>
        <w:tc>
          <w:tcPr>
            <w:tcW w:type="dxa" w:w="1898"/>
            <w:shd w:val="clear" w:color="auto" w:fill="FFFFFF"/>
            <w:vAlign w:val="center"/>
          </w:tcPr>
          <w:p>
            <w:pPr>
              <w:keepNext/>
              <w:spacing w:after="0"/>
            </w:pPr>
            <w:r>
              <w:rPr>
                <w:rFonts w:ascii="Calibri" w:hAnsi="Calibri"/>
                <w:b w:val="0"/>
                <w:i w:val="0"/>
                <w:color w:val="222222"/>
                <w:sz w:val="20"/>
              </w:rPr>
              <w:t>−32% (−69% to +5%)</w:t>
            </w:r>
          </w:p>
        </w:tc>
        <w:tc>
          <w:tcPr>
            <w:tcW w:type="dxa" w:w="1079"/>
            <w:shd w:val="clear" w:color="auto" w:fill="FFFFFF"/>
            <w:vAlign w:val="center"/>
          </w:tcPr>
          <w:p>
            <w:pPr>
              <w:keepNext/>
              <w:spacing w:after="0"/>
              <w:jc w:val="center"/>
            </w:pPr>
            <w:r>
              <w:rPr>
                <w:rFonts w:ascii="Calibri" w:hAnsi="Calibri"/>
                <w:b w:val="0"/>
                <w:i w:val="0"/>
                <w:color w:val="222222"/>
                <w:sz w:val="20"/>
              </w:rPr>
              <w:t>1.71</w:t>
            </w:r>
          </w:p>
        </w:tc>
        <w:tc>
          <w:tcPr>
            <w:tcW w:type="dxa" w:w="887"/>
            <w:shd w:val="clear" w:color="auto" w:fill="FFFFFF"/>
            <w:vAlign w:val="center"/>
          </w:tcPr>
          <w:p>
            <w:pPr>
              <w:keepNext/>
              <w:spacing w:after="0"/>
              <w:jc w:val="center"/>
            </w:pPr>
            <w:r>
              <w:rPr>
                <w:rFonts w:ascii="Calibri" w:hAnsi="Calibri"/>
                <w:b w:val="0"/>
                <w:i w:val="0"/>
                <w:color w:val="222222"/>
                <w:sz w:val="20"/>
              </w:rPr>
              <w:t>0.42</w:t>
            </w:r>
          </w:p>
        </w:tc>
        <w:tc>
          <w:tcPr>
            <w:tcW w:type="dxa" w:w="1294"/>
            <w:shd w:val="clear" w:color="auto" w:fill="FFFFFF"/>
            <w:vAlign w:val="center"/>
          </w:tcPr>
          <w:p>
            <w:pPr>
              <w:keepNext/>
              <w:spacing w:after="0"/>
            </w:pPr>
            <w:r>
              <w:rPr>
                <w:rFonts w:ascii="Calibri" w:hAnsi="Calibri"/>
                <w:b w:val="0"/>
                <w:i w:val="0"/>
                <w:color w:val="222222"/>
                <w:sz w:val="20"/>
              </w:rPr>
              <w:t>32 / &gt;96 / 48</w:t>
            </w:r>
          </w:p>
        </w:tc>
        <w:tc>
          <w:tcPr>
            <w:tcW w:type="dxa" w:w="1294"/>
            <w:shd w:val="clear" w:color="auto" w:fill="FFFFFF"/>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7F9FB"/>
            <w:vAlign w:val="center"/>
          </w:tcPr>
          <w:p>
            <w:pPr>
              <w:keepNext/>
              <w:spacing w:after="0"/>
            </w:pPr>
            <w:r>
              <w:rPr>
                <w:rFonts w:ascii="Calibri" w:hAnsi="Calibri"/>
                <w:b/>
                <w:i w:val="0"/>
                <w:color w:val="222222"/>
                <w:sz w:val="20"/>
              </w:rPr>
              <w:t>firing rate mean</w:t>
            </w:r>
          </w:p>
        </w:tc>
        <w:tc>
          <w:tcPr>
            <w:tcW w:type="dxa" w:w="1898"/>
            <w:shd w:val="clear" w:color="auto" w:fill="F7F9FB"/>
            <w:vAlign w:val="center"/>
          </w:tcPr>
          <w:p>
            <w:pPr>
              <w:keepNext/>
              <w:spacing w:after="0"/>
            </w:pPr>
            <w:r>
              <w:rPr>
                <w:rFonts w:ascii="Calibri" w:hAnsi="Calibri"/>
                <w:b w:val="0"/>
                <w:i w:val="0"/>
                <w:color w:val="222222"/>
                <w:sz w:val="20"/>
              </w:rPr>
              <w:t>−32% (−69% to +5%)</w:t>
            </w:r>
          </w:p>
        </w:tc>
        <w:tc>
          <w:tcPr>
            <w:tcW w:type="dxa" w:w="1079"/>
            <w:shd w:val="clear" w:color="auto" w:fill="F7F9FB"/>
            <w:vAlign w:val="center"/>
          </w:tcPr>
          <w:p>
            <w:pPr>
              <w:keepNext/>
              <w:spacing w:after="0"/>
              <w:jc w:val="center"/>
            </w:pPr>
            <w:r>
              <w:rPr>
                <w:rFonts w:ascii="Calibri" w:hAnsi="Calibri"/>
                <w:b w:val="0"/>
                <w:i w:val="0"/>
                <w:color w:val="222222"/>
                <w:sz w:val="20"/>
              </w:rPr>
              <w:t>1.71</w:t>
            </w:r>
          </w:p>
        </w:tc>
        <w:tc>
          <w:tcPr>
            <w:tcW w:type="dxa" w:w="887"/>
            <w:shd w:val="clear" w:color="auto" w:fill="F7F9FB"/>
            <w:vAlign w:val="center"/>
          </w:tcPr>
          <w:p>
            <w:pPr>
              <w:keepNext/>
              <w:spacing w:after="0"/>
              <w:jc w:val="center"/>
            </w:pPr>
            <w:r>
              <w:rPr>
                <w:rFonts w:ascii="Calibri" w:hAnsi="Calibri"/>
                <w:b w:val="0"/>
                <w:i w:val="0"/>
                <w:color w:val="222222"/>
                <w:sz w:val="20"/>
              </w:rPr>
              <w:t>0.42</w:t>
            </w:r>
          </w:p>
        </w:tc>
        <w:tc>
          <w:tcPr>
            <w:tcW w:type="dxa" w:w="1294"/>
            <w:shd w:val="clear" w:color="auto" w:fill="F7F9FB"/>
            <w:vAlign w:val="center"/>
          </w:tcPr>
          <w:p>
            <w:pPr>
              <w:keepNext/>
              <w:spacing w:after="0"/>
            </w:pPr>
            <w:r>
              <w:rPr>
                <w:rFonts w:ascii="Calibri" w:hAnsi="Calibri"/>
                <w:b w:val="0"/>
                <w:i w:val="0"/>
                <w:color w:val="222222"/>
                <w:sz w:val="20"/>
              </w:rPr>
              <w:t>32 / &gt;96 / 32</w:t>
            </w:r>
          </w:p>
        </w:tc>
        <w:tc>
          <w:tcPr>
            <w:tcW w:type="dxa" w:w="1294"/>
            <w:shd w:val="clear" w:color="auto" w:fill="F7F9FB"/>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FFFFF"/>
            <w:vAlign w:val="center"/>
          </w:tcPr>
          <w:p>
            <w:pPr>
              <w:keepNext/>
              <w:spacing w:after="0"/>
            </w:pPr>
            <w:r>
              <w:rPr>
                <w:rFonts w:ascii="Calibri" w:hAnsi="Calibri"/>
                <w:b/>
                <w:i w:val="0"/>
                <w:color w:val="222222"/>
                <w:sz w:val="20"/>
              </w:rPr>
              <w:t>burst number</w:t>
            </w:r>
          </w:p>
        </w:tc>
        <w:tc>
          <w:tcPr>
            <w:tcW w:type="dxa" w:w="1898"/>
            <w:shd w:val="clear" w:color="auto" w:fill="FFFFFF"/>
            <w:vAlign w:val="center"/>
          </w:tcPr>
          <w:p>
            <w:pPr>
              <w:keepNext/>
              <w:spacing w:after="0"/>
            </w:pPr>
            <w:r>
              <w:rPr>
                <w:rFonts w:ascii="Calibri" w:hAnsi="Calibri"/>
                <w:b w:val="0"/>
                <w:i w:val="0"/>
                <w:color w:val="222222"/>
                <w:sz w:val="20"/>
              </w:rPr>
              <w:t>−35% (−73% to +4%)</w:t>
            </w:r>
          </w:p>
        </w:tc>
        <w:tc>
          <w:tcPr>
            <w:tcW w:type="dxa" w:w="1079"/>
            <w:shd w:val="clear" w:color="auto" w:fill="FFFFFF"/>
            <w:vAlign w:val="center"/>
          </w:tcPr>
          <w:p>
            <w:pPr>
              <w:keepNext/>
              <w:spacing w:after="0"/>
              <w:jc w:val="center"/>
            </w:pPr>
            <w:r>
              <w:rPr>
                <w:rFonts w:ascii="Calibri" w:hAnsi="Calibri"/>
                <w:b w:val="0"/>
                <w:i w:val="0"/>
                <w:color w:val="222222"/>
                <w:sz w:val="20"/>
              </w:rPr>
              <w:t>1.87</w:t>
            </w:r>
          </w:p>
        </w:tc>
        <w:tc>
          <w:tcPr>
            <w:tcW w:type="dxa" w:w="887"/>
            <w:shd w:val="clear" w:color="auto" w:fill="FFFFFF"/>
            <w:vAlign w:val="center"/>
          </w:tcPr>
          <w:p>
            <w:pPr>
              <w:keepNext/>
              <w:spacing w:after="0"/>
              <w:jc w:val="center"/>
            </w:pPr>
            <w:r>
              <w:rPr>
                <w:rFonts w:ascii="Calibri" w:hAnsi="Calibri"/>
                <w:b w:val="0"/>
                <w:i w:val="0"/>
                <w:color w:val="222222"/>
                <w:sz w:val="20"/>
              </w:rPr>
              <w:t>0.38</w:t>
            </w:r>
          </w:p>
        </w:tc>
        <w:tc>
          <w:tcPr>
            <w:tcW w:type="dxa" w:w="1294"/>
            <w:shd w:val="clear" w:color="auto" w:fill="FFFFFF"/>
            <w:vAlign w:val="center"/>
          </w:tcPr>
          <w:p>
            <w:pPr>
              <w:keepNext/>
              <w:spacing w:after="0"/>
            </w:pPr>
            <w:r>
              <w:rPr>
                <w:rFonts w:ascii="Calibri" w:hAnsi="Calibri"/>
                <w:b w:val="0"/>
                <w:i w:val="0"/>
                <w:color w:val="222222"/>
                <w:sz w:val="20"/>
              </w:rPr>
              <w:t>48 / &gt;96 / 48</w:t>
            </w:r>
          </w:p>
        </w:tc>
        <w:tc>
          <w:tcPr>
            <w:tcW w:type="dxa" w:w="1294"/>
            <w:shd w:val="clear" w:color="auto" w:fill="FFFFFF"/>
            <w:vAlign w:val="center"/>
          </w:tcPr>
          <w:p>
            <w:pPr>
              <w:keepNext/>
              <w:spacing w:after="0"/>
            </w:pPr>
            <w:r>
              <w:rPr>
                <w:rFonts w:ascii="Calibri" w:hAnsi="Calibri"/>
                <w:b w:val="0"/>
                <w:i w:val="0"/>
                <w:color w:val="222222"/>
                <w:sz w:val="20"/>
              </w:rPr>
              <w:t>4 / &gt;96 / 5</w:t>
            </w:r>
          </w:p>
        </w:tc>
      </w:tr>
      <w:tr>
        <w:trPr>
          <w:cantSplit/>
        </w:trPr>
        <w:tc>
          <w:tcPr>
            <w:tcW w:type="dxa" w:w="2043"/>
            <w:shd w:val="clear" w:color="auto" w:fill="F7F9FB"/>
            <w:vAlign w:val="center"/>
          </w:tcPr>
          <w:p>
            <w:pPr>
              <w:keepNext/>
              <w:spacing w:after="0"/>
            </w:pPr>
            <w:r>
              <w:rPr>
                <w:rFonts w:ascii="Calibri" w:hAnsi="Calibri"/>
                <w:b/>
                <w:i w:val="0"/>
                <w:color w:val="222222"/>
                <w:sz w:val="20"/>
              </w:rPr>
              <w:t>interburst interval mean</w:t>
            </w:r>
          </w:p>
        </w:tc>
        <w:tc>
          <w:tcPr>
            <w:tcW w:type="dxa" w:w="1898"/>
            <w:shd w:val="clear" w:color="auto" w:fill="F7F9FB"/>
            <w:vAlign w:val="center"/>
          </w:tcPr>
          <w:p>
            <w:pPr>
              <w:keepNext/>
              <w:spacing w:after="0"/>
            </w:pPr>
            <w:r>
              <w:rPr>
                <w:rFonts w:ascii="Calibri" w:hAnsi="Calibri"/>
                <w:b w:val="0"/>
                <w:i w:val="0"/>
                <w:color w:val="222222"/>
                <w:sz w:val="20"/>
              </w:rPr>
              <w:t>+61% (−15% to +327%)</w:t>
            </w:r>
          </w:p>
        </w:tc>
        <w:tc>
          <w:tcPr>
            <w:tcW w:type="dxa" w:w="1079"/>
            <w:shd w:val="clear" w:color="auto" w:fill="F7F9FB"/>
            <w:vAlign w:val="center"/>
          </w:tcPr>
          <w:p>
            <w:pPr>
              <w:keepNext/>
              <w:spacing w:after="0"/>
              <w:jc w:val="center"/>
            </w:pPr>
            <w:r>
              <w:rPr>
                <w:rFonts w:ascii="Calibri" w:hAnsi="Calibri"/>
                <w:b w:val="0"/>
                <w:i w:val="0"/>
                <w:color w:val="222222"/>
                <w:sz w:val="20"/>
              </w:rPr>
              <w:t>2.13</w:t>
            </w:r>
          </w:p>
        </w:tc>
        <w:tc>
          <w:tcPr>
            <w:tcW w:type="dxa" w:w="887"/>
            <w:shd w:val="clear" w:color="auto" w:fill="F7F9FB"/>
            <w:vAlign w:val="center"/>
          </w:tcPr>
          <w:p>
            <w:pPr>
              <w:keepNext/>
              <w:spacing w:after="0"/>
              <w:jc w:val="center"/>
            </w:pPr>
            <w:r>
              <w:rPr>
                <w:rFonts w:ascii="Calibri" w:hAnsi="Calibri"/>
                <w:b w:val="0"/>
                <w:i w:val="0"/>
                <w:color w:val="222222"/>
                <w:sz w:val="20"/>
              </w:rPr>
              <w:t>0.15</w:t>
            </w:r>
          </w:p>
        </w:tc>
        <w:tc>
          <w:tcPr>
            <w:tcW w:type="dxa" w:w="1294"/>
            <w:shd w:val="clear" w:color="auto" w:fill="F7F9FB"/>
            <w:vAlign w:val="center"/>
          </w:tcPr>
          <w:p>
            <w:pPr>
              <w:keepNext/>
              <w:spacing w:after="0"/>
            </w:pPr>
            <w:r>
              <w:rPr>
                <w:rFonts w:ascii="Calibri" w:hAnsi="Calibri"/>
                <w:b w:val="0"/>
                <w:i w:val="0"/>
                <w:color w:val="222222"/>
                <w:sz w:val="20"/>
              </w:rPr>
              <w:t>48 / &gt;96 / 96</w:t>
            </w:r>
          </w:p>
        </w:tc>
        <w:tc>
          <w:tcPr>
            <w:tcW w:type="dxa" w:w="1294"/>
            <w:shd w:val="clear" w:color="auto" w:fill="F7F9FB"/>
            <w:vAlign w:val="center"/>
          </w:tcPr>
          <w:p>
            <w:pPr>
              <w:keepNext/>
              <w:spacing w:after="0"/>
              <w:jc w:val="center"/>
            </w:pPr>
            <w:r>
              <w:rPr>
                <w:rFonts w:ascii="Calibri" w:hAnsi="Calibri"/>
                <w:b w:val="0"/>
                <w:i w:val="0"/>
                <w:color w:val="222222"/>
                <w:sz w:val="20"/>
              </w:rPr>
              <w:t>5 / 12 / 8</w:t>
            </w:r>
          </w:p>
        </w:tc>
      </w:tr>
      <w:tr>
        <w:trPr>
          <w:cantSplit/>
        </w:trPr>
        <w:tc>
          <w:tcPr>
            <w:tcW w:type="dxa" w:w="2043"/>
            <w:shd w:val="clear" w:color="auto" w:fill="FFFFFF"/>
            <w:vAlign w:val="center"/>
          </w:tcPr>
          <w:p>
            <w:pPr>
              <w:keepNext w:val="0"/>
              <w:spacing w:after="0"/>
            </w:pPr>
            <w:r>
              <w:rPr>
                <w:rFonts w:ascii="Calibri" w:hAnsi="Calibri"/>
                <w:b/>
                <w:i w:val="0"/>
                <w:color w:val="222222"/>
                <w:sz w:val="20"/>
              </w:rPr>
              <w:t>cross correlation area</w:t>
            </w:r>
          </w:p>
        </w:tc>
        <w:tc>
          <w:tcPr>
            <w:tcW w:type="dxa" w:w="1898"/>
            <w:shd w:val="clear" w:color="auto" w:fill="FFFFFF"/>
            <w:vAlign w:val="center"/>
          </w:tcPr>
          <w:p>
            <w:pPr>
              <w:keepNext w:val="0"/>
              <w:spacing w:after="0"/>
            </w:pPr>
            <w:r>
              <w:rPr>
                <w:rFonts w:ascii="Calibri" w:hAnsi="Calibri"/>
                <w:b w:val="0"/>
                <w:i w:val="0"/>
                <w:color w:val="222222"/>
                <w:sz w:val="20"/>
              </w:rPr>
              <w:t>−43% (−77% to +3%)</w:t>
            </w:r>
          </w:p>
        </w:tc>
        <w:tc>
          <w:tcPr>
            <w:tcW w:type="dxa" w:w="1079"/>
            <w:shd w:val="clear" w:color="auto" w:fill="FFFFFF"/>
            <w:vAlign w:val="center"/>
          </w:tcPr>
          <w:p>
            <w:pPr>
              <w:keepNext w:val="0"/>
              <w:spacing w:after="0"/>
              <w:jc w:val="center"/>
            </w:pPr>
            <w:r>
              <w:rPr>
                <w:rFonts w:ascii="Calibri" w:hAnsi="Calibri"/>
                <w:b w:val="0"/>
                <w:i w:val="0"/>
                <w:color w:val="222222"/>
                <w:sz w:val="20"/>
              </w:rPr>
              <w:t>2.15</w:t>
            </w:r>
          </w:p>
        </w:tc>
        <w:tc>
          <w:tcPr>
            <w:tcW w:type="dxa" w:w="887"/>
            <w:shd w:val="clear" w:color="auto" w:fill="FFFFFF"/>
            <w:vAlign w:val="center"/>
          </w:tcPr>
          <w:p>
            <w:pPr>
              <w:keepNext w:val="0"/>
              <w:spacing w:after="0"/>
              <w:jc w:val="center"/>
            </w:pPr>
            <w:r>
              <w:rPr>
                <w:rFonts w:ascii="Calibri" w:hAnsi="Calibri"/>
                <w:b w:val="0"/>
                <w:i w:val="0"/>
                <w:color w:val="222222"/>
                <w:sz w:val="20"/>
              </w:rPr>
              <w:t>0.44</w:t>
            </w:r>
          </w:p>
        </w:tc>
        <w:tc>
          <w:tcPr>
            <w:tcW w:type="dxa" w:w="1294"/>
            <w:shd w:val="clear" w:color="auto" w:fill="FFFFFF"/>
            <w:vAlign w:val="center"/>
          </w:tcPr>
          <w:p>
            <w:pPr>
              <w:keepNext w:val="0"/>
              <w:spacing w:after="0"/>
            </w:pPr>
            <w:r>
              <w:rPr>
                <w:rFonts w:ascii="Calibri" w:hAnsi="Calibri"/>
                <w:b w:val="0"/>
                <w:i w:val="0"/>
                <w:color w:val="222222"/>
                <w:sz w:val="20"/>
              </w:rPr>
              <w:t>48 / &gt;96 / 64</w:t>
            </w:r>
          </w:p>
        </w:tc>
        <w:tc>
          <w:tcPr>
            <w:tcW w:type="dxa" w:w="1294"/>
            <w:shd w:val="clear" w:color="auto" w:fill="FFFFFF"/>
            <w:vAlign w:val="center"/>
          </w:tcPr>
          <w:p>
            <w:pPr>
              <w:keepNext w:val="0"/>
              <w:spacing w:after="0"/>
            </w:pPr>
            <w:r>
              <w:rPr>
                <w:rFonts w:ascii="Calibri" w:hAnsi="Calibri"/>
                <w:b w:val="0"/>
                <w:i w:val="0"/>
                <w:color w:val="222222"/>
                <w:sz w:val="20"/>
              </w:rPr>
              <w:t>5 / &gt;96 / 6</w:t>
            </w:r>
          </w:p>
        </w:tc>
      </w:tr>
    </w:tbl>
    <w:p>
      <w:pPr>
        <w:spacing w:after="80"/>
      </w:pPr>
    </w:p>
    <w:p>
      <w:pPr>
        <w:spacing w:after="120"/>
      </w:pPr>
      <w:r>
        <w:rPr>
          <w:rFonts w:ascii="Calibri" w:hAnsi="Calibri"/>
          <w:b w:val="0"/>
          <w:i w:val="0"/>
          <w:color w:val="222222"/>
          <w:sz w:val="21"/>
        </w:rPr>
        <w:t>The same pattern holds across readouts. Burst shape (burst duration, spikes per burst, the share of spikes in bursts), synchrony and network-burst readouts are quiet: a handful of wells sees a fall of a fifth. Firing rate, spike and burst counts and cross-correlation area are several times noisier, and for them a one-date experiment against a historical reference cannot see even a halving.</w:t>
      </w:r>
    </w:p>
    <w:p>
      <w:pPr>
        <w:spacing w:after="120"/>
      </w:pPr>
      <w:r>
        <w:rPr>
          <w:rFonts w:ascii="Calibri" w:hAnsi="Calibri"/>
          <w:b/>
          <w:i w:val="0"/>
          <w:color w:val="156082"/>
          <w:sz w:val="21"/>
        </w:rPr>
        <w:t>How we checked the arithmetic.</w:t>
      </w:r>
      <w:r>
        <w:rPr>
          <w:rFonts w:ascii="Calibri" w:hAnsi="Calibri"/>
          <w:b w:val="0"/>
          <w:i w:val="0"/>
          <w:color w:val="222222"/>
          <w:sz w:val="21"/>
        </w:rPr>
        <w:t xml:space="preserve"> The counts come from resampling the vehicle wells through a two-level model (a shrunken effect per date plus a within-date residual), which is what lets us ask about 96 wells from one date when no date has more than a handful. Two assumptions could make it wrong, and both are checked in </w:t>
      </w:r>
      <w:r>
        <w:rPr>
          <w:rFonts w:ascii="Consolas" w:hAnsi="Consolas"/>
          <w:b w:val="0"/>
          <w:i w:val="0"/>
          <w:color w:val="222222"/>
          <w:sz w:val="19"/>
        </w:rPr>
        <w:t>toxcast_noise_floors.components.*.model_checks</w:t>
      </w:r>
      <w:r>
        <w:rPr>
          <w:rFonts w:ascii="Calibri" w:hAnsi="Calibri"/>
          <w:b w:val="0"/>
          <w:i w:val="0"/>
          <w:color w:val="222222"/>
          <w:sz w:val="21"/>
        </w:rPr>
        <w:t>. First, the model might misrepresent the real wells: for firing rate, plain resampling of real wells (and, up to six wells, of real wells from one real date) gives thresholds within −0.135 (relative) of the model's. For three quiet readouts with a single well at the floor (synchrony, burst percentage, network-burst percentage) the model is conservative by up to −0.598 (relative), so their counts are upper bounds. Second, the vehicle might matter: on DMSO wells alone (706), the date share of firing rate is 0.41 and the independent-well count for a 20% fall is unchanged at 32. The counts assume treated wells scatter around their shifted mean as vehicle wells scatter around theirs; a drug that also makes wells more variable needs more.</w:t>
      </w:r>
    </w:p>
    <w:p>
      <w:pPr>
        <w:keepNext/>
        <w:spacing w:before="240" w:after="60"/>
      </w:pPr>
      <w:r>
        <w:rPr>
          <w:rFonts w:ascii="Calibri" w:hAnsi="Calibri"/>
          <w:b/>
          <w:i w:val="0"/>
          <w:color w:val="1F4E79"/>
          <w:sz w:val="23"/>
        </w:rPr>
        <w:t>33. The twin meets a laboratory it has never seen</w:t>
      </w:r>
    </w:p>
    <w:p>
      <w:pPr>
        <w:keepNext/>
        <w:spacing w:after="120"/>
      </w:pPr>
      <w:r>
        <w:rPr>
          <w:rFonts w:ascii="Calibri" w:hAnsi="Calibri"/>
          <w:b w:val="0"/>
          <w:i w:val="0"/>
          <w:color w:val="222222"/>
          <w:sz w:val="21"/>
        </w:rPr>
        <w:t>The twin was calibrated on one laboratory's baselines (ScreenNeuroPharm's chambers), and its drug knobs were checked (§14) against recordings from that laboratory and two others. The EPA screen is one it has never seen: on almost every exposure date it runs three positive controls, bicuculline and picrotoxin (both remove GABA-A inhibition) and tetrodotoxin (blocks sodium channels), each at one concentration. The twin has a knob for each mechanism: the GABA-A block knob for the first two, the excitability knob for TTX. Before computing any real statistic we registered the six readouts the two share, the rule for reading a direction from the twin (eight simulated chips, each recorded untreated and treated, must agree), and the agreement test; then the twin computed and we committed its predictions (</w:t>
      </w:r>
      <w:r>
        <w:rPr>
          <w:rFonts w:ascii="Consolas" w:hAnsi="Consolas"/>
          <w:b w:val="0"/>
          <w:i w:val="0"/>
          <w:color w:val="222222"/>
          <w:sz w:val="19"/>
        </w:rPr>
        <w:t>outputs/twin/toxcast_positive_controls_predictions_simulated.json</w:t>
      </w:r>
      <w:r>
        <w:rPr>
          <w:rFonts w:ascii="Calibri" w:hAnsi="Calibri"/>
          <w:b w:val="0"/>
          <w:i w:val="0"/>
          <w:color w:val="222222"/>
          <w:sz w:val="21"/>
        </w:rPr>
        <w:t>). Each real change is a well's change from its own baseline minus the median of the same date's vehicle wells, the correction §32 says every reading needs.</w:t>
      </w:r>
    </w:p>
    <w:p>
      <w:pPr>
        <w:keepNext/>
        <w:spacing w:before="120" w:after="40"/>
        <w:jc w:val="center"/>
      </w:pPr>
      <w:r>
        <w:drawing>
          <wp:inline xmlns:a="http://schemas.openxmlformats.org/drawingml/2006/main" xmlns:pic="http://schemas.openxmlformats.org/drawingml/2006/picture">
            <wp:extent cx="5394960" cy="1758688"/>
            <wp:docPr id="24" name="Picture 24"/>
            <wp:cNvGraphicFramePr>
              <a:graphicFrameLocks noChangeAspect="1"/>
            </wp:cNvGraphicFramePr>
            <a:graphic>
              <a:graphicData uri="http://schemas.openxmlformats.org/drawingml/2006/picture">
                <pic:pic>
                  <pic:nvPicPr>
                    <pic:cNvPr id="0" name="twin_toxcast_positive_controls.png"/>
                    <pic:cNvPicPr/>
                  </pic:nvPicPr>
                  <pic:blipFill>
                    <a:blip r:embed="rId36"/>
                    <a:stretch>
                      <a:fillRect/>
                    </a:stretch>
                  </pic:blipFill>
                  <pic:spPr>
                    <a:xfrm>
                      <a:off x="0" y="0"/>
                      <a:ext cx="5394960" cy="1758688"/>
                    </a:xfrm>
                    <a:prstGeom prst="rect"/>
                  </pic:spPr>
                </pic:pic>
              </a:graphicData>
            </a:graphic>
          </wp:inline>
        </w:drawing>
      </w:r>
    </w:p>
    <w:p>
      <w:pPr>
        <w:spacing w:after="200"/>
        <w:jc w:val="center"/>
      </w:pPr>
      <w:r>
        <w:rPr>
          <w:rFonts w:ascii="Calibri" w:hAnsi="Calibri"/>
          <w:b/>
          <w:i/>
          <w:color w:val="222222"/>
          <w:sz w:val="17"/>
        </w:rPr>
        <w:t xml:space="preserve">Figure 24. </w:t>
      </w:r>
      <w:r>
        <w:rPr>
          <w:rFonts w:ascii="Calibri" w:hAnsi="Calibri"/>
          <w:b w:val="0"/>
          <w:i/>
          <w:color w:val="222222"/>
          <w:sz w:val="17"/>
        </w:rPr>
        <w:t>SIMULATED twin knob changes (squares) against REAL ToxCast positive-control changes (circles, median with a 95% interval from resampling dates), per shared readout. "agree" and "differ" are scored cells; "n/s" means the twin made no call or the real direction was not established.</w:t>
      </w:r>
    </w:p>
    <w:p>
      <w:pPr>
        <w:spacing w:after="120"/>
      </w:pPr>
      <w:r>
        <w:rPr>
          <w:rFonts w:ascii="Calibri" w:hAnsi="Calibri"/>
          <w:b/>
          <w:i w:val="0"/>
          <w:color w:val="156082"/>
          <w:sz w:val="21"/>
        </w:rPr>
        <w:t>Every scored direction agrees:</w:t>
      </w:r>
      <w:r>
        <w:rPr>
          <w:rFonts w:ascii="Calibri" w:hAnsi="Calibri"/>
          <w:b w:val="0"/>
          <w:i w:val="0"/>
          <w:color w:val="222222"/>
          <w:sz w:val="21"/>
        </w:rPr>
        <w:t xml:space="preserve"> 12 of 12, four per drug, so all four registered predictions pass. The one that matters most is firing rate under GABA-A block. The twin raises it (2.367 log2), and §18 (row 9) recorded that as the twin's one wrong direction, because the real GABA-A antagonist pairs in our asset, from two other laboratories, lower it (−0.335 log2). In the EPA's rat cortical wells, bicuculline raises it by 1.124 log2 over 348 wells and picrotoxin by 1.624 log2, and TTX lowers it by −4.034 log2 (silence) where the twin predicts −3.065. So the direction of firing rate under disinhibition differs between laboratories and platforms; it is not simply a defect of the twin.</w:t>
      </w:r>
    </w:p>
    <w:p>
      <w:pPr>
        <w:spacing w:after="120"/>
      </w:pPr>
      <w:r>
        <w:rPr>
          <w:rFonts w:ascii="Calibri" w:hAnsi="Calibri"/>
          <w:b/>
          <w:i w:val="0"/>
          <w:color w:val="156082"/>
          <w:sz w:val="21"/>
        </w:rPr>
        <w:t>Why this is a low bar, which we checked after seeing the result.</w:t>
      </w:r>
      <w:r>
        <w:rPr>
          <w:rFonts w:ascii="Calibri" w:hAnsi="Calibri"/>
          <w:b w:val="0"/>
          <w:i w:val="0"/>
          <w:color w:val="222222"/>
          <w:sz w:val="21"/>
        </w:rPr>
        <w:t xml:space="preserve"> At these strong doses nearly every readout moves with firing rate. A rule that knows only whether each drug raised or lowered firing rate, and predicts every other readout the same way, scores 11 of 11 on the same cells, where the twin, firing rate excluded, scores 9 of 9. The twin earns no credit beyond that rule, and where they differ the rule is right: burst rate rises under bicuculline (0.382 log2) and picrotoxin (0.899), while the twin leans the other way (−0.261, too inconsistent across chips to count as a call). Magnitudes do not transfer: the twin overstates the rise in spikes per burst under GABA-A block (2.907 log2 against 1.042 for bicuculline), as §14 found for the sodium knob. The fair summary: the twin is not wrong on an unseen laboratory's strongest controls, and that is all this test can show.</w:t>
      </w:r>
    </w:p>
    <w:p>
      <w:pPr>
        <w:keepNext/>
        <w:spacing w:before="240" w:after="60"/>
      </w:pPr>
      <w:r>
        <w:rPr>
          <w:rFonts w:ascii="Calibri" w:hAnsi="Calibri"/>
          <w:b/>
          <w:i w:val="0"/>
          <w:color w:val="1F4E79"/>
          <w:sz w:val="23"/>
        </w:rPr>
        <w:t>34. A quality-control rule for chip screens, from §32</w:t>
      </w:r>
    </w:p>
    <w:p>
      <w:pPr>
        <w:spacing w:after="120"/>
      </w:pPr>
      <w:r>
        <w:rPr>
          <w:rFonts w:ascii="Calibri" w:hAnsi="Calibri"/>
          <w:b w:val="0"/>
          <w:i w:val="0"/>
          <w:color w:val="222222"/>
          <w:sz w:val="21"/>
        </w:rPr>
        <w:t xml:space="preserve">Three rules follow from the vehicle wells. The computation in </w:t>
      </w:r>
      <w:r>
        <w:rPr>
          <w:rFonts w:ascii="Consolas" w:hAnsi="Consolas"/>
          <w:b w:val="0"/>
          <w:i w:val="0"/>
          <w:color w:val="222222"/>
          <w:sz w:val="19"/>
        </w:rPr>
        <w:t>neuromps.models.toxcast_noise_floors</w:t>
      </w:r>
      <w:r>
        <w:rPr>
          <w:rFonts w:ascii="Calibri" w:hAnsi="Calibri"/>
          <w:b w:val="0"/>
          <w:i w:val="0"/>
          <w:color w:val="222222"/>
          <w:sz w:val="21"/>
        </w:rPr>
        <w:t xml:space="preserve"> applies unchanged to any lab's own vehicle wells, given a date for each.</w:t>
      </w:r>
    </w:p>
    <w:p>
      <w:pPr>
        <w:spacing w:after="120"/>
        <w:ind w:left="432" w:hanging="259"/>
      </w:pPr>
      <w:r>
        <w:rPr>
          <w:rFonts w:ascii="Calibri" w:hAnsi="Calibri"/>
          <w:b w:val="0"/>
          <w:i w:val="0"/>
          <w:color w:val="222222"/>
          <w:sz w:val="21"/>
        </w:rPr>
        <w:t>•</w:t>
        <w:tab/>
      </w:r>
      <w:r>
        <w:rPr>
          <w:rFonts w:ascii="Calibri" w:hAnsi="Calibri"/>
          <w:b/>
          <w:i w:val="0"/>
          <w:color w:val="156082"/>
          <w:sz w:val="21"/>
        </w:rPr>
        <w:t>Judge every treated well against vehicle wells from the same day, never against its own baseline alone.</w:t>
      </w:r>
      <w:r>
        <w:rPr>
          <w:rFonts w:ascii="Calibri" w:hAnsi="Calibri"/>
          <w:b w:val="0"/>
          <w:i w:val="0"/>
          <w:color w:val="222222"/>
          <w:sz w:val="21"/>
        </w:rPr>
        <w:t xml:space="preserve"> The vehicle drift (a median −32% in firing rate) is larger than most effects a screen looks for.</w:t>
      </w:r>
    </w:p>
    <w:p>
      <w:pPr>
        <w:spacing w:after="120"/>
        <w:ind w:left="432" w:hanging="259"/>
      </w:pPr>
      <w:r>
        <w:rPr>
          <w:rFonts w:ascii="Calibri" w:hAnsi="Calibri"/>
          <w:b w:val="0"/>
          <w:i w:val="0"/>
          <w:color w:val="222222"/>
          <w:sz w:val="21"/>
        </w:rPr>
        <w:t>•</w:t>
        <w:tab/>
      </w:r>
      <w:r>
        <w:rPr>
          <w:rFonts w:ascii="Calibri" w:hAnsi="Calibri"/>
          <w:b/>
          <w:i w:val="0"/>
          <w:color w:val="156082"/>
          <w:sz w:val="21"/>
        </w:rPr>
        <w:t>Put vehicle wells on every exposure date, or spread replicates across dates.</w:t>
      </w:r>
      <w:r>
        <w:rPr>
          <w:rFonts w:ascii="Calibri" w:hAnsi="Calibri"/>
          <w:b w:val="0"/>
          <w:i w:val="0"/>
          <w:color w:val="222222"/>
          <w:sz w:val="21"/>
        </w:rPr>
        <w:t xml:space="preserve"> With about two-fifths of the variance shared by the day, a one-day experiment against a historical reference is blind to a 50% fall in firing rate however many wells it uses; the same wells against same-day vehicles see it with 4 of each. The EPA's own normalization already works per date; a smaller lab should copy it.</w:t>
      </w:r>
    </w:p>
    <w:p>
      <w:pPr>
        <w:spacing w:after="120"/>
        <w:ind w:left="432" w:hanging="259"/>
      </w:pPr>
      <w:r>
        <w:rPr>
          <w:rFonts w:ascii="Calibri" w:hAnsi="Calibri"/>
          <w:b w:val="0"/>
          <w:i w:val="0"/>
          <w:color w:val="222222"/>
          <w:sz w:val="21"/>
        </w:rPr>
        <w:t>•</w:t>
        <w:tab/>
      </w:r>
      <w:r>
        <w:rPr>
          <w:rFonts w:ascii="Calibri" w:hAnsi="Calibri"/>
          <w:b/>
          <w:i w:val="0"/>
          <w:color w:val="156082"/>
          <w:sz w:val="21"/>
        </w:rPr>
        <w:t>Choose readouts by their noise floor, not only by their meaning.</w:t>
      </w:r>
      <w:r>
        <w:rPr>
          <w:rFonts w:ascii="Calibri" w:hAnsi="Calibri"/>
          <w:b w:val="0"/>
          <w:i w:val="0"/>
          <w:color w:val="222222"/>
          <w:sz w:val="21"/>
        </w:rPr>
        <w:t xml:space="preserve"> For a fall of a fifth, burst-shape and synchrony readouts need a handful of wells where firing rate needs 32. This also sharpens §20's fly result: the 0.149 log2 firing-rate change at which the simulated fly's behaviour had already failed is below what even 96 independent real wells detect (a 0.167 log2 rise).</w:t>
      </w:r>
    </w:p>
    <w:p>
      <w:pPr>
        <w:spacing w:after="120"/>
      </w:pPr>
      <w:r>
        <w:rPr>
          <w:rFonts w:ascii="Calibri" w:hAnsi="Calibri"/>
          <w:b/>
          <w:i w:val="0"/>
          <w:color w:val="156082"/>
          <w:sz w:val="21"/>
        </w:rPr>
        <w:t>What this act does not show.</w:t>
      </w:r>
      <w:r>
        <w:rPr>
          <w:rFonts w:ascii="Calibri" w:hAnsi="Calibri"/>
          <w:b w:val="0"/>
          <w:i w:val="0"/>
          <w:color w:val="222222"/>
          <w:sz w:val="21"/>
        </w:rPr>
        <w:t xml:space="preserve"> The noise floors are one laboratory's, on one rat cortical preparation and one platform; another lab's will differ and should be measured the same way. Seven of the fifteen readouts rest on recovered well assignments (§32); the checks that support them are exact, but they test dates and concentrations, not a well's position on its plate. The positive controls are single, saturating concentrations, so §33 tests directions at the extremes; §35 puts the dose response itself to the test.</w:t>
      </w:r>
    </w:p>
    <w:p>
      <w:pPr>
        <w:keepNext/>
        <w:spacing w:before="240" w:after="60"/>
      </w:pPr>
      <w:r>
        <w:rPr>
          <w:rFonts w:ascii="Calibri" w:hAnsi="Calibri"/>
          <w:b/>
          <w:i w:val="0"/>
          <w:color w:val="1F4E79"/>
          <w:sz w:val="23"/>
        </w:rPr>
        <w:t>35. The dose response: the twin's knob grid against real concentration-response curves</w:t>
      </w:r>
    </w:p>
    <w:p>
      <w:pPr>
        <w:spacing w:after="120"/>
      </w:pPr>
      <w:r>
        <w:rPr>
          <w:rFonts w:ascii="Calibri" w:hAnsi="Calibri"/>
          <w:b w:val="0"/>
          <w:i w:val="0"/>
          <w:color w:val="222222"/>
          <w:sz w:val="21"/>
        </w:rPr>
        <w:t xml:space="preserve">§33 left the obvious question open. The screen's positive controls are run at one saturating concentration, so they say nothing about whether the twin's knobs move the readouts </w:t>
      </w:r>
      <w:r>
        <w:rPr>
          <w:rFonts w:ascii="Calibri" w:hAnsi="Calibri"/>
          <w:b w:val="0"/>
          <w:i/>
          <w:color w:val="222222"/>
          <w:sz w:val="21"/>
        </w:rPr>
        <w:t>in the order</w:t>
      </w:r>
      <w:r>
        <w:rPr>
          <w:rFonts w:ascii="Calibri" w:hAnsi="Calibri"/>
          <w:b w:val="0"/>
          <w:i w:val="0"/>
          <w:color w:val="222222"/>
          <w:sz w:val="21"/>
        </w:rPr>
        <w:t xml:space="preserve"> a rising concentration does. The screen also runs about five hundred compounds over seven concentrations each, and for some of them the primary target is one of the twin's four knobs.</w:t>
      </w:r>
    </w:p>
    <w:p>
      <w:pPr>
        <w:keepNext/>
        <w:spacing w:after="120"/>
      </w:pPr>
      <w:r>
        <w:rPr>
          <w:rFonts w:ascii="Calibri" w:hAnsi="Calibri"/>
          <w:b w:val="0"/>
          <w:i w:val="0"/>
          <w:color w:val="222222"/>
          <w:sz w:val="21"/>
        </w:rPr>
        <w:t xml:space="preserve">Registered first (decision D30, </w:t>
      </w:r>
      <w:r>
        <w:rPr>
          <w:rFonts w:ascii="Consolas" w:hAnsi="Consolas"/>
          <w:b w:val="0"/>
          <w:i w:val="0"/>
          <w:color w:val="222222"/>
          <w:sz w:val="19"/>
        </w:rPr>
        <w:t>preregistration/twin_toxcast_dose_response.json</w:t>
      </w:r>
      <w:r>
        <w:rPr>
          <w:rFonts w:ascii="Calibri" w:hAnsi="Calibri"/>
          <w:b w:val="0"/>
          <w:i w:val="0"/>
          <w:color w:val="222222"/>
          <w:sz w:val="21"/>
        </w:rPr>
        <w:t xml:space="preserve">, committed before the twin ran): the compound list with one class label each, the knob grids, the rank rule matching a concentration to a knob level, the rule for which bins count as moving, an exclusion rule for the screen's own viability readout, and the predictions with their thresholds. Firing rate was declared already seen — an earlier private analysis had looked at it — and is reported here, never tested. The twin's curves (12 simulated chips, four knobs, seven levels each, every recording paired with its own chip untreated and run through the same </w:t>
      </w:r>
      <w:r>
        <w:rPr>
          <w:rFonts w:ascii="Consolas" w:hAnsi="Consolas"/>
          <w:b w:val="0"/>
          <w:i w:val="0"/>
          <w:color w:val="222222"/>
          <w:sz w:val="19"/>
        </w:rPr>
        <w:t>features/mea.py</w:t>
      </w:r>
      <w:r>
        <w:rPr>
          <w:rFonts w:ascii="Calibri" w:hAnsi="Calibri"/>
          <w:b w:val="0"/>
          <w:i w:val="0"/>
          <w:color w:val="222222"/>
          <w:sz w:val="21"/>
        </w:rPr>
        <w:t xml:space="preserve"> path) were committed before a single treated well was read. Concentrations are matched to knob levels by rank, because the two axes share no unit and every registered score is unchanged by a monotone map between them.</w:t>
      </w:r>
    </w:p>
    <w:p>
      <w:pPr>
        <w:keepNext/>
        <w:spacing w:before="120" w:after="40"/>
        <w:jc w:val="center"/>
      </w:pPr>
      <w:r>
        <w:drawing>
          <wp:inline xmlns:a="http://schemas.openxmlformats.org/drawingml/2006/main" xmlns:pic="http://schemas.openxmlformats.org/drawingml/2006/picture">
            <wp:extent cx="5394960" cy="3597471"/>
            <wp:docPr id="25" name="Picture 25"/>
            <wp:cNvGraphicFramePr>
              <a:graphicFrameLocks noChangeAspect="1"/>
            </wp:cNvGraphicFramePr>
            <a:graphic>
              <a:graphicData uri="http://schemas.openxmlformats.org/drawingml/2006/picture">
                <pic:pic>
                  <pic:nvPicPr>
                    <pic:cNvPr id="0" name="twin_toxcast_dose_response.png"/>
                    <pic:cNvPicPr/>
                  </pic:nvPicPr>
                  <pic:blipFill>
                    <a:blip r:embed="rId37"/>
                    <a:stretch>
                      <a:fillRect/>
                    </a:stretch>
                  </pic:blipFill>
                  <pic:spPr>
                    <a:xfrm>
                      <a:off x="0" y="0"/>
                      <a:ext cx="5394960" cy="3597471"/>
                    </a:xfrm>
                    <a:prstGeom prst="rect"/>
                  </pic:spPr>
                </pic:pic>
              </a:graphicData>
            </a:graphic>
          </wp:inline>
        </w:drawing>
      </w:r>
    </w:p>
    <w:p>
      <w:pPr>
        <w:spacing w:after="200"/>
        <w:jc w:val="center"/>
      </w:pPr>
      <w:r>
        <w:rPr>
          <w:rFonts w:ascii="Calibri" w:hAnsi="Calibri"/>
          <w:b/>
          <w:i/>
          <w:color w:val="222222"/>
          <w:sz w:val="17"/>
        </w:rPr>
        <w:t xml:space="preserve">Figure 25. </w:t>
      </w:r>
      <w:r>
        <w:rPr>
          <w:rFonts w:ascii="Calibri" w:hAnsi="Calibri"/>
          <w:b w:val="0"/>
          <w:i/>
          <w:color w:val="222222"/>
          <w:sz w:val="17"/>
        </w:rPr>
        <w:t>Left: Spearman correlation between the SIMULATED twin's matched curve and the REAL ToxCast curve, one bar per compound and readout, with the registered hit line and the two nulls' means. Right: the best-scoring pair, REAL wells (circles, median against same-date vehicle wells) against the SIMULATED twin's rank-matched knob curve (squares).</w:t>
      </w:r>
    </w:p>
    <w:p>
      <w:pPr>
        <w:spacing w:after="120"/>
      </w:pPr>
      <w:r>
        <w:rPr>
          <w:rFonts w:ascii="Calibri" w:hAnsi="Calibri"/>
          <w:b/>
          <w:i w:val="0"/>
          <w:color w:val="156082"/>
          <w:sz w:val="21"/>
        </w:rPr>
        <w:t>Two of the four registered predictions pass</w:t>
      </w:r>
      <w:r>
        <w:rPr>
          <w:rFonts w:ascii="Calibri" w:hAnsi="Calibri"/>
          <w:b w:val="0"/>
          <w:i w:val="0"/>
          <w:color w:val="222222"/>
          <w:sz w:val="21"/>
        </w:rPr>
        <w:t xml:space="preserve"> (2 of 4), over 13 compounds and 26 scored compound-readout pairs.</w:t>
      </w:r>
    </w:p>
    <w:p>
      <w:pPr>
        <w:spacing w:after="120"/>
        <w:ind w:left="432" w:hanging="259"/>
      </w:pPr>
      <w:r>
        <w:rPr>
          <w:rFonts w:ascii="Calibri" w:hAnsi="Calibri"/>
          <w:b w:val="0"/>
          <w:i w:val="0"/>
          <w:color w:val="222222"/>
          <w:sz w:val="21"/>
        </w:rPr>
        <w:t>•</w:t>
        <w:tab/>
      </w:r>
      <w:r>
        <w:rPr>
          <w:rFonts w:ascii="Calibri" w:hAnsi="Calibri"/>
          <w:b/>
          <w:i w:val="0"/>
          <w:color w:val="156082"/>
          <w:sz w:val="21"/>
        </w:rPr>
        <w:t>P1 (shape) fails.</w:t>
      </w:r>
      <w:r>
        <w:rPr>
          <w:rFonts w:ascii="Calibri" w:hAnsi="Calibri"/>
          <w:b w:val="0"/>
          <w:i w:val="0"/>
          <w:color w:val="222222"/>
          <w:sz w:val="21"/>
        </w:rPr>
        <w:t xml:space="preserve"> Only 10 of 26 pairs reach the registered correlation of 0.6, a hit rate of 0.38 against the 0.5 the registration required, at a mean Spearman of 0.34.</w:t>
      </w:r>
    </w:p>
    <w:p>
      <w:pPr>
        <w:spacing w:after="120"/>
        <w:ind w:left="432" w:hanging="259"/>
      </w:pPr>
      <w:r>
        <w:rPr>
          <w:rFonts w:ascii="Calibri" w:hAnsi="Calibri"/>
          <w:b w:val="0"/>
          <w:i w:val="0"/>
          <w:color w:val="222222"/>
          <w:sz w:val="21"/>
        </w:rPr>
        <w:t>•</w:t>
        <w:tab/>
      </w:r>
      <w:r>
        <w:rPr>
          <w:rFonts w:ascii="Calibri" w:hAnsi="Calibri"/>
          <w:b/>
          <w:i w:val="0"/>
          <w:color w:val="156082"/>
          <w:sz w:val="21"/>
        </w:rPr>
        <w:t>P2 (beat the follow-firing-rate rule) fails</w:t>
      </w:r>
      <w:r>
        <w:rPr>
          <w:rFonts w:ascii="Calibri" w:hAnsi="Calibri"/>
          <w:b w:val="0"/>
          <w:i w:val="0"/>
          <w:color w:val="222222"/>
          <w:sz w:val="21"/>
        </w:rPr>
        <w:t>, as in §33. Predicting every readout's curve from the compound's own real firing-rate curve scores 0.52, so the twin is behind by −0.18.</w:t>
      </w:r>
    </w:p>
    <w:p>
      <w:pPr>
        <w:spacing w:after="120"/>
        <w:ind w:left="432" w:hanging="259"/>
      </w:pPr>
      <w:r>
        <w:rPr>
          <w:rFonts w:ascii="Calibri" w:hAnsi="Calibri"/>
          <w:b w:val="0"/>
          <w:i w:val="0"/>
          <w:color w:val="222222"/>
          <w:sz w:val="21"/>
        </w:rPr>
        <w:t>•</w:t>
        <w:tab/>
      </w:r>
      <w:r>
        <w:rPr>
          <w:rFonts w:ascii="Calibri" w:hAnsi="Calibri"/>
          <w:b/>
          <w:i w:val="0"/>
          <w:color w:val="156082"/>
          <w:sz w:val="21"/>
        </w:rPr>
        <w:t>P3 (the mechanism label matters) passes, and not narrowly.</w:t>
      </w:r>
      <w:r>
        <w:rPr>
          <w:rFonts w:ascii="Calibri" w:hAnsi="Calibri"/>
          <w:b w:val="0"/>
          <w:i w:val="0"/>
          <w:color w:val="222222"/>
          <w:sz w:val="21"/>
        </w:rPr>
        <w:t xml:space="preserve"> Scored under a knob the compound is not labelled with, the same curves give −0.13 over 64 combinations, so the labelled knob leads by 0.47. Whatever the twin's curves carry, it is specific to the mechanism, not a shape any knob would produce.</w:t>
      </w:r>
    </w:p>
    <w:p>
      <w:pPr>
        <w:spacing w:after="120"/>
        <w:ind w:left="432" w:hanging="259"/>
      </w:pPr>
      <w:r>
        <w:rPr>
          <w:rFonts w:ascii="Calibri" w:hAnsi="Calibri"/>
          <w:b w:val="0"/>
          <w:i w:val="0"/>
          <w:color w:val="222222"/>
          <w:sz w:val="21"/>
        </w:rPr>
        <w:t>•</w:t>
        <w:tab/>
      </w:r>
      <w:r>
        <w:rPr>
          <w:rFonts w:ascii="Calibri" w:hAnsi="Calibri"/>
          <w:b/>
          <w:i w:val="0"/>
          <w:color w:val="156082"/>
          <w:sz w:val="21"/>
        </w:rPr>
        <w:t>P4 (which readout moves first) passes.</w:t>
      </w:r>
      <w:r>
        <w:rPr>
          <w:rFonts w:ascii="Calibri" w:hAnsi="Calibri"/>
          <w:b w:val="0"/>
          <w:i w:val="0"/>
          <w:color w:val="222222"/>
          <w:sz w:val="21"/>
        </w:rPr>
        <w:t xml:space="preserve"> The twin names the first-moving readout for 8 of 11 compounds where both sides make a call, a rate of 0.73; in almost every case that readout is spikes per burst, which the vehicle wells of §32 also showed to be among the quietest.</w:t>
      </w:r>
    </w:p>
    <w:p>
      <w:pPr>
        <w:spacing w:after="120"/>
        <w:ind w:left="432" w:hanging="259"/>
      </w:pPr>
      <w:r>
        <w:rPr>
          <w:rFonts w:ascii="Calibri" w:hAnsi="Calibri"/>
          <w:b w:val="0"/>
          <w:i w:val="0"/>
          <w:color w:val="222222"/>
          <w:sz w:val="21"/>
        </w:rPr>
        <w:t>•</w:t>
        <w:tab/>
      </w:r>
      <w:r>
        <w:rPr>
          <w:rFonts w:ascii="Calibri" w:hAnsi="Calibri"/>
          <w:b/>
          <w:i w:val="0"/>
          <w:color w:val="156082"/>
          <w:sz w:val="21"/>
        </w:rPr>
        <w:t>Firing rate (seen, so reported only).</w:t>
      </w:r>
      <w:r>
        <w:rPr>
          <w:rFonts w:ascii="Calibri" w:hAnsi="Calibri"/>
          <w:b w:val="0"/>
          <w:i w:val="0"/>
          <w:color w:val="222222"/>
          <w:sz w:val="21"/>
        </w:rPr>
        <w:t xml:space="preserve"> At each compound's highest retained concentration the twin's sign agrees with the real one for 9 of 13 compounds. Three of the four that differ are GABA-A antagonists whose real firing rate collapses at the top concentration where the twin's disinhibition knob raises it; the fourth is the one barbiturate, where the real change is small and the twin's knob is weak.</w:t>
      </w:r>
    </w:p>
    <w:p>
      <w:pPr>
        <w:spacing w:after="120"/>
      </w:pPr>
      <w:r>
        <w:rPr>
          <w:rFonts w:ascii="Calibri" w:hAnsi="Calibri"/>
          <w:b/>
          <w:i w:val="0"/>
          <w:color w:val="156082"/>
          <w:sz w:val="21"/>
        </w:rPr>
        <w:t>The assumption this rests on, and the check.</w:t>
      </w:r>
      <w:r>
        <w:rPr>
          <w:rFonts w:ascii="Calibri" w:hAnsi="Calibri"/>
          <w:b w:val="0"/>
          <w:i w:val="0"/>
          <w:color w:val="222222"/>
          <w:sz w:val="21"/>
        </w:rPr>
        <w:t xml:space="preserve"> The rank match assumes the screen's concentration range covers a comparable span of each mechanism to the knob grid. Rescoring with the grid's two strongest levels removed changes little (0.31 against 0.34), so the result does not hinge on where the grid ends.</w:t>
      </w:r>
    </w:p>
    <w:p>
      <w:pPr>
        <w:spacing w:after="120"/>
      </w:pPr>
      <w:r>
        <w:rPr>
          <w:rFonts w:ascii="Calibri" w:hAnsi="Calibri"/>
          <w:b/>
          <w:i w:val="0"/>
          <w:color w:val="156082"/>
          <w:sz w:val="21"/>
        </w:rPr>
        <w:t>Where the registered test broke, found after the fact.</w:t>
      </w:r>
      <w:r>
        <w:rPr>
          <w:rFonts w:ascii="Calibri" w:hAnsi="Calibri"/>
          <w:b w:val="0"/>
          <w:i w:val="0"/>
          <w:color w:val="222222"/>
          <w:sz w:val="21"/>
        </w:rPr>
        <w:t xml:space="preserve"> The registered exclusion rule — drop every concentration from the first one at which the plates' own viability readout falls below its vehicle noise floor — excluded nothing anywhere. In a forty-minute acute exposure that readout barely moves, and for two compounds some bins pooled more wells than any single exposure date's vehicle set can supply, so the rule had no power to judge them at all (</w:t>
      </w:r>
      <w:r>
        <w:rPr>
          <w:rFonts w:ascii="Consolas" w:hAnsi="Consolas"/>
          <w:b w:val="0"/>
          <w:i w:val="0"/>
          <w:color w:val="222222"/>
          <w:sz w:val="19"/>
        </w:rPr>
        <w:t>viability_untestable_bins</w:t>
      </w:r>
      <w:r>
        <w:rPr>
          <w:rFonts w:ascii="Calibri" w:hAnsi="Calibri"/>
          <w:b w:val="0"/>
          <w:i w:val="0"/>
          <w:color w:val="222222"/>
          <w:sz w:val="21"/>
        </w:rPr>
        <w:t xml:space="preserve">). The top concentration therefore stayed in every curve. </w:t>
      </w:r>
      <w:r>
        <w:rPr>
          <w:rFonts w:ascii="Calibri" w:hAnsi="Calibri"/>
          <w:b/>
          <w:i w:val="0"/>
          <w:color w:val="222222"/>
          <w:sz w:val="21"/>
        </w:rPr>
        <w:t>Post hoc</w:t>
      </w:r>
      <w:r>
        <w:rPr>
          <w:rFonts w:ascii="Calibri" w:hAnsi="Calibri"/>
          <w:b w:val="0"/>
          <w:i w:val="0"/>
          <w:color w:val="222222"/>
          <w:sz w:val="21"/>
        </w:rPr>
        <w:t xml:space="preserve">, dropping each compound's highest concentration lifts the twin to 0.65 mean Spearman and 17 of 22 pairs above the hit line, ahead of the firing-rate rule (0.45). Dropping any one bin would do that only if the curves were noise, so we checked: dropping the lowest concentration instead gives 0.22 and a middle one 0.32, both at or below the registered score. The failure is specific to the highest concentration, which is exactly where this screen cannot tell a mechanism apart from a general loss of activity. None of this changes the registered verdict: </w:t>
      </w:r>
      <w:r>
        <w:rPr>
          <w:rFonts w:ascii="Calibri" w:hAnsi="Calibri"/>
          <w:b/>
          <w:i w:val="0"/>
          <w:color w:val="222222"/>
          <w:sz w:val="21"/>
        </w:rPr>
        <w:t>P1 and P2 fail as registered.</w:t>
      </w:r>
    </w:p>
    <w:p>
      <w:pPr>
        <w:spacing w:after="120"/>
      </w:pPr>
      <w:r>
        <w:rPr>
          <w:rFonts w:ascii="Calibri" w:hAnsi="Calibri"/>
          <w:b/>
          <w:i w:val="0"/>
          <w:color w:val="156082"/>
          <w:sz w:val="21"/>
        </w:rPr>
        <w:t>What this section does not show.</w:t>
      </w:r>
      <w:r>
        <w:rPr>
          <w:rFonts w:ascii="Calibri" w:hAnsi="Calibri"/>
          <w:b w:val="0"/>
          <w:i w:val="0"/>
          <w:color w:val="222222"/>
          <w:sz w:val="21"/>
        </w:rPr>
        <w:t xml:space="preserve"> The twin's sodium and AMPA knobs are not dose-responsive at the grid used here: both abolish activity at their weakest level, so for them the match is a step, not a curve, and the one sodium-channel compound contributes no scored pair. A compound's wells are pooled across exposure dates while the null draws within one date, which makes the moving-bin rule slightly permissive for the few compounds run on more than one date. And the class labels are the compounds' established primary targets, not measurements made here; a compound that acts on something else as well will not match its knob however good the twin is.</w:t>
      </w:r>
    </w:p>
    <w:p>
      <w:pPr>
        <w:keepNext/>
        <w:spacing w:before="240" w:after="60"/>
      </w:pPr>
      <w:r>
        <w:rPr>
          <w:rFonts w:ascii="Calibri" w:hAnsi="Calibri"/>
          <w:b/>
          <w:i w:val="0"/>
          <w:color w:val="1F4E79"/>
          <w:sz w:val="23"/>
        </w:rPr>
        <w:t>36. Is a human iPSC chip noisier than a rat one? Split-half noise from one lab</w:t>
      </w:r>
    </w:p>
    <w:p>
      <w:pPr>
        <w:spacing w:after="120"/>
      </w:pPr>
      <w:r>
        <w:rPr>
          <w:rFonts w:ascii="Calibri" w:hAnsi="Calibri"/>
          <w:b w:val="0"/>
          <w:i w:val="0"/>
          <w:color w:val="222222"/>
          <w:sz w:val="21"/>
        </w:rPr>
        <w:t>§32 tells a lab how many wells a rat cortical chip needs. The obvious next question is about human iPSC-derived chips, and the public data we have cannot answer it the way §32 does: the Kapucu et al. 2022 deposit (Creative Commons Attribution licence) records human and rat cultures in one lab with one protocol, but has too few untreated wells recorded twice. What it does have is long untreated recordings in both species. So we cut each one in half and asked how much an untreated well's readouts move between the two halves of a single recording, per species.</w:t>
      </w:r>
    </w:p>
    <w:p>
      <w:pPr>
        <w:keepNext/>
        <w:spacing w:after="120"/>
      </w:pPr>
      <w:r>
        <w:rPr>
          <w:rFonts w:ascii="Calibri" w:hAnsi="Calibri"/>
          <w:b w:val="0"/>
          <w:i w:val="0"/>
          <w:color w:val="222222"/>
          <w:sz w:val="21"/>
        </w:rPr>
        <w:t xml:space="preserve">Registered first (decision D32, </w:t>
      </w:r>
      <w:r>
        <w:rPr>
          <w:rFonts w:ascii="Consolas" w:hAnsi="Consolas"/>
          <w:b w:val="0"/>
          <w:i w:val="0"/>
          <w:color w:val="222222"/>
          <w:sz w:val="19"/>
        </w:rPr>
        <w:t>preregistration/hpsc_split_half.json</w:t>
      </w:r>
      <w:r>
        <w:rPr>
          <w:rFonts w:ascii="Calibri" w:hAnsi="Calibri"/>
          <w:b w:val="0"/>
          <w:i w:val="0"/>
          <w:color w:val="222222"/>
          <w:sz w:val="21"/>
        </w:rPr>
        <w:t xml:space="preserve">, committed before any half-recording feature was computed; the code and its tests were committed before the first real-data run). Each well's recording is cut at half its duration and both halves go through the same </w:t>
      </w:r>
      <w:r>
        <w:rPr>
          <w:rFonts w:ascii="Consolas" w:hAnsi="Consolas"/>
          <w:b w:val="0"/>
          <w:i w:val="0"/>
          <w:color w:val="222222"/>
          <w:sz w:val="19"/>
        </w:rPr>
        <w:t>features/mea.py</w:t>
      </w:r>
      <w:r>
        <w:rPr>
          <w:rFonts w:ascii="Calibri" w:hAnsi="Calibri"/>
          <w:b w:val="0"/>
          <w:i w:val="0"/>
          <w:color w:val="222222"/>
          <w:sz w:val="21"/>
        </w:rPr>
        <w:t xml:space="preserve"> extractor as everything else. A well is usable if it is not excluded upstream and has at least 10 active electrodes in each half. The change in each feature is d = log2(second half / first half), with the ratio floored so that an abolished readout counts as a fixed large fall. The noise is the SD of d across wells, and R = SD human / SD rat, with a 95% interval from resampling wells within each species. The primary pool is the lab's two matched 48-well untreated baselines: human DIV29, 30 minutes, 24 usable wells of 48, the other half excluded upstream; rat DIV22, 30 minutes, 38 usable wells of 48. The replication pool is the lab's 12-well developmental plates, every 10-minute recording at DIV28 or later for human and DIV21 or later for rat: 144 usable recordings from 12 human wells, and 58 from 12 rat wells.</w:t>
      </w:r>
    </w:p>
    <w:p>
      <w:pPr>
        <w:keepNext/>
        <w:spacing w:before="120" w:after="40"/>
        <w:jc w:val="center"/>
      </w:pPr>
      <w:r>
        <w:drawing>
          <wp:inline xmlns:a="http://schemas.openxmlformats.org/drawingml/2006/main" xmlns:pic="http://schemas.openxmlformats.org/drawingml/2006/picture">
            <wp:extent cx="5394960" cy="1945561"/>
            <wp:docPr id="26" name="Picture 26"/>
            <wp:cNvGraphicFramePr>
              <a:graphicFrameLocks noChangeAspect="1"/>
            </wp:cNvGraphicFramePr>
            <a:graphic>
              <a:graphicData uri="http://schemas.openxmlformats.org/drawingml/2006/picture">
                <pic:pic>
                  <pic:nvPicPr>
                    <pic:cNvPr id="0" name="hpsc_split_half_real.png"/>
                    <pic:cNvPicPr/>
                  </pic:nvPicPr>
                  <pic:blipFill>
                    <a:blip r:embed="rId38"/>
                    <a:stretch>
                      <a:fillRect/>
                    </a:stretch>
                  </pic:blipFill>
                  <pic:spPr>
                    <a:xfrm>
                      <a:off x="0" y="0"/>
                      <a:ext cx="5394960" cy="1945561"/>
                    </a:xfrm>
                    <a:prstGeom prst="rect"/>
                  </pic:spPr>
                </pic:pic>
              </a:graphicData>
            </a:graphic>
          </wp:inline>
        </w:drawing>
      </w:r>
    </w:p>
    <w:p>
      <w:pPr>
        <w:spacing w:after="200"/>
        <w:jc w:val="center"/>
      </w:pPr>
      <w:r>
        <w:rPr>
          <w:rFonts w:ascii="Calibri" w:hAnsi="Calibri"/>
          <w:b/>
          <w:i/>
          <w:color w:val="222222"/>
          <w:sz w:val="17"/>
        </w:rPr>
        <w:t xml:space="preserve">Figure 26. </w:t>
      </w:r>
      <w:r>
        <w:rPr>
          <w:rFonts w:ascii="Calibri" w:hAnsi="Calibri"/>
          <w:b w:val="0"/>
          <w:i/>
          <w:color w:val="222222"/>
          <w:sz w:val="17"/>
        </w:rPr>
        <w:t>REAL data, Kapucu 2022, one lab. Left: R = SD human / SD rat of the split-half change for each readout, with its 95% interval, on the 48-well baselines (circles) and the 12-well developmental plates (squares); right of the dashed line, the human wells move more. Middle: each usable 48-well baseline well's firing-rate change between the halves. Right: the size of that change against the well's firing rate, with the band where the two species' firing rates overlap.</w:t>
      </w:r>
    </w:p>
    <w:p>
      <w:pPr>
        <w:spacing w:after="120"/>
      </w:pPr>
      <w:r>
        <w:rPr>
          <w:rFonts w:ascii="Calibri" w:hAnsi="Calibri"/>
          <w:b/>
          <w:i w:val="0"/>
          <w:color w:val="156082"/>
          <w:sz w:val="21"/>
        </w:rPr>
        <w:t>Two of the three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P1 (human firing rate noisier) passes.</w:t>
      </w:r>
      <w:r>
        <w:rPr>
          <w:rFonts w:ascii="Calibri" w:hAnsi="Calibri"/>
          <w:b w:val="0"/>
          <w:i w:val="0"/>
          <w:color w:val="222222"/>
          <w:sz w:val="21"/>
        </w:rPr>
        <w:t xml:space="preserve"> On the matched baselines the human wells' firing rate moves about twice as much between halves: SD 0.21 against 0.10 (log2), R = 2.06, 95% interval 1.39 to 3.56, entirely above 1 as the registration required.</w:t>
      </w:r>
    </w:p>
    <w:p>
      <w:pPr>
        <w:spacing w:after="120"/>
        <w:ind w:left="432" w:hanging="259"/>
      </w:pPr>
      <w:r>
        <w:rPr>
          <w:rFonts w:ascii="Calibri" w:hAnsi="Calibri"/>
          <w:b w:val="0"/>
          <w:i w:val="0"/>
          <w:color w:val="222222"/>
          <w:sz w:val="21"/>
        </w:rPr>
        <w:t>•</w:t>
        <w:tab/>
      </w:r>
      <w:r>
        <w:rPr>
          <w:rFonts w:ascii="Calibri" w:hAnsi="Calibri"/>
          <w:b/>
          <w:i w:val="0"/>
          <w:color w:val="156082"/>
          <w:sz w:val="21"/>
        </w:rPr>
        <w:t>P2 (noisier across readouts) fails.</w:t>
      </w:r>
      <w:r>
        <w:rPr>
          <w:rFonts w:ascii="Calibri" w:hAnsi="Calibri"/>
          <w:b w:val="0"/>
          <w:i w:val="0"/>
          <w:color w:val="222222"/>
          <w:sz w:val="21"/>
        </w:rPr>
        <w:t xml:space="preserve"> The human wells are noisier on only 4 of the 8 scored readouts, against the 5 registered: firing rate, burst duration, spikes per burst and ISI CV. On the share of spikes in bursts the rat wells are clearly the noisier (R = 0.36, 0.21 to 0.65), and on synchrony narrowly so. On these baselines the difference is specific to some readouts, firing rate among them, not a general property of the human wells.</w:t>
      </w:r>
    </w:p>
    <w:p>
      <w:pPr>
        <w:spacing w:after="120"/>
        <w:ind w:left="432" w:hanging="259"/>
      </w:pPr>
      <w:r>
        <w:rPr>
          <w:rFonts w:ascii="Calibri" w:hAnsi="Calibri"/>
          <w:b w:val="0"/>
          <w:i w:val="0"/>
          <w:color w:val="222222"/>
          <w:sz w:val="21"/>
        </w:rPr>
        <w:t>•</w:t>
        <w:tab/>
      </w:r>
      <w:r>
        <w:rPr>
          <w:rFonts w:ascii="Calibri" w:hAnsi="Calibri"/>
          <w:b/>
          <w:i w:val="0"/>
          <w:color w:val="156082"/>
          <w:sz w:val="21"/>
        </w:rPr>
        <w:t>P3 (replicates on the developmental plates) passes, as registered, on its point estimate only.</w:t>
      </w:r>
      <w:r>
        <w:rPr>
          <w:rFonts w:ascii="Calibri" w:hAnsi="Calibri"/>
          <w:b w:val="0"/>
          <w:i w:val="0"/>
          <w:color w:val="222222"/>
          <w:sz w:val="21"/>
        </w:rPr>
        <w:t xml:space="preserve"> R for firing rate is 1.54, above 1, but its 95% interval, 0.75 to 2.95, includes 1: twelve wells per species replicate the direction, not the certainty. On these plates the human wells are the noisier on every readout but ISI CV, so the readout pattern that made P2 fail does not repeat either; we read neither pool's pattern beyond firing rate as settled.</w:t>
      </w:r>
    </w:p>
    <w:p>
      <w:pPr>
        <w:keepNext/>
        <w:spacing w:after="120"/>
      </w:pPr>
      <w:r>
        <w:rPr>
          <w:rFonts w:ascii="Calibri" w:hAnsi="Calibri"/>
          <w:b w:val="0"/>
          <w:i w:val="0"/>
          <w:color w:val="222222"/>
          <w:sz w:val="21"/>
        </w:rPr>
        <w:t>Every readout, both pools (SD of the split-half change in log2; R with its percentile interval from the well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05"/>
        <w:gridCol w:w="1868"/>
        <w:gridCol w:w="1396"/>
        <w:gridCol w:w="2330"/>
        <w:gridCol w:w="1396"/>
      </w:tblGrid>
      <w:tr>
        <w:trPr>
          <w:cantSplit/>
          <w:tblHeader/>
        </w:trPr>
        <w:tc>
          <w:tcPr>
            <w:tcW w:type="dxa" w:w="1505"/>
            <w:shd w:val="clear" w:color="auto" w:fill="1F4E79"/>
            <w:vAlign w:val="center"/>
          </w:tcPr>
          <w:p>
            <w:pPr>
              <w:keepNext/>
              <w:spacing w:after="0"/>
            </w:pPr>
            <w:r>
              <w:rPr>
                <w:rFonts w:ascii="Calibri" w:hAnsi="Calibri"/>
                <w:b/>
                <w:i w:val="0"/>
                <w:color w:val="FFFFFF"/>
                <w:sz w:val="20"/>
              </w:rPr>
              <w:t>readout</w:t>
            </w:r>
          </w:p>
        </w:tc>
        <w:tc>
          <w:tcPr>
            <w:tcW w:type="dxa" w:w="1868"/>
            <w:shd w:val="clear" w:color="auto" w:fill="1F4E79"/>
            <w:vAlign w:val="center"/>
          </w:tcPr>
          <w:p>
            <w:pPr>
              <w:keepNext/>
              <w:spacing w:after="0"/>
              <w:jc w:val="center"/>
            </w:pPr>
            <w:r>
              <w:rPr>
                <w:rFonts w:ascii="Calibri" w:hAnsi="Calibri"/>
                <w:b/>
                <w:i w:val="0"/>
                <w:color w:val="FFFFFF"/>
                <w:sz w:val="20"/>
              </w:rPr>
              <w:t>48-well baselines: SD human / SD rat (log2)</w:t>
            </w:r>
          </w:p>
        </w:tc>
        <w:tc>
          <w:tcPr>
            <w:tcW w:type="dxa" w:w="1396"/>
            <w:shd w:val="clear" w:color="auto" w:fill="1F4E79"/>
            <w:vAlign w:val="center"/>
          </w:tcPr>
          <w:p>
            <w:pPr>
              <w:keepNext/>
              <w:spacing w:after="0"/>
            </w:pPr>
            <w:r>
              <w:rPr>
                <w:rFonts w:ascii="Calibri" w:hAnsi="Calibri"/>
                <w:b/>
                <w:i w:val="0"/>
                <w:color w:val="FFFFFF"/>
                <w:sz w:val="20"/>
              </w:rPr>
              <w:t>R (95% interval)</w:t>
            </w:r>
          </w:p>
        </w:tc>
        <w:tc>
          <w:tcPr>
            <w:tcW w:type="dxa" w:w="2330"/>
            <w:shd w:val="clear" w:color="auto" w:fill="1F4E79"/>
            <w:vAlign w:val="center"/>
          </w:tcPr>
          <w:p>
            <w:pPr>
              <w:keepNext/>
              <w:spacing w:after="0"/>
              <w:jc w:val="center"/>
            </w:pPr>
            <w:r>
              <w:rPr>
                <w:rFonts w:ascii="Calibri" w:hAnsi="Calibri"/>
                <w:b/>
                <w:i w:val="0"/>
                <w:color w:val="FFFFFF"/>
                <w:sz w:val="20"/>
              </w:rPr>
              <w:t>12-well developmental: SD human / SD rat (log2)</w:t>
            </w:r>
          </w:p>
        </w:tc>
        <w:tc>
          <w:tcPr>
            <w:tcW w:type="dxa" w:w="1396"/>
            <w:shd w:val="clear" w:color="auto" w:fill="1F4E79"/>
            <w:vAlign w:val="center"/>
          </w:tcPr>
          <w:p>
            <w:pPr>
              <w:keepNext/>
              <w:spacing w:after="0"/>
            </w:pPr>
            <w:r>
              <w:rPr>
                <w:rFonts w:ascii="Calibri" w:hAnsi="Calibri"/>
                <w:b/>
                <w:i w:val="0"/>
                <w:color w:val="FFFFFF"/>
                <w:sz w:val="20"/>
              </w:rPr>
              <w:t>R (95% interval)</w:t>
            </w:r>
          </w:p>
        </w:tc>
      </w:tr>
      <w:tr>
        <w:trPr>
          <w:cantSplit/>
        </w:trPr>
        <w:tc>
          <w:tcPr>
            <w:tcW w:type="dxa" w:w="1505"/>
            <w:shd w:val="clear" w:color="auto" w:fill="FFFFFF"/>
            <w:vAlign w:val="center"/>
          </w:tcPr>
          <w:p>
            <w:pPr>
              <w:keepNext/>
              <w:spacing w:after="0"/>
            </w:pPr>
            <w:r>
              <w:rPr>
                <w:rFonts w:ascii="Calibri" w:hAnsi="Calibri"/>
                <w:b/>
                <w:i w:val="0"/>
                <w:color w:val="222222"/>
                <w:sz w:val="20"/>
              </w:rPr>
              <w:t>mfr hz</w:t>
            </w:r>
          </w:p>
        </w:tc>
        <w:tc>
          <w:tcPr>
            <w:tcW w:type="dxa" w:w="1868"/>
            <w:shd w:val="clear" w:color="auto" w:fill="FFFFFF"/>
            <w:vAlign w:val="center"/>
          </w:tcPr>
          <w:p>
            <w:pPr>
              <w:keepNext/>
              <w:spacing w:after="0"/>
              <w:jc w:val="center"/>
            </w:pPr>
            <w:r>
              <w:rPr>
                <w:rFonts w:ascii="Calibri" w:hAnsi="Calibri"/>
                <w:b w:val="0"/>
                <w:i w:val="0"/>
                <w:color w:val="222222"/>
                <w:sz w:val="20"/>
              </w:rPr>
              <w:t>0.21 / 0.10</w:t>
            </w:r>
          </w:p>
        </w:tc>
        <w:tc>
          <w:tcPr>
            <w:tcW w:type="dxa" w:w="1396"/>
            <w:shd w:val="clear" w:color="auto" w:fill="FFFFFF"/>
            <w:vAlign w:val="center"/>
          </w:tcPr>
          <w:p>
            <w:pPr>
              <w:keepNext/>
              <w:spacing w:after="0"/>
            </w:pPr>
            <w:r>
              <w:rPr>
                <w:rFonts w:ascii="Calibri" w:hAnsi="Calibri"/>
                <w:b w:val="0"/>
                <w:i w:val="0"/>
                <w:color w:val="222222"/>
                <w:sz w:val="20"/>
              </w:rPr>
              <w:t>2.06 (1.39 to 3.56)</w:t>
            </w:r>
          </w:p>
        </w:tc>
        <w:tc>
          <w:tcPr>
            <w:tcW w:type="dxa" w:w="2330"/>
            <w:shd w:val="clear" w:color="auto" w:fill="FFFFFF"/>
            <w:vAlign w:val="center"/>
          </w:tcPr>
          <w:p>
            <w:pPr>
              <w:keepNext/>
              <w:spacing w:after="0"/>
              <w:jc w:val="center"/>
            </w:pPr>
            <w:r>
              <w:rPr>
                <w:rFonts w:ascii="Calibri" w:hAnsi="Calibri"/>
                <w:b w:val="0"/>
                <w:i w:val="0"/>
                <w:color w:val="222222"/>
                <w:sz w:val="20"/>
              </w:rPr>
              <w:t>0.42 / 0.28</w:t>
            </w:r>
          </w:p>
        </w:tc>
        <w:tc>
          <w:tcPr>
            <w:tcW w:type="dxa" w:w="1396"/>
            <w:shd w:val="clear" w:color="auto" w:fill="FFFFFF"/>
            <w:vAlign w:val="center"/>
          </w:tcPr>
          <w:p>
            <w:pPr>
              <w:keepNext/>
              <w:spacing w:after="0"/>
            </w:pPr>
            <w:r>
              <w:rPr>
                <w:rFonts w:ascii="Calibri" w:hAnsi="Calibri"/>
                <w:b w:val="0"/>
                <w:i w:val="0"/>
                <w:color w:val="222222"/>
                <w:sz w:val="20"/>
              </w:rPr>
              <w:t>1.54 (0.75 to 2.94)</w:t>
            </w:r>
          </w:p>
        </w:tc>
      </w:tr>
      <w:tr>
        <w:trPr>
          <w:cantSplit/>
        </w:trPr>
        <w:tc>
          <w:tcPr>
            <w:tcW w:type="dxa" w:w="1505"/>
            <w:shd w:val="clear" w:color="auto" w:fill="F7F9FB"/>
            <w:vAlign w:val="center"/>
          </w:tcPr>
          <w:p>
            <w:pPr>
              <w:keepNext/>
              <w:spacing w:after="0"/>
            </w:pPr>
            <w:r>
              <w:rPr>
                <w:rFonts w:ascii="Calibri" w:hAnsi="Calibri"/>
                <w:b/>
                <w:i w:val="0"/>
                <w:color w:val="222222"/>
                <w:sz w:val="20"/>
              </w:rPr>
              <w:t>burst rate per min</w:t>
            </w:r>
          </w:p>
        </w:tc>
        <w:tc>
          <w:tcPr>
            <w:tcW w:type="dxa" w:w="1868"/>
            <w:shd w:val="clear" w:color="auto" w:fill="F7F9FB"/>
            <w:vAlign w:val="center"/>
          </w:tcPr>
          <w:p>
            <w:pPr>
              <w:keepNext/>
              <w:spacing w:after="0"/>
              <w:jc w:val="center"/>
            </w:pPr>
            <w:r>
              <w:rPr>
                <w:rFonts w:ascii="Calibri" w:hAnsi="Calibri"/>
                <w:b w:val="0"/>
                <w:i w:val="0"/>
                <w:color w:val="222222"/>
                <w:sz w:val="20"/>
              </w:rPr>
              <w:t>0.18 / 0.25</w:t>
            </w:r>
          </w:p>
        </w:tc>
        <w:tc>
          <w:tcPr>
            <w:tcW w:type="dxa" w:w="1396"/>
            <w:shd w:val="clear" w:color="auto" w:fill="F7F9FB"/>
            <w:vAlign w:val="center"/>
          </w:tcPr>
          <w:p>
            <w:pPr>
              <w:keepNext/>
              <w:spacing w:after="0"/>
            </w:pPr>
            <w:r>
              <w:rPr>
                <w:rFonts w:ascii="Calibri" w:hAnsi="Calibri"/>
                <w:b w:val="0"/>
                <w:i w:val="0"/>
                <w:color w:val="222222"/>
                <w:sz w:val="20"/>
              </w:rPr>
              <w:t>0.73 (0.49 to 1.15)</w:t>
            </w:r>
          </w:p>
        </w:tc>
        <w:tc>
          <w:tcPr>
            <w:tcW w:type="dxa" w:w="2330"/>
            <w:shd w:val="clear" w:color="auto" w:fill="F7F9FB"/>
            <w:vAlign w:val="center"/>
          </w:tcPr>
          <w:p>
            <w:pPr>
              <w:keepNext/>
              <w:spacing w:after="0"/>
              <w:jc w:val="center"/>
            </w:pPr>
            <w:r>
              <w:rPr>
                <w:rFonts w:ascii="Calibri" w:hAnsi="Calibri"/>
                <w:b w:val="0"/>
                <w:i w:val="0"/>
                <w:color w:val="222222"/>
                <w:sz w:val="20"/>
              </w:rPr>
              <w:t>0.50 / 0.23</w:t>
            </w:r>
          </w:p>
        </w:tc>
        <w:tc>
          <w:tcPr>
            <w:tcW w:type="dxa" w:w="1396"/>
            <w:shd w:val="clear" w:color="auto" w:fill="F7F9FB"/>
            <w:vAlign w:val="center"/>
          </w:tcPr>
          <w:p>
            <w:pPr>
              <w:keepNext/>
              <w:spacing w:after="0"/>
            </w:pPr>
            <w:r>
              <w:rPr>
                <w:rFonts w:ascii="Calibri" w:hAnsi="Calibri"/>
                <w:b w:val="0"/>
                <w:i w:val="0"/>
                <w:color w:val="222222"/>
                <w:sz w:val="20"/>
              </w:rPr>
              <w:t>2.23 (1.57 to 3.45)</w:t>
            </w:r>
          </w:p>
        </w:tc>
      </w:tr>
      <w:tr>
        <w:trPr>
          <w:cantSplit/>
        </w:trPr>
        <w:tc>
          <w:tcPr>
            <w:tcW w:type="dxa" w:w="1505"/>
            <w:shd w:val="clear" w:color="auto" w:fill="FFFFFF"/>
            <w:vAlign w:val="center"/>
          </w:tcPr>
          <w:p>
            <w:pPr>
              <w:keepNext/>
              <w:spacing w:after="0"/>
            </w:pPr>
            <w:r>
              <w:rPr>
                <w:rFonts w:ascii="Calibri" w:hAnsi="Calibri"/>
                <w:b/>
                <w:i w:val="0"/>
                <w:color w:val="222222"/>
                <w:sz w:val="20"/>
              </w:rPr>
              <w:t>burst duration s</w:t>
            </w:r>
          </w:p>
        </w:tc>
        <w:tc>
          <w:tcPr>
            <w:tcW w:type="dxa" w:w="1868"/>
            <w:shd w:val="clear" w:color="auto" w:fill="FFFFFF"/>
            <w:vAlign w:val="center"/>
          </w:tcPr>
          <w:p>
            <w:pPr>
              <w:keepNext/>
              <w:spacing w:after="0"/>
              <w:jc w:val="center"/>
            </w:pPr>
            <w:r>
              <w:rPr>
                <w:rFonts w:ascii="Calibri" w:hAnsi="Calibri"/>
                <w:b w:val="0"/>
                <w:i w:val="0"/>
                <w:color w:val="222222"/>
                <w:sz w:val="20"/>
              </w:rPr>
              <w:t>0.11 / 0.08</w:t>
            </w:r>
          </w:p>
        </w:tc>
        <w:tc>
          <w:tcPr>
            <w:tcW w:type="dxa" w:w="1396"/>
            <w:shd w:val="clear" w:color="auto" w:fill="FFFFFF"/>
            <w:vAlign w:val="center"/>
          </w:tcPr>
          <w:p>
            <w:pPr>
              <w:keepNext/>
              <w:spacing w:after="0"/>
            </w:pPr>
            <w:r>
              <w:rPr>
                <w:rFonts w:ascii="Calibri" w:hAnsi="Calibri"/>
                <w:b w:val="0"/>
                <w:i w:val="0"/>
                <w:color w:val="222222"/>
                <w:sz w:val="20"/>
              </w:rPr>
              <w:t>1.35 (0.82 to 2.43)</w:t>
            </w:r>
          </w:p>
        </w:tc>
        <w:tc>
          <w:tcPr>
            <w:tcW w:type="dxa" w:w="2330"/>
            <w:shd w:val="clear" w:color="auto" w:fill="FFFFFF"/>
            <w:vAlign w:val="center"/>
          </w:tcPr>
          <w:p>
            <w:pPr>
              <w:keepNext/>
              <w:spacing w:after="0"/>
              <w:jc w:val="center"/>
            </w:pPr>
            <w:r>
              <w:rPr>
                <w:rFonts w:ascii="Calibri" w:hAnsi="Calibri"/>
                <w:b w:val="0"/>
                <w:i w:val="0"/>
                <w:color w:val="222222"/>
                <w:sz w:val="20"/>
              </w:rPr>
              <w:t>0.37 / 0.21</w:t>
            </w:r>
          </w:p>
        </w:tc>
        <w:tc>
          <w:tcPr>
            <w:tcW w:type="dxa" w:w="1396"/>
            <w:shd w:val="clear" w:color="auto" w:fill="FFFFFF"/>
            <w:vAlign w:val="center"/>
          </w:tcPr>
          <w:p>
            <w:pPr>
              <w:keepNext/>
              <w:spacing w:after="0"/>
            </w:pPr>
            <w:r>
              <w:rPr>
                <w:rFonts w:ascii="Calibri" w:hAnsi="Calibri"/>
                <w:b w:val="0"/>
                <w:i w:val="0"/>
                <w:color w:val="222222"/>
                <w:sz w:val="20"/>
              </w:rPr>
              <w:t>1.73 (0.55 to 3.65)</w:t>
            </w:r>
          </w:p>
        </w:tc>
      </w:tr>
      <w:tr>
        <w:trPr>
          <w:cantSplit/>
        </w:trPr>
        <w:tc>
          <w:tcPr>
            <w:tcW w:type="dxa" w:w="1505"/>
            <w:shd w:val="clear" w:color="auto" w:fill="F7F9FB"/>
            <w:vAlign w:val="center"/>
          </w:tcPr>
          <w:p>
            <w:pPr>
              <w:keepNext/>
              <w:spacing w:after="0"/>
            </w:pPr>
            <w:r>
              <w:rPr>
                <w:rFonts w:ascii="Calibri" w:hAnsi="Calibri"/>
                <w:b/>
                <w:i w:val="0"/>
                <w:color w:val="222222"/>
                <w:sz w:val="20"/>
              </w:rPr>
              <w:t>spikes per burst</w:t>
            </w:r>
          </w:p>
        </w:tc>
        <w:tc>
          <w:tcPr>
            <w:tcW w:type="dxa" w:w="1868"/>
            <w:shd w:val="clear" w:color="auto" w:fill="F7F9FB"/>
            <w:vAlign w:val="center"/>
          </w:tcPr>
          <w:p>
            <w:pPr>
              <w:keepNext/>
              <w:spacing w:after="0"/>
              <w:jc w:val="center"/>
            </w:pPr>
            <w:r>
              <w:rPr>
                <w:rFonts w:ascii="Calibri" w:hAnsi="Calibri"/>
                <w:b w:val="0"/>
                <w:i w:val="0"/>
                <w:color w:val="222222"/>
                <w:sz w:val="20"/>
              </w:rPr>
              <w:t>0.16 / 0.08</w:t>
            </w:r>
          </w:p>
        </w:tc>
        <w:tc>
          <w:tcPr>
            <w:tcW w:type="dxa" w:w="1396"/>
            <w:shd w:val="clear" w:color="auto" w:fill="F7F9FB"/>
            <w:vAlign w:val="center"/>
          </w:tcPr>
          <w:p>
            <w:pPr>
              <w:keepNext/>
              <w:spacing w:after="0"/>
            </w:pPr>
            <w:r>
              <w:rPr>
                <w:rFonts w:ascii="Calibri" w:hAnsi="Calibri"/>
                <w:b w:val="0"/>
                <w:i w:val="0"/>
                <w:color w:val="222222"/>
                <w:sz w:val="20"/>
              </w:rPr>
              <w:t>2.07 (1.23 to 3.75)</w:t>
            </w:r>
          </w:p>
        </w:tc>
        <w:tc>
          <w:tcPr>
            <w:tcW w:type="dxa" w:w="2330"/>
            <w:shd w:val="clear" w:color="auto" w:fill="F7F9FB"/>
            <w:vAlign w:val="center"/>
          </w:tcPr>
          <w:p>
            <w:pPr>
              <w:keepNext/>
              <w:spacing w:after="0"/>
              <w:jc w:val="center"/>
            </w:pPr>
            <w:r>
              <w:rPr>
                <w:rFonts w:ascii="Calibri" w:hAnsi="Calibri"/>
                <w:b w:val="0"/>
                <w:i w:val="0"/>
                <w:color w:val="222222"/>
                <w:sz w:val="20"/>
              </w:rPr>
              <w:t>0.41 / 0.25</w:t>
            </w:r>
          </w:p>
        </w:tc>
        <w:tc>
          <w:tcPr>
            <w:tcW w:type="dxa" w:w="1396"/>
            <w:shd w:val="clear" w:color="auto" w:fill="F7F9FB"/>
            <w:vAlign w:val="center"/>
          </w:tcPr>
          <w:p>
            <w:pPr>
              <w:keepNext/>
              <w:spacing w:after="0"/>
            </w:pPr>
            <w:r>
              <w:rPr>
                <w:rFonts w:ascii="Calibri" w:hAnsi="Calibri"/>
                <w:b w:val="0"/>
                <w:i w:val="0"/>
                <w:color w:val="222222"/>
                <w:sz w:val="20"/>
              </w:rPr>
              <w:t>1.61 (0.60 to 3.16)</w:t>
            </w:r>
          </w:p>
        </w:tc>
      </w:tr>
      <w:tr>
        <w:trPr>
          <w:cantSplit/>
        </w:trPr>
        <w:tc>
          <w:tcPr>
            <w:tcW w:type="dxa" w:w="1505"/>
            <w:shd w:val="clear" w:color="auto" w:fill="FFFFFF"/>
            <w:vAlign w:val="center"/>
          </w:tcPr>
          <w:p>
            <w:pPr>
              <w:keepNext/>
              <w:spacing w:after="0"/>
            </w:pPr>
            <w:r>
              <w:rPr>
                <w:rFonts w:ascii="Calibri" w:hAnsi="Calibri"/>
                <w:b/>
                <w:i w:val="0"/>
                <w:color w:val="222222"/>
                <w:sz w:val="20"/>
              </w:rPr>
              <w:t>pct spikes in bursts</w:t>
            </w:r>
          </w:p>
        </w:tc>
        <w:tc>
          <w:tcPr>
            <w:tcW w:type="dxa" w:w="1868"/>
            <w:shd w:val="clear" w:color="auto" w:fill="FFFFFF"/>
            <w:vAlign w:val="center"/>
          </w:tcPr>
          <w:p>
            <w:pPr>
              <w:keepNext/>
              <w:spacing w:after="0"/>
              <w:jc w:val="center"/>
            </w:pPr>
            <w:r>
              <w:rPr>
                <w:rFonts w:ascii="Calibri" w:hAnsi="Calibri"/>
                <w:b w:val="0"/>
                <w:i w:val="0"/>
                <w:color w:val="222222"/>
                <w:sz w:val="20"/>
              </w:rPr>
              <w:t>0.07 / 0.20</w:t>
            </w:r>
          </w:p>
        </w:tc>
        <w:tc>
          <w:tcPr>
            <w:tcW w:type="dxa" w:w="1396"/>
            <w:shd w:val="clear" w:color="auto" w:fill="FFFFFF"/>
            <w:vAlign w:val="center"/>
          </w:tcPr>
          <w:p>
            <w:pPr>
              <w:keepNext/>
              <w:spacing w:after="0"/>
            </w:pPr>
            <w:r>
              <w:rPr>
                <w:rFonts w:ascii="Calibri" w:hAnsi="Calibri"/>
                <w:b w:val="0"/>
                <w:i w:val="0"/>
                <w:color w:val="222222"/>
                <w:sz w:val="20"/>
              </w:rPr>
              <w:t>0.35 (0.21 to 0.65)</w:t>
            </w:r>
          </w:p>
        </w:tc>
        <w:tc>
          <w:tcPr>
            <w:tcW w:type="dxa" w:w="2330"/>
            <w:shd w:val="clear" w:color="auto" w:fill="FFFFFF"/>
            <w:vAlign w:val="center"/>
          </w:tcPr>
          <w:p>
            <w:pPr>
              <w:keepNext/>
              <w:spacing w:after="0"/>
              <w:jc w:val="center"/>
            </w:pPr>
            <w:r>
              <w:rPr>
                <w:rFonts w:ascii="Calibri" w:hAnsi="Calibri"/>
                <w:b w:val="0"/>
                <w:i w:val="0"/>
                <w:color w:val="222222"/>
                <w:sz w:val="20"/>
              </w:rPr>
              <w:t>0.47 / 0.11</w:t>
            </w:r>
          </w:p>
        </w:tc>
        <w:tc>
          <w:tcPr>
            <w:tcW w:type="dxa" w:w="1396"/>
            <w:shd w:val="clear" w:color="auto" w:fill="FFFFFF"/>
            <w:vAlign w:val="center"/>
          </w:tcPr>
          <w:p>
            <w:pPr>
              <w:keepNext/>
              <w:spacing w:after="0"/>
            </w:pPr>
            <w:r>
              <w:rPr>
                <w:rFonts w:ascii="Calibri" w:hAnsi="Calibri"/>
                <w:b w:val="0"/>
                <w:i w:val="0"/>
                <w:color w:val="222222"/>
                <w:sz w:val="20"/>
              </w:rPr>
              <w:t>4.14 (2.36 to 9.56)</w:t>
            </w:r>
          </w:p>
        </w:tc>
      </w:tr>
      <w:tr>
        <w:trPr>
          <w:cantSplit/>
        </w:trPr>
        <w:tc>
          <w:tcPr>
            <w:tcW w:type="dxa" w:w="1505"/>
            <w:shd w:val="clear" w:color="auto" w:fill="F7F9FB"/>
            <w:vAlign w:val="center"/>
          </w:tcPr>
          <w:p>
            <w:pPr>
              <w:keepNext/>
              <w:spacing w:after="0"/>
            </w:pPr>
            <w:r>
              <w:rPr>
                <w:rFonts w:ascii="Calibri" w:hAnsi="Calibri"/>
                <w:b/>
                <w:i w:val="0"/>
                <w:color w:val="222222"/>
                <w:sz w:val="20"/>
              </w:rPr>
              <w:t>network burst rate per min</w:t>
            </w:r>
          </w:p>
        </w:tc>
        <w:tc>
          <w:tcPr>
            <w:tcW w:type="dxa" w:w="1868"/>
            <w:shd w:val="clear" w:color="auto" w:fill="F7F9FB"/>
            <w:vAlign w:val="center"/>
          </w:tcPr>
          <w:p>
            <w:pPr>
              <w:keepNext/>
              <w:spacing w:after="0"/>
              <w:jc w:val="center"/>
            </w:pPr>
            <w:r>
              <w:rPr>
                <w:rFonts w:ascii="Calibri" w:hAnsi="Calibri"/>
                <w:b w:val="0"/>
                <w:i w:val="0"/>
                <w:color w:val="222222"/>
                <w:sz w:val="20"/>
              </w:rPr>
              <w:t>1.01 / 1.49</w:t>
            </w:r>
          </w:p>
        </w:tc>
        <w:tc>
          <w:tcPr>
            <w:tcW w:type="dxa" w:w="1396"/>
            <w:shd w:val="clear" w:color="auto" w:fill="F7F9FB"/>
            <w:vAlign w:val="center"/>
          </w:tcPr>
          <w:p>
            <w:pPr>
              <w:keepNext/>
              <w:spacing w:after="0"/>
            </w:pPr>
            <w:r>
              <w:rPr>
                <w:rFonts w:ascii="Calibri" w:hAnsi="Calibri"/>
                <w:b w:val="0"/>
                <w:i w:val="0"/>
                <w:color w:val="222222"/>
                <w:sz w:val="20"/>
              </w:rPr>
              <w:t>0.68 (0.37 to 1.22)</w:t>
            </w:r>
          </w:p>
        </w:tc>
        <w:tc>
          <w:tcPr>
            <w:tcW w:type="dxa" w:w="2330"/>
            <w:shd w:val="clear" w:color="auto" w:fill="F7F9FB"/>
            <w:vAlign w:val="center"/>
          </w:tcPr>
          <w:p>
            <w:pPr>
              <w:keepNext/>
              <w:spacing w:after="0"/>
              <w:jc w:val="center"/>
            </w:pPr>
            <w:r>
              <w:rPr>
                <w:rFonts w:ascii="Calibri" w:hAnsi="Calibri"/>
                <w:b w:val="0"/>
                <w:i w:val="0"/>
                <w:color w:val="222222"/>
                <w:sz w:val="20"/>
              </w:rPr>
              <w:t>1.62 / 0.65</w:t>
            </w:r>
          </w:p>
        </w:tc>
        <w:tc>
          <w:tcPr>
            <w:tcW w:type="dxa" w:w="1396"/>
            <w:shd w:val="clear" w:color="auto" w:fill="F7F9FB"/>
            <w:vAlign w:val="center"/>
          </w:tcPr>
          <w:p>
            <w:pPr>
              <w:keepNext/>
              <w:spacing w:after="0"/>
            </w:pPr>
            <w:r>
              <w:rPr>
                <w:rFonts w:ascii="Calibri" w:hAnsi="Calibri"/>
                <w:b w:val="0"/>
                <w:i w:val="0"/>
                <w:color w:val="222222"/>
                <w:sz w:val="20"/>
              </w:rPr>
              <w:t>2.47 (1.46 to 6.41)</w:t>
            </w:r>
          </w:p>
        </w:tc>
      </w:tr>
      <w:tr>
        <w:trPr>
          <w:cantSplit/>
        </w:trPr>
        <w:tc>
          <w:tcPr>
            <w:tcW w:type="dxa" w:w="1505"/>
            <w:shd w:val="clear" w:color="auto" w:fill="FFFFFF"/>
            <w:vAlign w:val="center"/>
          </w:tcPr>
          <w:p>
            <w:pPr>
              <w:keepNext/>
              <w:spacing w:after="0"/>
            </w:pPr>
            <w:r>
              <w:rPr>
                <w:rFonts w:ascii="Calibri" w:hAnsi="Calibri"/>
                <w:b/>
                <w:i w:val="0"/>
                <w:color w:val="222222"/>
                <w:sz w:val="20"/>
              </w:rPr>
              <w:t>synchrony index</w:t>
            </w:r>
          </w:p>
        </w:tc>
        <w:tc>
          <w:tcPr>
            <w:tcW w:type="dxa" w:w="1868"/>
            <w:shd w:val="clear" w:color="auto" w:fill="FFFFFF"/>
            <w:vAlign w:val="center"/>
          </w:tcPr>
          <w:p>
            <w:pPr>
              <w:keepNext/>
              <w:spacing w:after="0"/>
              <w:jc w:val="center"/>
            </w:pPr>
            <w:r>
              <w:rPr>
                <w:rFonts w:ascii="Calibri" w:hAnsi="Calibri"/>
                <w:b w:val="0"/>
                <w:i w:val="0"/>
                <w:color w:val="222222"/>
                <w:sz w:val="20"/>
              </w:rPr>
              <w:t>0.19 / 0.46</w:t>
            </w:r>
          </w:p>
        </w:tc>
        <w:tc>
          <w:tcPr>
            <w:tcW w:type="dxa" w:w="1396"/>
            <w:shd w:val="clear" w:color="auto" w:fill="FFFFFF"/>
            <w:vAlign w:val="center"/>
          </w:tcPr>
          <w:p>
            <w:pPr>
              <w:keepNext/>
              <w:spacing w:after="0"/>
            </w:pPr>
            <w:r>
              <w:rPr>
                <w:rFonts w:ascii="Calibri" w:hAnsi="Calibri"/>
                <w:b w:val="0"/>
                <w:i w:val="0"/>
                <w:color w:val="222222"/>
                <w:sz w:val="20"/>
              </w:rPr>
              <w:t>0.42 (0.23 to 0.99)</w:t>
            </w:r>
          </w:p>
        </w:tc>
        <w:tc>
          <w:tcPr>
            <w:tcW w:type="dxa" w:w="2330"/>
            <w:shd w:val="clear" w:color="auto" w:fill="FFFFFF"/>
            <w:vAlign w:val="center"/>
          </w:tcPr>
          <w:p>
            <w:pPr>
              <w:keepNext/>
              <w:spacing w:after="0"/>
              <w:jc w:val="center"/>
            </w:pPr>
            <w:r>
              <w:rPr>
                <w:rFonts w:ascii="Calibri" w:hAnsi="Calibri"/>
                <w:b w:val="0"/>
                <w:i w:val="0"/>
                <w:color w:val="222222"/>
                <w:sz w:val="20"/>
              </w:rPr>
              <w:t>0.37 / 0.22</w:t>
            </w:r>
          </w:p>
        </w:tc>
        <w:tc>
          <w:tcPr>
            <w:tcW w:type="dxa" w:w="1396"/>
            <w:shd w:val="clear" w:color="auto" w:fill="FFFFFF"/>
            <w:vAlign w:val="center"/>
          </w:tcPr>
          <w:p>
            <w:pPr>
              <w:keepNext/>
              <w:spacing w:after="0"/>
            </w:pPr>
            <w:r>
              <w:rPr>
                <w:rFonts w:ascii="Calibri" w:hAnsi="Calibri"/>
                <w:b w:val="0"/>
                <w:i w:val="0"/>
                <w:color w:val="222222"/>
                <w:sz w:val="20"/>
              </w:rPr>
              <w:t>1.64 (1.16 to 2.80)</w:t>
            </w:r>
          </w:p>
        </w:tc>
      </w:tr>
      <w:tr>
        <w:trPr>
          <w:cantSplit/>
        </w:trPr>
        <w:tc>
          <w:tcPr>
            <w:tcW w:type="dxa" w:w="1505"/>
            <w:shd w:val="clear" w:color="auto" w:fill="F7F9FB"/>
            <w:vAlign w:val="center"/>
          </w:tcPr>
          <w:p>
            <w:pPr>
              <w:keepNext w:val="0"/>
              <w:spacing w:after="0"/>
            </w:pPr>
            <w:r>
              <w:rPr>
                <w:rFonts w:ascii="Calibri" w:hAnsi="Calibri"/>
                <w:b/>
                <w:i w:val="0"/>
                <w:color w:val="222222"/>
                <w:sz w:val="20"/>
              </w:rPr>
              <w:t>isi cv</w:t>
            </w:r>
          </w:p>
        </w:tc>
        <w:tc>
          <w:tcPr>
            <w:tcW w:type="dxa" w:w="1868"/>
            <w:shd w:val="clear" w:color="auto" w:fill="F7F9FB"/>
            <w:vAlign w:val="center"/>
          </w:tcPr>
          <w:p>
            <w:pPr>
              <w:keepNext w:val="0"/>
              <w:spacing w:after="0"/>
              <w:jc w:val="center"/>
            </w:pPr>
            <w:r>
              <w:rPr>
                <w:rFonts w:ascii="Calibri" w:hAnsi="Calibri"/>
                <w:b w:val="0"/>
                <w:i w:val="0"/>
                <w:color w:val="222222"/>
                <w:sz w:val="20"/>
              </w:rPr>
              <w:t>0.11 / 0.03</w:t>
            </w:r>
          </w:p>
        </w:tc>
        <w:tc>
          <w:tcPr>
            <w:tcW w:type="dxa" w:w="1396"/>
            <w:shd w:val="clear" w:color="auto" w:fill="F7F9FB"/>
            <w:vAlign w:val="center"/>
          </w:tcPr>
          <w:p>
            <w:pPr>
              <w:keepNext w:val="0"/>
              <w:spacing w:after="0"/>
            </w:pPr>
            <w:r>
              <w:rPr>
                <w:rFonts w:ascii="Calibri" w:hAnsi="Calibri"/>
                <w:b w:val="0"/>
                <w:i w:val="0"/>
                <w:color w:val="222222"/>
                <w:sz w:val="20"/>
              </w:rPr>
              <w:t>3.11 (2.01 to 4.36)</w:t>
            </w:r>
          </w:p>
        </w:tc>
        <w:tc>
          <w:tcPr>
            <w:tcW w:type="dxa" w:w="2330"/>
            <w:shd w:val="clear" w:color="auto" w:fill="F7F9FB"/>
            <w:vAlign w:val="center"/>
          </w:tcPr>
          <w:p>
            <w:pPr>
              <w:keepNext w:val="0"/>
              <w:spacing w:after="0"/>
              <w:jc w:val="center"/>
            </w:pPr>
            <w:r>
              <w:rPr>
                <w:rFonts w:ascii="Calibri" w:hAnsi="Calibri"/>
                <w:b w:val="0"/>
                <w:i w:val="0"/>
                <w:color w:val="222222"/>
                <w:sz w:val="20"/>
              </w:rPr>
              <w:t>0.15 / 0.22</w:t>
            </w:r>
          </w:p>
        </w:tc>
        <w:tc>
          <w:tcPr>
            <w:tcW w:type="dxa" w:w="1396"/>
            <w:shd w:val="clear" w:color="auto" w:fill="F7F9FB"/>
            <w:vAlign w:val="center"/>
          </w:tcPr>
          <w:p>
            <w:pPr>
              <w:keepNext w:val="0"/>
              <w:spacing w:after="0"/>
            </w:pPr>
            <w:r>
              <w:rPr>
                <w:rFonts w:ascii="Calibri" w:hAnsi="Calibri"/>
                <w:b w:val="0"/>
                <w:i w:val="0"/>
                <w:color w:val="222222"/>
                <w:sz w:val="20"/>
              </w:rPr>
              <w:t>0.70 (0.50 to 1.10)</w:t>
            </w:r>
          </w:p>
        </w:tc>
      </w:tr>
    </w:tbl>
    <w:p>
      <w:pPr>
        <w:spacing w:after="80"/>
      </w:pPr>
    </w:p>
    <w:p>
      <w:pPr>
        <w:spacing w:after="120"/>
      </w:pPr>
      <w:r>
        <w:rPr>
          <w:rFonts w:ascii="Calibri" w:hAnsi="Calibri"/>
          <w:b w:val="0"/>
          <w:i w:val="0"/>
          <w:color w:val="222222"/>
          <w:sz w:val="21"/>
        </w:rPr>
        <w:t>Network burst rate is unscored for a well whose first half has no network burst: that removes 16 rat wells from the baselines and 50 human recordings from the developmental pool, so that readout rests on fewer, and more active, wells than the others.</w:t>
      </w:r>
    </w:p>
    <w:p>
      <w:pPr>
        <w:spacing w:after="120"/>
      </w:pPr>
      <w:r>
        <w:rPr>
          <w:rFonts w:ascii="Calibri" w:hAnsi="Calibri"/>
          <w:b/>
          <w:i w:val="0"/>
          <w:color w:val="156082"/>
          <w:sz w:val="21"/>
        </w:rPr>
        <w:t>Wells needed: a lower bound, reported and not tested.</w:t>
      </w:r>
      <w:r>
        <w:rPr>
          <w:rFonts w:ascii="Calibri" w:hAnsi="Calibri"/>
          <w:b w:val="0"/>
          <w:i w:val="0"/>
          <w:color w:val="222222"/>
          <w:sz w:val="21"/>
        </w:rPr>
        <w:t xml:space="preserve"> From the baselines' firing-rate SD, a same-session comparison at 5% false alarms and 80% power needs at least 7 human wells per arm to detect a 20% fall in firing rate, against at least 2 rat wells; a 50% fall needs at least 1 human and 1 rat well. These are </w:t>
      </w:r>
      <w:r>
        <w:rPr>
          <w:rFonts w:ascii="Calibri" w:hAnsi="Calibri"/>
          <w:b/>
          <w:i w:val="0"/>
          <w:color w:val="222222"/>
          <w:sz w:val="21"/>
        </w:rPr>
        <w:t>lower bounds</w:t>
      </w:r>
      <w:r>
        <w:rPr>
          <w:rFonts w:ascii="Calibri" w:hAnsi="Calibri"/>
          <w:b w:val="0"/>
          <w:i w:val="0"/>
          <w:color w:val="222222"/>
          <w:sz w:val="21"/>
        </w:rPr>
        <w:t>: noise within one untreated recording leaves out handling, compound addition and the day-to-day variation that §32's vehicle wells include, so the numbers a real assay needs should be larger, and they are not to be set beside §32's table, which measures a different noise. What carries over is the ratio: on these data a human iPSC firing-rate readout needed more wells than a rat one for the same change. The follow-up below finds that ratio is mostly a difference in settling, which bears on whether a lab should add wells or wait longer before dosing.</w:t>
      </w:r>
    </w:p>
    <w:p>
      <w:pPr>
        <w:spacing w:after="120"/>
      </w:pPr>
      <w:r>
        <w:rPr>
          <w:rFonts w:ascii="Calibri" w:hAnsi="Calibri"/>
          <w:b/>
          <w:i w:val="0"/>
          <w:color w:val="156082"/>
          <w:sz w:val="21"/>
        </w:rPr>
        <w:t>The assumption this rests on, and the check (registered).</w:t>
      </w:r>
      <w:r>
        <w:rPr>
          <w:rFonts w:ascii="Calibri" w:hAnsi="Calibri"/>
          <w:b w:val="0"/>
          <w:i w:val="0"/>
          <w:color w:val="222222"/>
          <w:sz w:val="21"/>
        </w:rPr>
        <w:t xml:space="preserve"> Fewer spikes give noisier rates, and the two species fire at different rates, so a species difference could be a firing-rate difference. Restricting the baselines to wells whose full-recording firing rate lies inside both species' 10th-90th percentile ranges (3.53 to 4.89 Hz) keeps 7 human and 14 rat wells and gives R = 4.62 (2.19 to 7.89), on the same side of 1 as the full estimate (other side of one: False). At matched firing rates the human wells are, if anything, noisier, though seven wells is few. Two further readings, descriptive and added after the first run: the usable human wells do not have fewer active electrodes than the rat ones (median 16 against 15), so averaging over fewer electrodes does not explain the difference; and both species' firing rate falls from the first half to the second, the human more (mean d −0.32 against −0.17). A fall shared by every well does not enter the SD, but wells that settle at different speeds after the plate goes into the reader would. The registered follow-up below (D35) measured this: on the human baseline nearly all of the split-half spread is each well's own trend over the recording, and the wells differ in how far their firing rate falls early on, so what this section measures for firing rate is mostly uneven settling, not steady-state noise.</w:t>
      </w:r>
    </w:p>
    <w:p>
      <w:pPr>
        <w:spacing w:after="120"/>
      </w:pPr>
      <w:r>
        <w:rPr>
          <w:rFonts w:ascii="Calibri" w:hAnsi="Calibri"/>
          <w:b/>
          <w:i w:val="0"/>
          <w:color w:val="156082"/>
          <w:sz w:val="21"/>
        </w:rPr>
        <w:t>Implementation notes.</w:t>
      </w:r>
      <w:r>
        <w:rPr>
          <w:rFonts w:ascii="Calibri" w:hAnsi="Calibri"/>
          <w:b w:val="0"/>
          <w:i w:val="0"/>
          <w:color w:val="222222"/>
          <w:sz w:val="21"/>
        </w:rPr>
        <w:t xml:space="preserve"> Where the registration left a choice, we took the most literal reading and recorded it in the results under </w:t>
      </w:r>
      <w:r>
        <w:rPr>
          <w:rFonts w:ascii="Consolas" w:hAnsi="Consolas"/>
          <w:b w:val="0"/>
          <w:i w:val="0"/>
          <w:color w:val="222222"/>
          <w:sz w:val="19"/>
        </w:rPr>
        <w:t>implementation_notes</w:t>
      </w:r>
      <w:r>
        <w:rPr>
          <w:rFonts w:ascii="Calibri" w:hAnsi="Calibri"/>
          <w:b w:val="0"/>
          <w:i w:val="0"/>
          <w:color w:val="222222"/>
          <w:sz w:val="21"/>
        </w:rPr>
        <w:t>: a spike exactly at the cut starts the second half; P1 needs the interval's lower end strictly above 1 and P3 a point estimate strictly above 1; P2 is judged on the primary pool with the SD; well counts are distinct wells (plate and well), and on the developmental plates the SD pools all of a species' usable recordings while the bootstrap draws whole wells; the developmental plates' noisy-electrode lists are read from the column for each recording's DIV; synchrony (STTC) can be negative, and a non-positive second half is floored like any other fall; each interval draws from its own generator with the registered seed; and the overlap check uses the usable baseline wells, with percentile ends included.</w:t>
      </w:r>
    </w:p>
    <w:p>
      <w:pPr>
        <w:keepNext/>
        <w:spacing w:before="240" w:after="60"/>
      </w:pPr>
      <w:r>
        <w:rPr>
          <w:rFonts w:ascii="Calibri" w:hAnsi="Calibri"/>
          <w:b/>
          <w:i w:val="0"/>
          <w:color w:val="1F4E79"/>
          <w:sz w:val="23"/>
        </w:rPr>
        <w:t>Registered follow-up: settling or steady noise?</w:t>
      </w:r>
    </w:p>
    <w:p>
      <w:pPr>
        <w:keepNext/>
        <w:spacing w:after="120"/>
      </w:pPr>
      <w:r>
        <w:rPr>
          <w:rFonts w:ascii="Calibri" w:hAnsi="Calibri"/>
          <w:b w:val="0"/>
          <w:i w:val="0"/>
          <w:color w:val="222222"/>
          <w:sz w:val="21"/>
        </w:rPr>
        <w:t xml:space="preserve">The split-half change cannot tell a well that wobbles steadily from a well that is still settling after the plate went into the reader. The two call for different fixes in an assay, so we registered a test that separates them (decision D35, </w:t>
      </w:r>
      <w:r>
        <w:rPr>
          <w:rFonts w:ascii="Consolas" w:hAnsi="Consolas"/>
          <w:b w:val="0"/>
          <w:i w:val="0"/>
          <w:color w:val="222222"/>
          <w:sz w:val="19"/>
        </w:rPr>
        <w:t>preregistration/hpsc_settling.json</w:t>
      </w:r>
      <w:r>
        <w:rPr>
          <w:rFonts w:ascii="Calibri" w:hAnsi="Calibri"/>
          <w:b w:val="0"/>
          <w:i w:val="0"/>
          <w:color w:val="222222"/>
          <w:sz w:val="21"/>
        </w:rPr>
        <w:t>, committed before any window shorter than half a recording was computed; the code and its tests were committed before the first real-data run). Same baselines, same usable wells as above (24 human, 38 rat). Each 30-minute recording is cut into six 5-minute windows; per well, the firing rate is counted on one fixed set of electrodes (those active over the whole recording under the extractor's own rule), so a changing electrode set cannot move it. A straight line fitted to each well's six log2 rates gives its slope b (its settling, in log2 per window) and its residual SD s (the scatter around its own line). The split-half change then splits exactly into a trend part, 3b, and a residual part.</w:t>
      </w:r>
    </w:p>
    <w:p>
      <w:pPr>
        <w:keepNext/>
        <w:spacing w:before="120" w:after="40"/>
        <w:jc w:val="center"/>
      </w:pPr>
      <w:r>
        <w:drawing>
          <wp:inline xmlns:a="http://schemas.openxmlformats.org/drawingml/2006/main" xmlns:pic="http://schemas.openxmlformats.org/drawingml/2006/picture">
            <wp:extent cx="5394960" cy="1501189"/>
            <wp:docPr id="27" name="Picture 27"/>
            <wp:cNvGraphicFramePr>
              <a:graphicFrameLocks noChangeAspect="1"/>
            </wp:cNvGraphicFramePr>
            <a:graphic>
              <a:graphicData uri="http://schemas.openxmlformats.org/drawingml/2006/picture">
                <pic:pic>
                  <pic:nvPicPr>
                    <pic:cNvPr id="0" name="hpsc_settling_real.png"/>
                    <pic:cNvPicPr/>
                  </pic:nvPicPr>
                  <pic:blipFill>
                    <a:blip r:embed="rId39"/>
                    <a:stretch>
                      <a:fillRect/>
                    </a:stretch>
                  </pic:blipFill>
                  <pic:spPr>
                    <a:xfrm>
                      <a:off x="0" y="0"/>
                      <a:ext cx="5394960" cy="1501189"/>
                    </a:xfrm>
                    <a:prstGeom prst="rect"/>
                  </pic:spPr>
                </pic:pic>
              </a:graphicData>
            </a:graphic>
          </wp:inline>
        </w:drawing>
      </w:r>
    </w:p>
    <w:p>
      <w:pPr>
        <w:spacing w:after="200"/>
        <w:jc w:val="center"/>
      </w:pPr>
      <w:r>
        <w:rPr>
          <w:rFonts w:ascii="Calibri" w:hAnsi="Calibri"/>
          <w:b/>
          <w:i/>
          <w:color w:val="222222"/>
          <w:sz w:val="17"/>
        </w:rPr>
        <w:t xml:space="preserve">Figure 27. </w:t>
      </w:r>
      <w:r>
        <w:rPr>
          <w:rFonts w:ascii="Calibri" w:hAnsi="Calibri"/>
          <w:b w:val="0"/>
          <w:i/>
          <w:color w:val="222222"/>
          <w:sz w:val="17"/>
        </w:rPr>
        <w:t>REAL data, Kapucu 2022, one lab. Left two panels: each usable well's log2 firing rate over six 5-minute windows on a fixed electrode set (faint), with the median rate per window (black), human iPSC and rat. Third: each well's within-recording slope. Right: each well's split-half change against its trend part (3b); points on the dashed line are all trend.</w:t>
      </w:r>
    </w:p>
    <w:p>
      <w:pPr>
        <w:spacing w:after="120"/>
      </w:pPr>
      <w:r>
        <w:rPr>
          <w:rFonts w:ascii="Calibri" w:hAnsi="Calibri"/>
          <w:b/>
          <w:i w:val="0"/>
          <w:color w:val="156082"/>
          <w:sz w:val="21"/>
        </w:rPr>
        <w:t>All three registered predictions pass; the registered linearity check fails for the human wells, and that changes how two of them read.</w:t>
      </w:r>
    </w:p>
    <w:p>
      <w:pPr>
        <w:spacing w:after="120"/>
        <w:ind w:left="432" w:hanging="259"/>
      </w:pPr>
      <w:r>
        <w:rPr>
          <w:rFonts w:ascii="Calibri" w:hAnsi="Calibri"/>
          <w:b w:val="0"/>
          <w:i w:val="0"/>
          <w:color w:val="222222"/>
          <w:sz w:val="21"/>
        </w:rPr>
        <w:t>•</w:t>
        <w:tab/>
      </w:r>
      <w:r>
        <w:rPr>
          <w:rFonts w:ascii="Calibri" w:hAnsi="Calibri"/>
          <w:b/>
          <w:i w:val="0"/>
          <w:color w:val="156082"/>
          <w:sz w:val="21"/>
        </w:rPr>
        <w:t>T1 (human wells settle more unevenly) passes.</w:t>
      </w:r>
      <w:r>
        <w:rPr>
          <w:rFonts w:ascii="Calibri" w:hAnsi="Calibri"/>
          <w:b w:val="0"/>
          <w:i w:val="0"/>
          <w:color w:val="222222"/>
          <w:sz w:val="21"/>
        </w:rPr>
        <w:t xml:space="preserve"> The slope varies more across human wells: SD 0.076 against 0.021 log2 per window, a ratio of 3.65 (95% interval 2.72 to 5.04), above 1 as registered. Both species fall on average (mean slope −0.092 human, −0.041 rat).</w:t>
      </w:r>
    </w:p>
    <w:p>
      <w:pPr>
        <w:spacing w:after="120"/>
        <w:ind w:left="432" w:hanging="259"/>
      </w:pPr>
      <w:r>
        <w:rPr>
          <w:rFonts w:ascii="Calibri" w:hAnsi="Calibri"/>
          <w:b w:val="0"/>
          <w:i w:val="0"/>
          <w:color w:val="222222"/>
          <w:sz w:val="21"/>
        </w:rPr>
        <w:t>•</w:t>
        <w:tab/>
      </w:r>
      <w:r>
        <w:rPr>
          <w:rFonts w:ascii="Calibri" w:hAnsi="Calibri"/>
          <w:b/>
          <w:i w:val="0"/>
          <w:color w:val="156082"/>
          <w:sz w:val="21"/>
        </w:rPr>
        <w:t>T2 (human wells noisier around their own trend) passes.</w:t>
      </w:r>
      <w:r>
        <w:rPr>
          <w:rFonts w:ascii="Calibri" w:hAnsi="Calibri"/>
          <w:b w:val="0"/>
          <w:i w:val="0"/>
          <w:color w:val="222222"/>
          <w:sz w:val="21"/>
        </w:rPr>
        <w:t xml:space="preserve"> Median residual SD 0.217 against 0.021, a ratio of 10.2 (7.91 to 11.43). As the linearity check shows, most of this is curvature a straight line misses, not scatter.</w:t>
      </w:r>
    </w:p>
    <w:p>
      <w:pPr>
        <w:spacing w:after="120"/>
        <w:ind w:left="432" w:hanging="259"/>
      </w:pPr>
      <w:r>
        <w:rPr>
          <w:rFonts w:ascii="Calibri" w:hAnsi="Calibri"/>
          <w:b w:val="0"/>
          <w:i w:val="0"/>
          <w:color w:val="222222"/>
          <w:sz w:val="21"/>
        </w:rPr>
        <w:t>•</w:t>
        <w:tab/>
      </w:r>
      <w:r>
        <w:rPr>
          <w:rFonts w:ascii="Calibri" w:hAnsi="Calibri"/>
          <w:b/>
          <w:i w:val="0"/>
          <w:color w:val="156082"/>
          <w:sz w:val="21"/>
        </w:rPr>
        <w:t>T3 (the trend carries most of the human split-half spread) passes.</w:t>
      </w:r>
      <w:r>
        <w:rPr>
          <w:rFonts w:ascii="Calibri" w:hAnsi="Calibri"/>
          <w:b w:val="0"/>
          <w:i w:val="0"/>
          <w:color w:val="222222"/>
          <w:sz w:val="21"/>
        </w:rPr>
        <w:t xml:space="preserve"> The trend part's share of the variance of the split-half change is 0.996 in human wells (registered threshold 0.5), and 0.946 in rat wells. A caution we found only when implementing it: a straight line on six windows absorbs part of pure steady noise too, so with no settling at all this share would be about 0.77, above the registered threshold. The pass alone therefore does not separate settling from noise. What does is how far above that reference the human share sits (descriptive interval 0.93 to 1.08), and how small the residual part is: SD 0.021 against 0.227 for the whole change (log2).</w:t>
      </w:r>
    </w:p>
    <w:p>
      <w:pPr>
        <w:spacing w:after="120"/>
      </w:pPr>
      <w:r>
        <w:rPr>
          <w:rFonts w:ascii="Calibri" w:hAnsi="Calibri"/>
          <w:b/>
          <w:i w:val="0"/>
          <w:color w:val="156082"/>
          <w:sz w:val="21"/>
        </w:rPr>
        <w:t>The registered assumption check: the trend is not a straight line in human wells.</w:t>
      </w:r>
      <w:r>
        <w:rPr>
          <w:rFonts w:ascii="Calibri" w:hAnsi="Calibri"/>
          <w:b w:val="0"/>
          <w:i w:val="0"/>
          <w:color w:val="222222"/>
          <w:sz w:val="21"/>
        </w:rPr>
        <w:t xml:space="preserve"> Adding a quadratic term lowers the residual SD by more than a third in a share of 1.0 of human wells and 0.26 of rat wells; the registered rule (more than half in either species) therefore says the trend is not linear (linear: False), and T1 and T3 are read with that caveat. The settling curve (reported, not tested) shows the shape: the human median rate falls from 6.73 Hz in the first window to 4.80 Hz in the second, bottoms at 4.26 Hz in the fourth and ends at 4.55 Hz; the rat median declines gently and steadily, from 3.59 to 3.00 Hz. So the slope of a human well summarises a fall and partial recovery, and its residual SD s is mostly the part of that curve the line misses. Around a quadratic (descriptive, beside the check) the human wells still scatter more, median 0.066 against 0.017 (log2), but T2's tenfold ratio should not be read as tenfold steady noise. Read with the caveat, T1 still holds: the human wells differ much more in how far they fall, and T3's near-total share says that difference, not window-to-window scatter, is what D32's split-half SD mostly measured.</w:t>
      </w:r>
    </w:p>
    <w:p>
      <w:pPr>
        <w:spacing w:after="120"/>
      </w:pPr>
      <w:r>
        <w:rPr>
          <w:rFonts w:ascii="Calibri" w:hAnsi="Calibri"/>
          <w:b/>
          <w:i w:val="0"/>
          <w:color w:val="156082"/>
          <w:sz w:val="21"/>
        </w:rPr>
        <w:t>Two post hoc readings, added after the first run and not registered.</w:t>
      </w:r>
      <w:r>
        <w:rPr>
          <w:rFonts w:ascii="Calibri" w:hAnsi="Calibri"/>
          <w:b w:val="0"/>
          <w:i w:val="0"/>
          <w:color w:val="222222"/>
          <w:sz w:val="21"/>
        </w:rPr>
        <w:t xml:space="preserve"> First, the scatter around each line (curvature included) would by itself produce a share of 0.43 of the human slope variance; beyond it, the human slopes still spread 2.88 times as widely as the rat ones, so T1 is not an artefact of noisier fits. Second, dropping the first window, as if the plate had settled five minutes longer, takes out the steepest human fall (median step from the first to the second window −0.47 log2 against −0.08) but not the species difference: the SD across wells of the remaining change is 0.17 human against 0.054 rat, still 3.16 times larger.</w:t>
      </w:r>
    </w:p>
    <w:p>
      <w:pPr>
        <w:spacing w:after="120"/>
      </w:pPr>
      <w:r>
        <w:rPr>
          <w:rFonts w:ascii="Calibri" w:hAnsi="Calibri"/>
          <w:b/>
          <w:i w:val="0"/>
          <w:color w:val="156082"/>
          <w:sz w:val="21"/>
        </w:rPr>
        <w:t>Wells needed from the residual part alone: illustrative, reported and not tested.</w:t>
      </w:r>
      <w:r>
        <w:rPr>
          <w:rFonts w:ascii="Calibri" w:hAnsi="Calibri"/>
          <w:b w:val="0"/>
          <w:i w:val="0"/>
          <w:color w:val="222222"/>
          <w:sz w:val="21"/>
        </w:rPr>
        <w:t xml:space="preserve"> With D32's formula on the residual part's SD, a 20% fall would need at least 1 human and 1 rat well per arm, against 8 human wells from the whole change of this windowed rate. This figure is not an assay design: it assumes each well's trend could be removed exactly, and removing a fitted line also removes part of the steady noise, so it flatters both species. We do not use it to set well counts.</w:t>
      </w:r>
    </w:p>
    <w:p>
      <w:pPr>
        <w:spacing w:after="120"/>
      </w:pPr>
      <w:r>
        <w:rPr>
          <w:rFonts w:ascii="Calibri" w:hAnsi="Calibri"/>
          <w:b/>
          <w:i w:val="0"/>
          <w:color w:val="156082"/>
          <w:sz w:val="21"/>
        </w:rPr>
        <w:t>What it changes for this section, and what a lab would do.</w:t>
      </w:r>
      <w:r>
        <w:rPr>
          <w:rFonts w:ascii="Calibri" w:hAnsi="Calibri"/>
          <w:b w:val="0"/>
          <w:i w:val="0"/>
          <w:color w:val="222222"/>
          <w:sz w:val="21"/>
        </w:rPr>
        <w:t xml:space="preserve"> The caveat above is now a measured statement: D32's twofold human firing-rate noise is mostly uneven settling within the recording, not steady noise. For an assay this points first to a longer settling period before the baseline and dosing, rather than to more wells, because the spread sits in the trend. But these 30-minute recordings do not show how long that period must be: five more minutes would not close the gap (the post hoc reading above), and the human median is still moving at the end of the recording. A lab would first record untreated human wells for longer to find where the fall ends, then decide between waiting that long and adding wells; until then, the wells-needed figures above stay the guide.</w:t>
      </w:r>
    </w:p>
    <w:p>
      <w:pPr>
        <w:spacing w:after="120"/>
      </w:pPr>
      <w:r>
        <w:rPr>
          <w:rFonts w:ascii="Calibri" w:hAnsi="Calibri"/>
          <w:b/>
          <w:i w:val="0"/>
          <w:color w:val="156082"/>
          <w:sz w:val="21"/>
        </w:rPr>
        <w:t>Implementation notes.</w:t>
      </w:r>
      <w:r>
        <w:rPr>
          <w:rFonts w:ascii="Calibri" w:hAnsi="Calibri"/>
          <w:b w:val="0"/>
          <w:i w:val="0"/>
          <w:color w:val="222222"/>
          <w:sz w:val="21"/>
        </w:rPr>
        <w:t xml:space="preserve"> Where the registration left a choice, we took the most literal reading and recorded it under </w:t>
      </w:r>
      <w:r>
        <w:rPr>
          <w:rFonts w:ascii="Consolas" w:hAnsi="Consolas"/>
          <w:b w:val="0"/>
          <w:i w:val="0"/>
          <w:color w:val="222222"/>
          <w:sz w:val="19"/>
        </w:rPr>
        <w:t>hpsc_settling.implementation_notes</w:t>
      </w:r>
      <w:r>
        <w:rPr>
          <w:rFonts w:ascii="Calibri" w:hAnsi="Calibri"/>
          <w:b w:val="0"/>
          <w:i w:val="0"/>
          <w:color w:val="222222"/>
          <w:sz w:val="21"/>
        </w:rPr>
        <w:t>: usable wells are read from D32's results file; windows follow D32's cut (the plate file's last spike ends the recording; a spike on a window edge starts the next window); the electrode set is the extractor's default active rule applied to the whole recording, and noisy electrodes are kept, as in D32; with the floor, a rate is defined in every window of a well with a non-empty set; SDs and variances use ddof 1; one bootstrap serves T1 and T2, drawing human then rat wells per resample as D32 does; "above 1" is strict; the quadratic fit's residual SD uses its own degrees of freedom and "more than a third" is strict (with both fits at ddof 2, the rat share is 0.45, still below one half). The caveat flag is set on T1 and T3, as registered; the note on T2 above is ours.</w:t>
      </w:r>
    </w:p>
    <w:p>
      <w:pPr>
        <w:spacing w:after="120"/>
      </w:pPr>
      <w:r>
        <w:rPr>
          <w:rFonts w:ascii="Calibri" w:hAnsi="Calibri"/>
          <w:b/>
          <w:i w:val="0"/>
          <w:color w:val="156082"/>
          <w:sz w:val="21"/>
        </w:rPr>
        <w:t>What this section does not show.</w:t>
      </w:r>
      <w:r>
        <w:rPr>
          <w:rFonts w:ascii="Calibri" w:hAnsi="Calibri"/>
          <w:b w:val="0"/>
          <w:i w:val="0"/>
          <w:color w:val="222222"/>
          <w:sz w:val="21"/>
        </w:rPr>
        <w:t xml:space="preserve"> Split-half noise is not exposure noise: it is the movement of one undisturbed recording, not of a well handled, dosed and read again, so it says how the two culture types compare under the gentlest possible conditions, not what an assay will see; and for firing rate on the human baseline it is mostly settling over the first part of the recording, as the follow-up shows. Everything here comes from one lab, one human iPSC line and one rat preparation, at one age each (DIV29 and DIV22 on the baselines); another line, protocol or culture age could order the species differently. Half the human baseline plate was excluded upstream, and we do not know why. None of this says anything about human biology, about a compound, or about how either culture type predicts an effect in people; it is a property of two public recording sets that bears on how many wells a human iPSC chip assay might need.</w:t>
      </w:r>
    </w:p>
    <w:p>
      <w:r>
        <w:br w:type="page"/>
      </w:r>
    </w:p>
    <w:p>
      <w:pPr>
        <w:keepNext/>
        <w:spacing w:before="360" w:after="120"/>
      </w:pPr>
      <w:r>
        <w:rPr>
          <w:rFonts w:ascii="Calibri" w:hAnsi="Calibri"/>
          <w:b/>
          <w:i w:val="0"/>
          <w:color w:val="2F5597"/>
          <w:sz w:val="27"/>
        </w:rPr>
        <w:t>Appendices: consolidated technical reference</w:t>
      </w:r>
    </w:p>
    <w:p>
      <w:pPr>
        <w:keepNext/>
        <w:spacing w:before="240" w:after="60"/>
      </w:pPr>
      <w:r>
        <w:rPr>
          <w:rFonts w:ascii="Calibri" w:hAnsi="Calibri"/>
          <w:b/>
          <w:i w:val="0"/>
          <w:color w:val="1F4E79"/>
          <w:sz w:val="23"/>
        </w:rPr>
        <w:t>Appendix A &amp; B — Record architecture, data levels and ingestion ETL</w:t>
      </w:r>
    </w:p>
    <w:p>
      <w:pPr>
        <w:spacing w:after="120"/>
      </w:pPr>
      <w:r>
        <w:rPr>
          <w:rFonts w:ascii="Calibri" w:hAnsi="Calibri"/>
          <w:b w:val="0"/>
          <w:i w:val="0"/>
          <w:color w:val="222222"/>
          <w:sz w:val="21"/>
        </w:rPr>
        <w:t xml:space="preserve">Every record declares a data level: </w:t>
      </w:r>
      <w:r>
        <w:rPr>
          <w:rFonts w:ascii="Consolas" w:hAnsi="Consolas"/>
          <w:b w:val="0"/>
          <w:i w:val="0"/>
          <w:color w:val="222222"/>
          <w:sz w:val="19"/>
        </w:rPr>
        <w:t>spike_times</w:t>
      </w:r>
      <w:r>
        <w:rPr>
          <w:rFonts w:ascii="Calibri" w:hAnsi="Calibri"/>
          <w:b w:val="0"/>
          <w:i w:val="0"/>
          <w:color w:val="222222"/>
          <w:sz w:val="21"/>
        </w:rPr>
        <w:t xml:space="preserve">, </w:t>
      </w:r>
      <w:r>
        <w:rPr>
          <w:rFonts w:ascii="Consolas" w:hAnsi="Consolas"/>
          <w:b w:val="0"/>
          <w:i w:val="0"/>
          <w:color w:val="222222"/>
          <w:sz w:val="19"/>
        </w:rPr>
        <w:t>per_well_features</w:t>
      </w:r>
      <w:r>
        <w:rPr>
          <w:rFonts w:ascii="Calibri" w:hAnsi="Calibri"/>
          <w:b w:val="0"/>
          <w:i w:val="0"/>
          <w:color w:val="222222"/>
          <w:sz w:val="21"/>
        </w:rPr>
        <w:t xml:space="preserve"> or </w:t>
      </w:r>
      <w:r>
        <w:rPr>
          <w:rFonts w:ascii="Consolas" w:hAnsi="Consolas"/>
          <w:b w:val="0"/>
          <w:i w:val="0"/>
          <w:color w:val="222222"/>
          <w:sz w:val="19"/>
        </w:rPr>
        <w:t>fitted_curve</w:t>
      </w:r>
      <w:r>
        <w:rPr>
          <w:rFonts w:ascii="Calibri" w:hAnsi="Calibri"/>
          <w:b w:val="0"/>
          <w:i w:val="0"/>
          <w:color w:val="222222"/>
          <w:sz w:val="21"/>
        </w:rPr>
        <w:t xml:space="preserve">. The level decides what may be computed from the record, and the build enforces that instead of trusting it — a feature that needs spikes cannot be derived from a record holding only a fitted curve. Records validate against </w:t>
      </w:r>
      <w:r>
        <w:rPr>
          <w:rFonts w:ascii="Consolas" w:hAnsi="Consolas"/>
          <w:b w:val="0"/>
          <w:i w:val="0"/>
          <w:color w:val="222222"/>
          <w:sz w:val="19"/>
        </w:rPr>
        <w:t>schema/neuromps_schema.json</w:t>
      </w:r>
      <w:r>
        <w:rPr>
          <w:rFonts w:ascii="Calibri" w:hAnsi="Calibri"/>
          <w:b w:val="0"/>
          <w:i w:val="0"/>
          <w:color w:val="222222"/>
          <w:sz w:val="21"/>
        </w:rPr>
        <w:t xml:space="preserve"> at three conformance levels, so a partially specified source can still enter the asset as long as it declares what it is missing.</w:t>
      </w:r>
    </w:p>
    <w:p>
      <w:pPr>
        <w:spacing w:after="120"/>
      </w:pPr>
      <w:r>
        <w:rPr>
          <w:rFonts w:ascii="Calibri" w:hAnsi="Calibri"/>
          <w:b w:val="0"/>
          <w:i w:val="0"/>
          <w:color w:val="222222"/>
          <w:sz w:val="21"/>
        </w:rPr>
        <w:t>We record quality-control flags but never apply them silently: 537 of 21,887 records are marked unusable, with the diagnostic reason attached, and the flag travels with the record. Each analysis decides whether to honor it and says which it did; if we dropped flagged records inside the pipeline, the reader could never see the drop.</w:t>
      </w:r>
    </w:p>
    <w:p>
      <w:pPr>
        <w:spacing w:after="120"/>
      </w:pPr>
      <w:r>
        <w:rPr>
          <w:rFonts w:ascii="Calibri" w:hAnsi="Calibri"/>
          <w:b w:val="0"/>
          <w:i w:val="0"/>
          <w:color w:val="222222"/>
          <w:sz w:val="21"/>
        </w:rPr>
        <w:t>Each record also carries the method string that produced its features — the exact burst rule, the synchrony method and the active-electrode threshold — so two records computed under different settings cannot be compared by accident.</w:t>
      </w:r>
    </w:p>
    <w:p>
      <w:pPr>
        <w:spacing w:after="120"/>
      </w:pPr>
      <w:r>
        <w:rPr>
          <w:rFonts w:ascii="Calibri" w:hAnsi="Calibri"/>
          <w:b w:val="0"/>
          <w:i w:val="0"/>
          <w:color w:val="222222"/>
          <w:sz w:val="21"/>
        </w:rPr>
        <w:t xml:space="preserve">Ingestion lives in </w:t>
      </w:r>
      <w:r>
        <w:rPr>
          <w:rFonts w:ascii="Consolas" w:hAnsi="Consolas"/>
          <w:b w:val="0"/>
          <w:i w:val="0"/>
          <w:color w:val="222222"/>
          <w:sz w:val="19"/>
        </w:rPr>
        <w:t>src/neuromps/fetch/</w:t>
      </w:r>
      <w:r>
        <w:rPr>
          <w:rFonts w:ascii="Calibri" w:hAnsi="Calibri"/>
          <w:b w:val="0"/>
          <w:i w:val="0"/>
          <w:color w:val="222222"/>
          <w:sz w:val="21"/>
        </w:rPr>
        <w:t xml:space="preserve">. It uses HTTP range requests against remote ZIP archives to pull only the files we need, instead of downloading multi-gigabyte archives. Two server behaviors needed special handling and now have regression tests: one EPA host returns HTTP 500 for suffix ranges, and the same host, when offered gzip encoding, replies with a plausible </w:t>
      </w:r>
      <w:r>
        <w:rPr>
          <w:rFonts w:ascii="Consolas" w:hAnsi="Consolas"/>
          <w:b w:val="0"/>
          <w:i w:val="0"/>
          <w:color w:val="222222"/>
          <w:sz w:val="19"/>
        </w:rPr>
        <w:t>Content-Range</w:t>
      </w:r>
      <w:r>
        <w:rPr>
          <w:rFonts w:ascii="Calibri" w:hAnsi="Calibri"/>
          <w:b w:val="0"/>
          <w:i w:val="0"/>
          <w:color w:val="222222"/>
          <w:sz w:val="21"/>
        </w:rPr>
        <w:t xml:space="preserve"> while actually streaming the whole 7.5 GB file from byte zero.</w:t>
      </w:r>
    </w:p>
    <w:p>
      <w:pPr>
        <w:keepNext/>
        <w:spacing w:before="240" w:after="60"/>
      </w:pPr>
      <w:r>
        <w:rPr>
          <w:rFonts w:ascii="Calibri" w:hAnsi="Calibri"/>
          <w:b/>
          <w:i w:val="0"/>
          <w:color w:val="1F4E79"/>
          <w:sz w:val="23"/>
        </w:rPr>
        <w:t>Appendix C — Data sources and licenses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26"/>
        <w:gridCol w:w="1540"/>
        <w:gridCol w:w="906"/>
        <w:gridCol w:w="1721"/>
        <w:gridCol w:w="816"/>
        <w:gridCol w:w="1087"/>
      </w:tblGrid>
      <w:tr>
        <w:trPr>
          <w:cantSplit/>
          <w:tblHeader/>
        </w:trPr>
        <w:tc>
          <w:tcPr>
            <w:tcW w:type="dxa" w:w="2426"/>
            <w:shd w:val="clear" w:color="auto" w:fill="1F4E79"/>
            <w:vAlign w:val="center"/>
          </w:tcPr>
          <w:p>
            <w:pPr>
              <w:keepNext/>
              <w:spacing w:after="0"/>
            </w:pPr>
            <w:r>
              <w:rPr>
                <w:rFonts w:ascii="Calibri" w:hAnsi="Calibri"/>
                <w:b/>
                <w:i w:val="0"/>
                <w:color w:val="FFFFFF"/>
                <w:sz w:val="20"/>
              </w:rPr>
              <w:t>dataset</w:t>
            </w:r>
          </w:p>
        </w:tc>
        <w:tc>
          <w:tcPr>
            <w:tcW w:type="dxa" w:w="1540"/>
            <w:shd w:val="clear" w:color="auto" w:fill="1F4E79"/>
            <w:vAlign w:val="center"/>
          </w:tcPr>
          <w:p>
            <w:pPr>
              <w:keepNext/>
              <w:spacing w:after="0"/>
            </w:pPr>
            <w:r>
              <w:rPr>
                <w:rFonts w:ascii="Calibri" w:hAnsi="Calibri"/>
                <w:b/>
                <w:i w:val="0"/>
                <w:color w:val="FFFFFF"/>
                <w:sz w:val="20"/>
              </w:rPr>
              <w:t>platform format</w:t>
            </w:r>
          </w:p>
        </w:tc>
        <w:tc>
          <w:tcPr>
            <w:tcW w:type="dxa" w:w="906"/>
            <w:shd w:val="clear" w:color="auto" w:fill="1F4E79"/>
            <w:vAlign w:val="center"/>
          </w:tcPr>
          <w:p>
            <w:pPr>
              <w:keepNext/>
              <w:spacing w:after="0"/>
            </w:pPr>
            <w:r>
              <w:rPr>
                <w:rFonts w:ascii="Calibri" w:hAnsi="Calibri"/>
                <w:b/>
                <w:i w:val="0"/>
                <w:color w:val="FFFFFF"/>
                <w:sz w:val="20"/>
              </w:rPr>
              <w:t>species</w:t>
            </w:r>
          </w:p>
        </w:tc>
        <w:tc>
          <w:tcPr>
            <w:tcW w:type="dxa" w:w="1721"/>
            <w:shd w:val="clear" w:color="auto" w:fill="1F4E79"/>
            <w:vAlign w:val="center"/>
          </w:tcPr>
          <w:p>
            <w:pPr>
              <w:keepNext/>
              <w:spacing w:after="0"/>
            </w:pPr>
            <w:r>
              <w:rPr>
                <w:rFonts w:ascii="Calibri" w:hAnsi="Calibri"/>
                <w:b/>
                <w:i w:val="0"/>
                <w:color w:val="FFFFFF"/>
                <w:sz w:val="20"/>
              </w:rPr>
              <w:t>experimental role</w:t>
            </w:r>
          </w:p>
        </w:tc>
        <w:tc>
          <w:tcPr>
            <w:tcW w:type="dxa" w:w="816"/>
            <w:shd w:val="clear" w:color="auto" w:fill="1F4E79"/>
            <w:vAlign w:val="center"/>
          </w:tcPr>
          <w:p>
            <w:pPr>
              <w:keepNext/>
              <w:spacing w:after="0"/>
            </w:pPr>
            <w:r>
              <w:rPr>
                <w:rFonts w:ascii="Calibri" w:hAnsi="Calibri"/>
                <w:b/>
                <w:i w:val="0"/>
                <w:color w:val="FFFFFF"/>
                <w:sz w:val="20"/>
              </w:rPr>
              <w:t>records</w:t>
            </w:r>
          </w:p>
        </w:tc>
        <w:tc>
          <w:tcPr>
            <w:tcW w:type="dxa" w:w="1087"/>
            <w:shd w:val="clear" w:color="auto" w:fill="1F4E79"/>
            <w:vAlign w:val="center"/>
          </w:tcPr>
          <w:p>
            <w:pPr>
              <w:keepNext/>
              <w:spacing w:after="0"/>
            </w:pPr>
            <w:r>
              <w:rPr>
                <w:rFonts w:ascii="Calibri" w:hAnsi="Calibri"/>
                <w:b/>
                <w:i w:val="0"/>
                <w:color w:val="FFFFFF"/>
                <w:sz w:val="20"/>
              </w:rPr>
              <w:t>status</w:t>
            </w:r>
          </w:p>
        </w:tc>
      </w:tr>
      <w:tr>
        <w:trPr>
          <w:cantSplit/>
        </w:trPr>
        <w:tc>
          <w:tcPr>
            <w:tcW w:type="dxa" w:w="2426"/>
            <w:shd w:val="clear" w:color="auto" w:fill="FFFFFF"/>
            <w:vAlign w:val="center"/>
          </w:tcPr>
          <w:p>
            <w:pPr>
              <w:keepNext/>
              <w:spacing w:after="0"/>
            </w:pPr>
            <w:r>
              <w:rPr>
                <w:rFonts w:ascii="Consolas" w:hAnsi="Consolas"/>
                <w:b/>
                <w:i w:val="0"/>
                <w:color w:val="222222"/>
                <w:sz w:val="18"/>
              </w:rPr>
              <w:t>toxcast_mea</w:t>
            </w:r>
          </w:p>
        </w:tc>
        <w:tc>
          <w:tcPr>
            <w:tcW w:type="dxa" w:w="1540"/>
            <w:shd w:val="clear" w:color="auto" w:fill="FFFFFF"/>
            <w:vAlign w:val="center"/>
          </w:tcPr>
          <w:p>
            <w:pPr>
              <w:keepNext/>
              <w:spacing w:after="0"/>
            </w:pPr>
            <w:r>
              <w:rPr>
                <w:rFonts w:ascii="Calibri" w:hAnsi="Calibri"/>
                <w:b w:val="0"/>
                <w:i w:val="0"/>
                <w:color w:val="222222"/>
                <w:sz w:val="20"/>
              </w:rPr>
              <w:t>screening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high-throughput reference, fitted curves</w:t>
            </w:r>
          </w:p>
        </w:tc>
        <w:tc>
          <w:tcPr>
            <w:tcW w:type="dxa" w:w="816"/>
            <w:shd w:val="clear" w:color="auto" w:fill="FFFFFF"/>
            <w:vAlign w:val="center"/>
          </w:tcPr>
          <w:p>
            <w:pPr>
              <w:keepNext/>
              <w:spacing w:after="0"/>
              <w:jc w:val="center"/>
            </w:pPr>
            <w:r>
              <w:rPr>
                <w:rFonts w:ascii="Calibri" w:hAnsi="Calibri"/>
                <w:b w:val="0"/>
                <w:i w:val="0"/>
                <w:color w:val="222222"/>
                <w:sz w:val="20"/>
              </w:rPr>
              <w:t>20,375</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screenneuropharm_bic</w:t>
            </w:r>
          </w:p>
        </w:tc>
        <w:tc>
          <w:tcPr>
            <w:tcW w:type="dxa" w:w="1540"/>
            <w:shd w:val="clear" w:color="auto" w:fill="F7F9FB"/>
            <w:vAlign w:val="center"/>
          </w:tcPr>
          <w:p>
            <w:pPr>
              <w:keepNext/>
              <w:spacing w:after="0"/>
            </w:pPr>
            <w:r>
              <w:rPr>
                <w:rFonts w:ascii="Calibri" w:hAnsi="Calibri"/>
                <w:b w:val="0"/>
                <w:i w:val="0"/>
                <w:color w:val="222222"/>
                <w:sz w:val="20"/>
              </w:rPr>
              <w:t>two-compartment chip</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directionality and twin calibration</w:t>
            </w:r>
          </w:p>
        </w:tc>
        <w:tc>
          <w:tcPr>
            <w:tcW w:type="dxa" w:w="816"/>
            <w:shd w:val="clear" w:color="auto" w:fill="F7F9FB"/>
            <w:vAlign w:val="center"/>
          </w:tcPr>
          <w:p>
            <w:pPr>
              <w:keepNext/>
              <w:spacing w:after="0"/>
              <w:jc w:val="center"/>
            </w:pPr>
            <w:r>
              <w:rPr>
                <w:rFonts w:ascii="Calibri" w:hAnsi="Calibri"/>
                <w:b w:val="0"/>
                <w:i w:val="0"/>
                <w:color w:val="222222"/>
                <w:sz w:val="20"/>
              </w:rPr>
              <w:t>580</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kapucu2022</w:t>
            </w:r>
          </w:p>
        </w:tc>
        <w:tc>
          <w:tcPr>
            <w:tcW w:type="dxa" w:w="1540"/>
            <w:shd w:val="clear" w:color="auto" w:fill="FFFFFF"/>
            <w:vAlign w:val="center"/>
          </w:tcPr>
          <w:p>
            <w:pPr>
              <w:keepNext/>
              <w:spacing w:after="0"/>
            </w:pPr>
            <w:r>
              <w:rPr>
                <w:rFonts w:ascii="Calibri" w:hAnsi="Calibri"/>
                <w:b w:val="0"/>
                <w:i w:val="0"/>
                <w:color w:val="222222"/>
                <w:sz w:val="20"/>
              </w:rPr>
              <w:t>planar 48-well MEA</w:t>
            </w:r>
          </w:p>
        </w:tc>
        <w:tc>
          <w:tcPr>
            <w:tcW w:type="dxa" w:w="906"/>
            <w:shd w:val="clear" w:color="auto" w:fill="FFFFFF"/>
            <w:vAlign w:val="center"/>
          </w:tcPr>
          <w:p>
            <w:pPr>
              <w:keepNext/>
              <w:spacing w:after="0"/>
            </w:pPr>
            <w:r>
              <w:rPr>
                <w:rFonts w:ascii="Calibri" w:hAnsi="Calibri"/>
                <w:b w:val="0"/>
                <w:i w:val="0"/>
                <w:color w:val="222222"/>
                <w:sz w:val="20"/>
              </w:rPr>
              <w:t>rat / human</w:t>
            </w:r>
          </w:p>
        </w:tc>
        <w:tc>
          <w:tcPr>
            <w:tcW w:type="dxa" w:w="1721"/>
            <w:shd w:val="clear" w:color="auto" w:fill="FFFFFF"/>
            <w:vAlign w:val="center"/>
          </w:tcPr>
          <w:p>
            <w:pPr>
              <w:keepNext/>
              <w:spacing w:after="0"/>
            </w:pPr>
            <w:r>
              <w:rPr>
                <w:rFonts w:ascii="Calibri" w:hAnsi="Calibri"/>
                <w:b w:val="0"/>
                <w:i w:val="0"/>
                <w:color w:val="222222"/>
                <w:sz w:val="20"/>
              </w:rPr>
              <w:t>primary ML benchmark and transfer</w:t>
            </w:r>
          </w:p>
        </w:tc>
        <w:tc>
          <w:tcPr>
            <w:tcW w:type="dxa" w:w="816"/>
            <w:shd w:val="clear" w:color="auto" w:fill="FFFFFF"/>
            <w:vAlign w:val="center"/>
          </w:tcPr>
          <w:p>
            <w:pPr>
              <w:keepNext/>
              <w:spacing w:after="0"/>
              <w:jc w:val="center"/>
            </w:pPr>
            <w:r>
              <w:rPr>
                <w:rFonts w:ascii="Calibri" w:hAnsi="Calibri"/>
                <w:b w:val="0"/>
                <w:i w:val="0"/>
                <w:color w:val="222222"/>
                <w:sz w:val="20"/>
              </w:rPr>
              <w:t>288</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vassallo2017</w:t>
            </w:r>
          </w:p>
        </w:tc>
        <w:tc>
          <w:tcPr>
            <w:tcW w:type="dxa" w:w="1540"/>
            <w:shd w:val="clear" w:color="auto" w:fill="F7F9FB"/>
            <w:vAlign w:val="center"/>
          </w:tcPr>
          <w:p>
            <w:pPr>
              <w:keepNext/>
              <w:spacing w:after="0"/>
            </w:pPr>
            <w:r>
              <w:rPr>
                <w:rFonts w:ascii="Calibri" w:hAnsi="Calibri"/>
                <w:b w:val="0"/>
                <w:i w:val="0"/>
                <w:color w:val="222222"/>
                <w:sz w:val="20"/>
              </w:rPr>
              <w:t>planar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second within-platform benchmark</w:t>
            </w:r>
          </w:p>
        </w:tc>
        <w:tc>
          <w:tcPr>
            <w:tcW w:type="dxa" w:w="816"/>
            <w:shd w:val="clear" w:color="auto" w:fill="F7F9FB"/>
            <w:vAlign w:val="center"/>
          </w:tcPr>
          <w:p>
            <w:pPr>
              <w:keepNext/>
              <w:spacing w:after="0"/>
              <w:jc w:val="center"/>
            </w:pPr>
            <w:r>
              <w:rPr>
                <w:rFonts w:ascii="Calibri" w:hAnsi="Calibri"/>
                <w:b w:val="0"/>
                <w:i w:val="0"/>
                <w:color w:val="222222"/>
                <w:sz w:val="20"/>
              </w:rPr>
              <w:t>283</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trujillo2019</w:t>
            </w:r>
          </w:p>
        </w:tc>
        <w:tc>
          <w:tcPr>
            <w:tcW w:type="dxa" w:w="1540"/>
            <w:shd w:val="clear" w:color="auto" w:fill="FFFFFF"/>
            <w:vAlign w:val="center"/>
          </w:tcPr>
          <w:p>
            <w:pPr>
              <w:keepNext/>
              <w:spacing w:after="0"/>
            </w:pPr>
            <w:r>
              <w:rPr>
                <w:rFonts w:ascii="Calibri" w:hAnsi="Calibri"/>
                <w:b w:val="0"/>
                <w:i w:val="0"/>
                <w:color w:val="222222"/>
                <w:sz w:val="20"/>
              </w:rPr>
              <w:t>planar MEA</w:t>
            </w:r>
          </w:p>
        </w:tc>
        <w:tc>
          <w:tcPr>
            <w:tcW w:type="dxa" w:w="906"/>
            <w:shd w:val="clear" w:color="auto" w:fill="FFFFFF"/>
            <w:vAlign w:val="center"/>
          </w:tcPr>
          <w:p>
            <w:pPr>
              <w:keepNext/>
              <w:spacing w:after="0"/>
            </w:pPr>
            <w:r>
              <w:rPr>
                <w:rFonts w:ascii="Calibri" w:hAnsi="Calibri"/>
                <w:b w:val="0"/>
                <w:i w:val="0"/>
                <w:color w:val="222222"/>
                <w:sz w:val="20"/>
              </w:rPr>
              <w:t>human organoid</w:t>
            </w:r>
          </w:p>
        </w:tc>
        <w:tc>
          <w:tcPr>
            <w:tcW w:type="dxa" w:w="1721"/>
            <w:shd w:val="clear" w:color="auto" w:fill="FFFFFF"/>
            <w:vAlign w:val="center"/>
          </w:tcPr>
          <w:p>
            <w:pPr>
              <w:keepNext/>
              <w:spacing w:after="0"/>
            </w:pPr>
            <w:r>
              <w:rPr>
                <w:rFonts w:ascii="Calibri" w:hAnsi="Calibri"/>
                <w:b w:val="0"/>
                <w:i w:val="0"/>
                <w:color w:val="222222"/>
                <w:sz w:val="20"/>
              </w:rPr>
              <w:t>baseline electrophysiology</w:t>
            </w:r>
          </w:p>
        </w:tc>
        <w:tc>
          <w:tcPr>
            <w:tcW w:type="dxa" w:w="816"/>
            <w:shd w:val="clear" w:color="auto" w:fill="FFFFFF"/>
            <w:vAlign w:val="center"/>
          </w:tcPr>
          <w:p>
            <w:pPr>
              <w:keepNext/>
              <w:spacing w:after="0"/>
              <w:jc w:val="center"/>
            </w:pPr>
            <w:r>
              <w:rPr>
                <w:rFonts w:ascii="Calibri" w:hAnsi="Calibri"/>
                <w:b w:val="0"/>
                <w:i w:val="0"/>
                <w:color w:val="222222"/>
                <w:sz w:val="20"/>
              </w:rPr>
              <w:t>184</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mateus2024</w:t>
            </w:r>
          </w:p>
        </w:tc>
        <w:tc>
          <w:tcPr>
            <w:tcW w:type="dxa" w:w="1540"/>
            <w:shd w:val="clear" w:color="auto" w:fill="F7F9FB"/>
            <w:vAlign w:val="center"/>
          </w:tcPr>
          <w:p>
            <w:pPr>
              <w:keepNext/>
              <w:spacing w:after="0"/>
            </w:pPr>
            <w:r>
              <w:rPr>
                <w:rFonts w:ascii="Calibri" w:hAnsi="Calibri"/>
                <w:b w:val="0"/>
                <w:i w:val="0"/>
                <w:color w:val="222222"/>
                <w:sz w:val="20"/>
              </w:rPr>
              <w:t>microchannel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microchannel propagation asymmetry</w:t>
            </w:r>
          </w:p>
        </w:tc>
        <w:tc>
          <w:tcPr>
            <w:tcW w:type="dxa" w:w="816"/>
            <w:shd w:val="clear" w:color="auto" w:fill="F7F9FB"/>
            <w:vAlign w:val="center"/>
          </w:tcPr>
          <w:p>
            <w:pPr>
              <w:keepNext/>
              <w:spacing w:after="0"/>
              <w:jc w:val="center"/>
            </w:pPr>
            <w:r>
              <w:rPr>
                <w:rFonts w:ascii="Calibri" w:hAnsi="Calibri"/>
                <w:b w:val="0"/>
                <w:i w:val="0"/>
                <w:color w:val="222222"/>
                <w:sz w:val="20"/>
              </w:rPr>
              <w:t>108</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brewer2021</w:t>
            </w:r>
          </w:p>
        </w:tc>
        <w:tc>
          <w:tcPr>
            <w:tcW w:type="dxa" w:w="1540"/>
            <w:shd w:val="clear" w:color="auto" w:fill="FFFFFF"/>
            <w:vAlign w:val="center"/>
          </w:tcPr>
          <w:p>
            <w:pPr>
              <w:keepNext/>
              <w:spacing w:after="0"/>
            </w:pPr>
            <w:r>
              <w:rPr>
                <w:rFonts w:ascii="Calibri" w:hAnsi="Calibri"/>
                <w:b w:val="0"/>
                <w:i w:val="0"/>
                <w:color w:val="222222"/>
                <w:sz w:val="20"/>
              </w:rPr>
              <w:t>microchannel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axonal propagation ground truth</w:t>
            </w:r>
          </w:p>
        </w:tc>
        <w:tc>
          <w:tcPr>
            <w:tcW w:type="dxa" w:w="816"/>
            <w:shd w:val="clear" w:color="auto" w:fill="FFFFFF"/>
            <w:vAlign w:val="center"/>
          </w:tcPr>
          <w:p>
            <w:pPr>
              <w:keepNext/>
              <w:spacing w:after="0"/>
              <w:jc w:val="center"/>
            </w:pPr>
            <w:r>
              <w:rPr>
                <w:rFonts w:ascii="Calibri" w:hAnsi="Calibri"/>
                <w:b w:val="0"/>
                <w:i w:val="0"/>
                <w:color w:val="222222"/>
                <w:sz w:val="20"/>
              </w:rPr>
              <w:t>40</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sharf2022</w:t>
            </w:r>
          </w:p>
        </w:tc>
        <w:tc>
          <w:tcPr>
            <w:tcW w:type="dxa" w:w="1540"/>
            <w:shd w:val="clear" w:color="auto" w:fill="F7F9FB"/>
            <w:vAlign w:val="center"/>
          </w:tcPr>
          <w:p>
            <w:pPr>
              <w:keepNext/>
              <w:spacing w:after="0"/>
            </w:pPr>
            <w:r>
              <w:rPr>
                <w:rFonts w:ascii="Calibri" w:hAnsi="Calibri"/>
                <w:b w:val="0"/>
                <w:i w:val="0"/>
                <w:color w:val="222222"/>
                <w:sz w:val="20"/>
              </w:rPr>
              <w:t>high-density MEA</w:t>
            </w:r>
          </w:p>
        </w:tc>
        <w:tc>
          <w:tcPr>
            <w:tcW w:type="dxa" w:w="906"/>
            <w:shd w:val="clear" w:color="auto" w:fill="F7F9FB"/>
            <w:vAlign w:val="center"/>
          </w:tcPr>
          <w:p>
            <w:pPr>
              <w:keepNext/>
              <w:spacing w:after="0"/>
            </w:pPr>
            <w:r>
              <w:rPr>
                <w:rFonts w:ascii="Calibri" w:hAnsi="Calibri"/>
                <w:b w:val="0"/>
                <w:i w:val="0"/>
                <w:color w:val="222222"/>
                <w:sz w:val="20"/>
              </w:rPr>
              <w:t>human organoid</w:t>
            </w:r>
          </w:p>
        </w:tc>
        <w:tc>
          <w:tcPr>
            <w:tcW w:type="dxa" w:w="1721"/>
            <w:shd w:val="clear" w:color="auto" w:fill="F7F9FB"/>
            <w:vAlign w:val="center"/>
          </w:tcPr>
          <w:p>
            <w:pPr>
              <w:keepNext/>
              <w:spacing w:after="0"/>
            </w:pPr>
            <w:r>
              <w:rPr>
                <w:rFonts w:ascii="Calibri" w:hAnsi="Calibri"/>
                <w:b w:val="0"/>
                <w:i w:val="0"/>
                <w:color w:val="222222"/>
                <w:sz w:val="20"/>
              </w:rPr>
              <w:t>negative-control screening (diazepam)</w:t>
            </w:r>
          </w:p>
        </w:tc>
        <w:tc>
          <w:tcPr>
            <w:tcW w:type="dxa" w:w="816"/>
            <w:shd w:val="clear" w:color="auto" w:fill="F7F9FB"/>
            <w:vAlign w:val="center"/>
          </w:tcPr>
          <w:p>
            <w:pPr>
              <w:keepNext/>
              <w:spacing w:after="0"/>
              <w:jc w:val="center"/>
            </w:pPr>
            <w:r>
              <w:rPr>
                <w:rFonts w:ascii="Calibri" w:hAnsi="Calibri"/>
                <w:b w:val="0"/>
                <w:i w:val="0"/>
                <w:color w:val="222222"/>
                <w:sz w:val="20"/>
              </w:rPr>
              <w:t>29</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fofie2025</w:t>
            </w:r>
          </w:p>
        </w:tc>
        <w:tc>
          <w:tcPr>
            <w:tcW w:type="dxa" w:w="1540"/>
            <w:shd w:val="clear" w:color="auto" w:fill="FFFFFF"/>
            <w:vAlign w:val="center"/>
          </w:tcPr>
          <w:p>
            <w:pPr>
              <w:keepNext/>
              <w:spacing w:after="0"/>
            </w:pPr>
            <w:r>
              <w:rPr>
                <w:rFonts w:ascii="Calibri" w:hAnsi="Calibri"/>
                <w:b w:val="0"/>
                <w:i w:val="0"/>
                <w:color w:val="222222"/>
                <w:sz w:val="20"/>
              </w:rPr>
              <w:t>multi-well MEA</w:t>
            </w:r>
          </w:p>
        </w:tc>
        <w:tc>
          <w:tcPr>
            <w:tcW w:type="dxa" w:w="906"/>
            <w:shd w:val="clear" w:color="auto" w:fill="FFFFFF"/>
            <w:vAlign w:val="center"/>
          </w:tcPr>
          <w:p>
            <w:pPr>
              <w:keepNext/>
              <w:spacing w:after="0"/>
            </w:pPr>
            <w:r>
              <w:rPr>
                <w:rFonts w:ascii="Calibri" w:hAnsi="Calibri"/>
                <w:b w:val="0"/>
                <w:i w:val="0"/>
                <w:color w:val="222222"/>
                <w:sz w:val="20"/>
              </w:rPr>
              <w:t>human sensory</w:t>
            </w:r>
          </w:p>
        </w:tc>
        <w:tc>
          <w:tcPr>
            <w:tcW w:type="dxa" w:w="1721"/>
            <w:shd w:val="clear" w:color="auto" w:fill="FFFFFF"/>
            <w:vAlign w:val="center"/>
          </w:tcPr>
          <w:p>
            <w:pPr>
              <w:keepNext/>
              <w:spacing w:after="0"/>
            </w:pPr>
            <w:r>
              <w:rPr>
                <w:rFonts w:ascii="Calibri" w:hAnsi="Calibri"/>
                <w:b w:val="0"/>
                <w:i w:val="0"/>
                <w:color w:val="222222"/>
                <w:sz w:val="20"/>
              </w:rPr>
              <w:t>rate-only validation arm (§8)</w:t>
            </w:r>
          </w:p>
        </w:tc>
        <w:tc>
          <w:tcPr>
            <w:tcW w:type="dxa" w:w="816"/>
            <w:shd w:val="clear" w:color="auto" w:fill="FFFFFF"/>
            <w:vAlign w:val="center"/>
          </w:tcPr>
          <w:p>
            <w:pPr>
              <w:keepNext/>
              <w:spacing w:after="0"/>
            </w:pPr>
            <w:r>
              <w:rPr>
                <w:rFonts w:ascii="Calibri" w:hAnsi="Calibri"/>
                <w:b w:val="0"/>
                <w:i w:val="0"/>
                <w:color w:val="222222"/>
                <w:sz w:val="20"/>
              </w:rPr>
              <w:t>291 pairs</w:t>
            </w:r>
          </w:p>
        </w:tc>
        <w:tc>
          <w:tcPr>
            <w:tcW w:type="dxa" w:w="1087"/>
            <w:shd w:val="clear" w:color="auto" w:fill="FFFFFF"/>
            <w:vAlign w:val="center"/>
          </w:tcPr>
          <w:p>
            <w:pPr>
              <w:keepNext/>
              <w:spacing w:after="0"/>
            </w:pPr>
            <w:r>
              <w:rPr>
                <w:rFonts w:ascii="Calibri" w:hAnsi="Calibri"/>
                <w:b w:val="0"/>
                <w:i w:val="0"/>
                <w:color w:val="222222"/>
                <w:sz w:val="20"/>
              </w:rPr>
              <w:t>rate-only, outside the record asset</w:t>
            </w:r>
          </w:p>
        </w:tc>
      </w:tr>
      <w:tr>
        <w:trPr>
          <w:cantSplit/>
        </w:trPr>
        <w:tc>
          <w:tcPr>
            <w:tcW w:type="dxa" w:w="2426"/>
            <w:shd w:val="clear" w:color="auto" w:fill="F7F9FB"/>
            <w:vAlign w:val="center"/>
          </w:tcPr>
          <w:p>
            <w:pPr>
              <w:keepNext w:val="0"/>
              <w:spacing w:after="0"/>
            </w:pPr>
            <w:r>
              <w:rPr>
                <w:rFonts w:ascii="Consolas" w:hAnsi="Consolas"/>
                <w:b/>
                <w:i w:val="0"/>
                <w:color w:val="222222"/>
                <w:sz w:val="18"/>
              </w:rPr>
              <w:t>tukker2020</w:t>
            </w:r>
          </w:p>
        </w:tc>
        <w:tc>
          <w:tcPr>
            <w:tcW w:type="dxa" w:w="1540"/>
            <w:shd w:val="clear" w:color="auto" w:fill="F7F9FB"/>
            <w:vAlign w:val="center"/>
          </w:tcPr>
          <w:p>
            <w:pPr>
              <w:keepNext w:val="0"/>
              <w:spacing w:after="0"/>
            </w:pPr>
            <w:r>
              <w:rPr>
                <w:rFonts w:ascii="Calibri" w:hAnsi="Calibri"/>
                <w:b w:val="0"/>
                <w:i w:val="0"/>
                <w:color w:val="222222"/>
                <w:sz w:val="20"/>
              </w:rPr>
              <w:t>planar MEA</w:t>
            </w:r>
          </w:p>
        </w:tc>
        <w:tc>
          <w:tcPr>
            <w:tcW w:type="dxa" w:w="906"/>
            <w:shd w:val="clear" w:color="auto" w:fill="F7F9FB"/>
            <w:vAlign w:val="center"/>
          </w:tcPr>
          <w:p>
            <w:pPr>
              <w:keepNext w:val="0"/>
              <w:spacing w:after="0"/>
            </w:pPr>
            <w:r>
              <w:rPr>
                <w:rFonts w:ascii="Calibri" w:hAnsi="Calibri"/>
                <w:b w:val="0"/>
                <w:i w:val="0"/>
                <w:color w:val="222222"/>
                <w:sz w:val="20"/>
              </w:rPr>
              <w:t>rat / human</w:t>
            </w:r>
          </w:p>
        </w:tc>
        <w:tc>
          <w:tcPr>
            <w:tcW w:type="dxa" w:w="1721"/>
            <w:shd w:val="clear" w:color="auto" w:fill="F7F9FB"/>
            <w:vAlign w:val="center"/>
          </w:tcPr>
          <w:p>
            <w:pPr>
              <w:keepNext w:val="0"/>
              <w:spacing w:after="0"/>
            </w:pPr>
            <w:r>
              <w:rPr>
                <w:rFonts w:ascii="Calibri" w:hAnsi="Calibri"/>
                <w:b w:val="0"/>
                <w:i w:val="0"/>
                <w:color w:val="222222"/>
                <w:sz w:val="20"/>
              </w:rPr>
              <w:t>neurotoxicity screening</w:t>
            </w:r>
          </w:p>
        </w:tc>
        <w:tc>
          <w:tcPr>
            <w:tcW w:type="dxa" w:w="816"/>
            <w:shd w:val="clear" w:color="auto" w:fill="F7F9FB"/>
            <w:vAlign w:val="center"/>
          </w:tcPr>
          <w:p>
            <w:pPr>
              <w:keepNext w:val="0"/>
              <w:spacing w:after="0"/>
              <w:jc w:val="center"/>
            </w:pPr>
            <w:r>
              <w:rPr>
                <w:rFonts w:ascii="Calibri" w:hAnsi="Calibri"/>
                <w:b w:val="0"/>
                <w:i w:val="0"/>
                <w:color w:val="222222"/>
                <w:sz w:val="20"/>
              </w:rPr>
              <w:t>—</w:t>
            </w:r>
          </w:p>
        </w:tc>
        <w:tc>
          <w:tcPr>
            <w:tcW w:type="dxa" w:w="1087"/>
            <w:shd w:val="clear" w:color="auto" w:fill="F7F9FB"/>
            <w:vAlign w:val="center"/>
          </w:tcPr>
          <w:p>
            <w:pPr>
              <w:keepNext w:val="0"/>
              <w:spacing w:after="0"/>
            </w:pPr>
            <w:r>
              <w:rPr>
                <w:rFonts w:ascii="Calibri" w:hAnsi="Calibri"/>
                <w:b/>
                <w:i w:val="0"/>
                <w:color w:val="222222"/>
                <w:sz w:val="20"/>
              </w:rPr>
              <w:t>excluded, CC BY-NC</w:t>
            </w:r>
          </w:p>
        </w:tc>
      </w:tr>
    </w:tbl>
    <w:p>
      <w:pPr>
        <w:spacing w:after="80"/>
      </w:pPr>
    </w:p>
    <w:p>
      <w:pPr>
        <w:spacing w:after="120"/>
      </w:pPr>
      <w:r>
        <w:rPr>
          <w:rFonts w:ascii="Consolas" w:hAnsi="Consolas"/>
          <w:b w:val="0"/>
          <w:i w:val="0"/>
          <w:color w:val="222222"/>
          <w:sz w:val="19"/>
        </w:rPr>
        <w:t>fofie2025</w:t>
      </w:r>
      <w:r>
        <w:rPr>
          <w:rFonts w:ascii="Calibri" w:hAnsi="Calibri"/>
          <w:b w:val="0"/>
          <w:i w:val="0"/>
          <w:color w:val="222222"/>
          <w:sz w:val="21"/>
        </w:rPr>
        <w:t xml:space="preserve"> reports total spike counts rather than spike times, so it supports firing-rate features only and is not part of the 21,887-record asset; we use it solely for the cross-source rate-only arm. We record </w:t>
      </w:r>
      <w:r>
        <w:rPr>
          <w:rFonts w:ascii="Consolas" w:hAnsi="Consolas"/>
          <w:b w:val="0"/>
          <w:i w:val="0"/>
          <w:color w:val="222222"/>
          <w:sz w:val="19"/>
        </w:rPr>
        <w:t>tukker2020</w:t>
      </w:r>
      <w:r>
        <w:rPr>
          <w:rFonts w:ascii="Calibri" w:hAnsi="Calibri"/>
          <w:b w:val="0"/>
          <w:i w:val="0"/>
          <w:color w:val="222222"/>
          <w:sz w:val="21"/>
        </w:rPr>
        <w:t xml:space="preserve"> as a skipped source, with its reason, rather than silently leaving it out.</w:t>
      </w:r>
    </w:p>
    <w:p>
      <w:pPr>
        <w:keepNext/>
        <w:spacing w:before="240" w:after="60"/>
      </w:pPr>
      <w:r>
        <w:rPr>
          <w:rFonts w:ascii="Calibri" w:hAnsi="Calibri"/>
          <w:b/>
          <w:i w:val="0"/>
          <w:color w:val="1F4E79"/>
          <w:sz w:val="23"/>
        </w:rPr>
        <w:t>Appendix D &amp; E — The nine-feature vector, and enforced repository invariants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339"/>
        <w:gridCol w:w="4157"/>
      </w:tblGrid>
      <w:tr>
        <w:trPr>
          <w:cantSplit/>
          <w:tblHeader/>
        </w:trPr>
        <w:tc>
          <w:tcPr>
            <w:tcW w:type="dxa" w:w="4339"/>
            <w:shd w:val="clear" w:color="auto" w:fill="1F4E79"/>
            <w:vAlign w:val="center"/>
          </w:tcPr>
          <w:p>
            <w:pPr>
              <w:keepNext/>
              <w:spacing w:after="0"/>
            </w:pPr>
            <w:r>
              <w:rPr>
                <w:rFonts w:ascii="Calibri" w:hAnsi="Calibri"/>
                <w:b/>
                <w:i w:val="0"/>
                <w:color w:val="FFFFFF"/>
                <w:sz w:val="20"/>
              </w:rPr>
              <w:t>feature</w:t>
            </w:r>
          </w:p>
        </w:tc>
        <w:tc>
          <w:tcPr>
            <w:tcW w:type="dxa" w:w="4157"/>
            <w:shd w:val="clear" w:color="auto" w:fill="1F4E79"/>
            <w:vAlign w:val="center"/>
          </w:tcPr>
          <w:p>
            <w:pPr>
              <w:keepNext/>
              <w:spacing w:after="0"/>
            </w:pPr>
            <w:r>
              <w:rPr>
                <w:rFonts w:ascii="Calibri" w:hAnsi="Calibri"/>
                <w:b/>
                <w:i w:val="0"/>
                <w:color w:val="FFFFFF"/>
                <w:sz w:val="20"/>
              </w:rPr>
              <w:t xml:space="preserve">formal definition as computed in </w:t>
            </w:r>
            <w:r>
              <w:rPr>
                <w:rFonts w:ascii="Consolas" w:hAnsi="Consolas"/>
                <w:b/>
                <w:i w:val="0"/>
                <w:color w:val="FFFFFF"/>
                <w:sz w:val="18"/>
              </w:rPr>
              <w:t>features/mea.py</w:t>
            </w:r>
          </w:p>
        </w:tc>
      </w:tr>
      <w:tr>
        <w:trPr>
          <w:cantSplit/>
        </w:trPr>
        <w:tc>
          <w:tcPr>
            <w:tcW w:type="dxa" w:w="4339"/>
            <w:shd w:val="clear" w:color="auto" w:fill="FFFFFF"/>
            <w:vAlign w:val="center"/>
          </w:tcPr>
          <w:p>
            <w:pPr>
              <w:keepNext/>
              <w:spacing w:after="0"/>
            </w:pPr>
            <w:r>
              <w:rPr>
                <w:rFonts w:ascii="Consolas" w:hAnsi="Consolas"/>
                <w:b/>
                <w:i w:val="0"/>
                <w:color w:val="222222"/>
                <w:sz w:val="18"/>
              </w:rPr>
              <w:t>mfr_hz</w:t>
            </w:r>
          </w:p>
        </w:tc>
        <w:tc>
          <w:tcPr>
            <w:tcW w:type="dxa" w:w="4157"/>
            <w:shd w:val="clear" w:color="auto" w:fill="FFFFFF"/>
            <w:vAlign w:val="center"/>
          </w:tcPr>
          <w:p>
            <w:pPr>
              <w:keepNext/>
              <w:spacing w:after="0"/>
            </w:pPr>
            <w:r>
              <w:rPr>
                <w:rFonts w:ascii="Calibri" w:hAnsi="Calibri"/>
                <w:b w:val="0"/>
                <w:i w:val="0"/>
                <w:color w:val="222222"/>
                <w:sz w:val="20"/>
              </w:rPr>
              <w:t>spikes per second per active electrode</w:t>
            </w:r>
          </w:p>
        </w:tc>
      </w:tr>
      <w:tr>
        <w:trPr>
          <w:cantSplit/>
        </w:trPr>
        <w:tc>
          <w:tcPr>
            <w:tcW w:type="dxa" w:w="4339"/>
            <w:shd w:val="clear" w:color="auto" w:fill="F7F9FB"/>
            <w:vAlign w:val="center"/>
          </w:tcPr>
          <w:p>
            <w:pPr>
              <w:keepNext/>
              <w:spacing w:after="0"/>
            </w:pPr>
            <w:r>
              <w:rPr>
                <w:rFonts w:ascii="Consolas" w:hAnsi="Consolas"/>
                <w:b/>
                <w:i w:val="0"/>
                <w:color w:val="222222"/>
                <w:sz w:val="18"/>
              </w:rPr>
              <w:t>burst_rate_per_min</w:t>
            </w:r>
          </w:p>
        </w:tc>
        <w:tc>
          <w:tcPr>
            <w:tcW w:type="dxa" w:w="4157"/>
            <w:shd w:val="clear" w:color="auto" w:fill="F7F9FB"/>
            <w:vAlign w:val="center"/>
          </w:tcPr>
          <w:p>
            <w:pPr>
              <w:keepNext/>
              <w:spacing w:after="0"/>
            </w:pPr>
            <w:r>
              <w:rPr>
                <w:rFonts w:ascii="Calibri" w:hAnsi="Calibri"/>
                <w:b w:val="0"/>
                <w:i w:val="0"/>
                <w:color w:val="222222"/>
                <w:sz w:val="20"/>
              </w:rPr>
              <w:t>bursts per minute per active electrode (≥ 5 spikes, ISI &lt; 100 ms)</w:t>
            </w:r>
          </w:p>
        </w:tc>
      </w:tr>
      <w:tr>
        <w:trPr>
          <w:cantSplit/>
        </w:trPr>
        <w:tc>
          <w:tcPr>
            <w:tcW w:type="dxa" w:w="4339"/>
            <w:shd w:val="clear" w:color="auto" w:fill="FFFFFF"/>
            <w:vAlign w:val="center"/>
          </w:tcPr>
          <w:p>
            <w:pPr>
              <w:keepNext/>
              <w:spacing w:after="0"/>
            </w:pPr>
            <w:r>
              <w:rPr>
                <w:rFonts w:ascii="Consolas" w:hAnsi="Consolas"/>
                <w:b/>
                <w:i w:val="0"/>
                <w:color w:val="222222"/>
                <w:sz w:val="18"/>
              </w:rPr>
              <w:t>burst_duration_s</w:t>
            </w:r>
          </w:p>
        </w:tc>
        <w:tc>
          <w:tcPr>
            <w:tcW w:type="dxa" w:w="4157"/>
            <w:shd w:val="clear" w:color="auto" w:fill="FFFFFF"/>
            <w:vAlign w:val="center"/>
          </w:tcPr>
          <w:p>
            <w:pPr>
              <w:keepNext/>
              <w:spacing w:after="0"/>
            </w:pPr>
            <w:r>
              <w:rPr>
                <w:rFonts w:ascii="Calibri" w:hAnsi="Calibri"/>
                <w:b w:val="0"/>
                <w:i w:val="0"/>
                <w:color w:val="222222"/>
                <w:sz w:val="20"/>
              </w:rPr>
              <w:t>mean duration from first to final spike across identified bursts</w:t>
            </w:r>
          </w:p>
        </w:tc>
      </w:tr>
      <w:tr>
        <w:trPr>
          <w:cantSplit/>
        </w:trPr>
        <w:tc>
          <w:tcPr>
            <w:tcW w:type="dxa" w:w="4339"/>
            <w:shd w:val="clear" w:color="auto" w:fill="F7F9FB"/>
            <w:vAlign w:val="center"/>
          </w:tcPr>
          <w:p>
            <w:pPr>
              <w:keepNext/>
              <w:spacing w:after="0"/>
            </w:pPr>
            <w:r>
              <w:rPr>
                <w:rFonts w:ascii="Consolas" w:hAnsi="Consolas"/>
                <w:b/>
                <w:i w:val="0"/>
                <w:color w:val="222222"/>
                <w:sz w:val="18"/>
              </w:rPr>
              <w:t>spikes_per_burst</w:t>
            </w:r>
          </w:p>
        </w:tc>
        <w:tc>
          <w:tcPr>
            <w:tcW w:type="dxa" w:w="4157"/>
            <w:shd w:val="clear" w:color="auto" w:fill="F7F9FB"/>
            <w:vAlign w:val="center"/>
          </w:tcPr>
          <w:p>
            <w:pPr>
              <w:keepNext/>
              <w:spacing w:after="0"/>
            </w:pPr>
            <w:r>
              <w:rPr>
                <w:rFonts w:ascii="Calibri" w:hAnsi="Calibri"/>
                <w:b w:val="0"/>
                <w:i w:val="0"/>
                <w:color w:val="222222"/>
                <w:sz w:val="20"/>
              </w:rPr>
              <w:t>mean count of spikes participating in a burst</w:t>
            </w:r>
          </w:p>
        </w:tc>
      </w:tr>
      <w:tr>
        <w:trPr>
          <w:cantSplit/>
        </w:trPr>
        <w:tc>
          <w:tcPr>
            <w:tcW w:type="dxa" w:w="4339"/>
            <w:shd w:val="clear" w:color="auto" w:fill="FFFFFF"/>
            <w:vAlign w:val="center"/>
          </w:tcPr>
          <w:p>
            <w:pPr>
              <w:keepNext/>
              <w:spacing w:after="0"/>
            </w:pPr>
            <w:r>
              <w:rPr>
                <w:rFonts w:ascii="Consolas" w:hAnsi="Consolas"/>
                <w:b/>
                <w:i w:val="0"/>
                <w:color w:val="222222"/>
                <w:sz w:val="18"/>
              </w:rPr>
              <w:t>pct_spikes_in_bursts</w:t>
            </w:r>
          </w:p>
        </w:tc>
        <w:tc>
          <w:tcPr>
            <w:tcW w:type="dxa" w:w="4157"/>
            <w:shd w:val="clear" w:color="auto" w:fill="FFFFFF"/>
            <w:vAlign w:val="center"/>
          </w:tcPr>
          <w:p>
            <w:pPr>
              <w:keepNext/>
              <w:spacing w:after="0"/>
            </w:pPr>
            <w:r>
              <w:rPr>
                <w:rFonts w:ascii="Calibri" w:hAnsi="Calibri"/>
                <w:b w:val="0"/>
                <w:i w:val="0"/>
                <w:color w:val="222222"/>
                <w:sz w:val="20"/>
              </w:rPr>
              <w:t>share of all spikes occurring inside bursts</w:t>
            </w:r>
          </w:p>
        </w:tc>
      </w:tr>
      <w:tr>
        <w:trPr>
          <w:cantSplit/>
        </w:trPr>
        <w:tc>
          <w:tcPr>
            <w:tcW w:type="dxa" w:w="4339"/>
            <w:shd w:val="clear" w:color="auto" w:fill="F7F9FB"/>
            <w:vAlign w:val="center"/>
          </w:tcPr>
          <w:p>
            <w:pPr>
              <w:keepNext/>
              <w:spacing w:after="0"/>
            </w:pPr>
            <w:r>
              <w:rPr>
                <w:rFonts w:ascii="Consolas" w:hAnsi="Consolas"/>
                <w:b/>
                <w:i w:val="0"/>
                <w:color w:val="222222"/>
                <w:sz w:val="18"/>
              </w:rPr>
              <w:t>network_burst_rate_per_min</w:t>
            </w:r>
          </w:p>
        </w:tc>
        <w:tc>
          <w:tcPr>
            <w:tcW w:type="dxa" w:w="4157"/>
            <w:shd w:val="clear" w:color="auto" w:fill="F7F9FB"/>
            <w:vAlign w:val="center"/>
          </w:tcPr>
          <w:p>
            <w:pPr>
              <w:keepNext/>
              <w:spacing w:after="0"/>
            </w:pPr>
            <w:r>
              <w:rPr>
                <w:rFonts w:ascii="Calibri" w:hAnsi="Calibri"/>
                <w:b w:val="0"/>
                <w:i w:val="0"/>
                <w:color w:val="222222"/>
                <w:sz w:val="20"/>
              </w:rPr>
              <w:t>synchronous population events per minute, clearing chance participation</w:t>
            </w:r>
          </w:p>
        </w:tc>
      </w:tr>
      <w:tr>
        <w:trPr>
          <w:cantSplit/>
        </w:trPr>
        <w:tc>
          <w:tcPr>
            <w:tcW w:type="dxa" w:w="4339"/>
            <w:shd w:val="clear" w:color="auto" w:fill="FFFFFF"/>
            <w:vAlign w:val="center"/>
          </w:tcPr>
          <w:p>
            <w:pPr>
              <w:keepNext/>
              <w:spacing w:after="0"/>
            </w:pPr>
            <w:r>
              <w:rPr>
                <w:rFonts w:ascii="Consolas" w:hAnsi="Consolas"/>
                <w:b/>
                <w:i w:val="0"/>
                <w:color w:val="222222"/>
                <w:sz w:val="18"/>
              </w:rPr>
              <w:t>synchrony_index</w:t>
            </w:r>
          </w:p>
        </w:tc>
        <w:tc>
          <w:tcPr>
            <w:tcW w:type="dxa" w:w="4157"/>
            <w:shd w:val="clear" w:color="auto" w:fill="FFFFFF"/>
            <w:vAlign w:val="center"/>
          </w:tcPr>
          <w:p>
            <w:pPr>
              <w:keepNext/>
              <w:spacing w:after="0"/>
            </w:pPr>
            <w:r>
              <w:rPr>
                <w:rFonts w:ascii="Calibri" w:hAnsi="Calibri"/>
                <w:b w:val="0"/>
                <w:i w:val="0"/>
                <w:color w:val="222222"/>
                <w:sz w:val="20"/>
              </w:rPr>
              <w:t>mean pairwise spike-time tiling coefficient, coincidence window Δt = 50 ms</w:t>
            </w:r>
          </w:p>
        </w:tc>
      </w:tr>
      <w:tr>
        <w:trPr>
          <w:cantSplit/>
        </w:trPr>
        <w:tc>
          <w:tcPr>
            <w:tcW w:type="dxa" w:w="4339"/>
            <w:shd w:val="clear" w:color="auto" w:fill="F7F9FB"/>
            <w:vAlign w:val="center"/>
          </w:tcPr>
          <w:p>
            <w:pPr>
              <w:keepNext/>
              <w:spacing w:after="0"/>
            </w:pPr>
            <w:r>
              <w:rPr>
                <w:rFonts w:ascii="Consolas" w:hAnsi="Consolas"/>
                <w:b/>
                <w:i w:val="0"/>
                <w:color w:val="222222"/>
                <w:sz w:val="18"/>
              </w:rPr>
              <w:t>isi_cv</w:t>
            </w:r>
          </w:p>
        </w:tc>
        <w:tc>
          <w:tcPr>
            <w:tcW w:type="dxa" w:w="4157"/>
            <w:shd w:val="clear" w:color="auto" w:fill="F7F9FB"/>
            <w:vAlign w:val="center"/>
          </w:tcPr>
          <w:p>
            <w:pPr>
              <w:keepNext/>
              <w:spacing w:after="0"/>
            </w:pPr>
            <w:r>
              <w:rPr>
                <w:rFonts w:ascii="Calibri" w:hAnsi="Calibri"/>
                <w:b w:val="0"/>
                <w:i w:val="0"/>
                <w:color w:val="222222"/>
                <w:sz w:val="20"/>
              </w:rPr>
              <w:t>coefficient of variation of inter-spike intervals</w:t>
            </w:r>
          </w:p>
        </w:tc>
      </w:tr>
      <w:tr>
        <w:trPr>
          <w:cantSplit/>
        </w:trPr>
        <w:tc>
          <w:tcPr>
            <w:tcW w:type="dxa" w:w="4339"/>
            <w:shd w:val="clear" w:color="auto" w:fill="FFFFFF"/>
            <w:vAlign w:val="center"/>
          </w:tcPr>
          <w:p>
            <w:pPr>
              <w:keepNext w:val="0"/>
              <w:spacing w:after="0"/>
            </w:pPr>
            <w:r>
              <w:rPr>
                <w:rFonts w:ascii="Consolas" w:hAnsi="Consolas"/>
                <w:b/>
                <w:i w:val="0"/>
                <w:color w:val="222222"/>
                <w:sz w:val="18"/>
              </w:rPr>
              <w:t>active_electrodes</w:t>
            </w:r>
          </w:p>
        </w:tc>
        <w:tc>
          <w:tcPr>
            <w:tcW w:type="dxa" w:w="4157"/>
            <w:shd w:val="clear" w:color="auto" w:fill="FFFFFF"/>
            <w:vAlign w:val="center"/>
          </w:tcPr>
          <w:p>
            <w:pPr>
              <w:keepNext w:val="0"/>
              <w:spacing w:after="0"/>
            </w:pPr>
            <w:r>
              <w:rPr>
                <w:rFonts w:ascii="Calibri" w:hAnsi="Calibri"/>
                <w:b w:val="0"/>
                <w:i w:val="0"/>
                <w:color w:val="222222"/>
                <w:sz w:val="20"/>
              </w:rPr>
              <w:t>electrodes clearing 5 spikes per minute</w:t>
            </w:r>
          </w:p>
        </w:tc>
      </w:tr>
    </w:tbl>
    <w:p>
      <w:pPr>
        <w:spacing w:after="80"/>
      </w:pPr>
    </w:p>
    <w:p>
      <w:pPr>
        <w:spacing w:after="120"/>
      </w:pPr>
      <w:r>
        <w:rPr>
          <w:rFonts w:ascii="Calibri" w:hAnsi="Calibri"/>
          <w:b w:val="0"/>
          <w:i w:val="0"/>
          <w:color w:val="222222"/>
          <w:sz w:val="21"/>
        </w:rPr>
        <w:t>Each of the following is a test that fails, not a convention we merely follow.</w:t>
      </w:r>
    </w:p>
    <w:p>
      <w:pPr>
        <w:spacing w:after="120"/>
        <w:ind w:left="432" w:hanging="259"/>
      </w:pPr>
      <w:r>
        <w:rPr>
          <w:rFonts w:ascii="Calibri" w:hAnsi="Calibri"/>
          <w:b w:val="0"/>
          <w:i w:val="0"/>
          <w:color w:val="222222"/>
          <w:sz w:val="21"/>
        </w:rPr>
        <w:t>•</w:t>
        <w:tab/>
      </w:r>
      <w:r>
        <w:rPr>
          <w:rFonts w:ascii="Calibri" w:hAnsi="Calibri"/>
          <w:b/>
          <w:i w:val="0"/>
          <w:color w:val="156082"/>
          <w:sz w:val="21"/>
        </w:rPr>
        <w:t>Provenance.</w:t>
      </w:r>
      <w:r>
        <w:rPr>
          <w:rFonts w:ascii="Calibri" w:hAnsi="Calibri"/>
          <w:b w:val="0"/>
          <w:i w:val="0"/>
          <w:color w:val="222222"/>
          <w:sz w:val="21"/>
        </w:rPr>
        <w:t xml:space="preserve"> The asset build fails if any record's provenance hash disagrees with the manifest.</w:t>
      </w:r>
    </w:p>
    <w:p>
      <w:pPr>
        <w:spacing w:after="120"/>
        <w:ind w:left="432" w:hanging="259"/>
      </w:pPr>
      <w:r>
        <w:rPr>
          <w:rFonts w:ascii="Calibri" w:hAnsi="Calibri"/>
          <w:b w:val="0"/>
          <w:i w:val="0"/>
          <w:color w:val="222222"/>
          <w:sz w:val="21"/>
        </w:rPr>
        <w:t>•</w:t>
        <w:tab/>
      </w:r>
      <w:r>
        <w:rPr>
          <w:rFonts w:ascii="Calibri" w:hAnsi="Calibri"/>
          <w:b/>
          <w:i w:val="0"/>
          <w:color w:val="156082"/>
          <w:sz w:val="21"/>
        </w:rPr>
        <w:t>One feature extractor.</w:t>
      </w:r>
      <w:r>
        <w:rPr>
          <w:rFonts w:ascii="Calibri" w:hAnsi="Calibri"/>
          <w:b w:val="0"/>
          <w:i w:val="0"/>
          <w:color w:val="222222"/>
          <w:sz w:val="21"/>
        </w:rPr>
        <w:t xml:space="preserve"> The twin computes features through the same </w:t>
      </w:r>
      <w:r>
        <w:rPr>
          <w:rFonts w:ascii="Consolas" w:hAnsi="Consolas"/>
          <w:b w:val="0"/>
          <w:i w:val="0"/>
          <w:color w:val="222222"/>
          <w:sz w:val="19"/>
        </w:rPr>
        <w:t>features/mea.py</w:t>
      </w:r>
      <w:r>
        <w:rPr>
          <w:rFonts w:ascii="Calibri" w:hAnsi="Calibri"/>
          <w:b w:val="0"/>
          <w:i w:val="0"/>
          <w:color w:val="222222"/>
          <w:sz w:val="21"/>
        </w:rPr>
        <w:t xml:space="preserve"> as the real recordings and — after a defect that survived several phases — through the same coupling measure on the same per-electrode input.</w:t>
      </w:r>
    </w:p>
    <w:p>
      <w:pPr>
        <w:spacing w:after="120"/>
        <w:ind w:left="432" w:hanging="259"/>
      </w:pPr>
      <w:r>
        <w:rPr>
          <w:rFonts w:ascii="Calibri" w:hAnsi="Calibri"/>
          <w:b w:val="0"/>
          <w:i w:val="0"/>
          <w:color w:val="222222"/>
          <w:sz w:val="21"/>
        </w:rPr>
        <w:t>•</w:t>
        <w:tab/>
      </w:r>
      <w:r>
        <w:rPr>
          <w:rFonts w:ascii="Calibri" w:hAnsi="Calibri"/>
          <w:b/>
          <w:i w:val="0"/>
          <w:color w:val="156082"/>
          <w:sz w:val="21"/>
        </w:rPr>
        <w:t>Interval discipline.</w:t>
      </w:r>
      <w:r>
        <w:rPr>
          <w:rFonts w:ascii="Calibri" w:hAnsi="Calibri"/>
          <w:b w:val="0"/>
          <w:i w:val="0"/>
          <w:color w:val="222222"/>
          <w:sz w:val="21"/>
        </w:rPr>
        <w:t xml:space="preserve"> A contract test fails if any headline metric loses its confidence interval, and the resample count sits next to every estimate.</w:t>
      </w:r>
    </w:p>
    <w:p>
      <w:pPr>
        <w:spacing w:after="120"/>
        <w:ind w:left="432" w:hanging="259"/>
      </w:pPr>
      <w:r>
        <w:rPr>
          <w:rFonts w:ascii="Calibri" w:hAnsi="Calibri"/>
          <w:b w:val="0"/>
          <w:i w:val="0"/>
          <w:color w:val="222222"/>
          <w:sz w:val="21"/>
        </w:rPr>
        <w:t>•</w:t>
        <w:tab/>
      </w:r>
      <w:r>
        <w:rPr>
          <w:rFonts w:ascii="Calibri" w:hAnsi="Calibri"/>
          <w:b/>
          <w:i w:val="0"/>
          <w:color w:val="156082"/>
          <w:sz w:val="21"/>
        </w:rPr>
        <w:t>Cache meaning.</w:t>
      </w:r>
      <w:r>
        <w:rPr>
          <w:rFonts w:ascii="Calibri" w:hAnsi="Calibri"/>
          <w:b w:val="0"/>
          <w:i w:val="0"/>
          <w:color w:val="222222"/>
          <w:sz w:val="21"/>
        </w:rPr>
        <w:t xml:space="preserve"> The simulation cache stores its summary names, electrode count, a hash of the code that defines every summary, and the calibration it was generated under; it refuses to load across a change in any of them.</w:t>
      </w:r>
    </w:p>
    <w:p>
      <w:pPr>
        <w:spacing w:after="120"/>
        <w:ind w:left="432" w:hanging="259"/>
      </w:pPr>
      <w:r>
        <w:rPr>
          <w:rFonts w:ascii="Calibri" w:hAnsi="Calibri"/>
          <w:b w:val="0"/>
          <w:i w:val="0"/>
          <w:color w:val="222222"/>
          <w:sz w:val="21"/>
        </w:rPr>
        <w:t>•</w:t>
        <w:tab/>
      </w:r>
      <w:r>
        <w:rPr>
          <w:rFonts w:ascii="Calibri" w:hAnsi="Calibri"/>
          <w:b/>
          <w:i w:val="0"/>
          <w:color w:val="156082"/>
          <w:sz w:val="21"/>
        </w:rPr>
        <w:t>Report numbers.</w:t>
      </w:r>
      <w:r>
        <w:rPr>
          <w:rFonts w:ascii="Calibri" w:hAnsi="Calibri"/>
          <w:b w:val="0"/>
          <w:i w:val="0"/>
          <w:color w:val="222222"/>
          <w:sz w:val="21"/>
        </w:rPr>
        <w:t xml:space="preserve"> </w:t>
      </w:r>
      <w:r>
        <w:rPr>
          <w:rFonts w:ascii="Consolas" w:hAnsi="Consolas"/>
          <w:b w:val="0"/>
          <w:i w:val="0"/>
          <w:color w:val="222222"/>
          <w:sz w:val="19"/>
        </w:rPr>
        <w:t>neuromps.report.verify</w:t>
      </w:r>
      <w:r>
        <w:rPr>
          <w:rFonts w:ascii="Calibri" w:hAnsi="Calibri"/>
          <w:b w:val="0"/>
          <w:i w:val="0"/>
          <w:color w:val="222222"/>
          <w:sz w:val="21"/>
        </w:rPr>
        <w:t xml:space="preserve"> re-reads every citation in this report and fails on any disagreement.</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claims.</w:t>
      </w:r>
      <w:r>
        <w:rPr>
          <w:rFonts w:ascii="Calibri" w:hAnsi="Calibri"/>
          <w:b w:val="0"/>
          <w:i w:val="0"/>
          <w:color w:val="222222"/>
          <w:sz w:val="21"/>
        </w:rPr>
        <w:t xml:space="preserve"> A test scans the reports for efficacy, diagnostic and treatment language and fails unless the line is a disclaimer ruling it out.</w:t>
      </w:r>
    </w:p>
    <w:p>
      <w:pPr>
        <w:keepNext/>
        <w:spacing w:before="240" w:after="60"/>
      </w:pPr>
      <w:r>
        <w:rPr>
          <w:rFonts w:ascii="Calibri" w:hAnsi="Calibri"/>
          <w:b/>
          <w:i w:val="0"/>
          <w:color w:val="1F4E79"/>
          <w:sz w:val="23"/>
        </w:rPr>
        <w:t>Appendix F &amp; G — Coupling asymmetry proof, and posterior calibration diagnostics</w:t>
      </w:r>
    </w:p>
    <w:p>
      <w:pPr>
        <w:spacing w:after="120"/>
      </w:pPr>
      <w:r>
        <w:rPr>
          <w:rFonts w:ascii="Calibri" w:hAnsi="Calibri"/>
          <w:b/>
          <w:i w:val="0"/>
          <w:color w:val="156082"/>
          <w:sz w:val="21"/>
        </w:rPr>
        <w:t>Appendix F.</w:t>
      </w:r>
      <w:r>
        <w:rPr>
          <w:rFonts w:ascii="Calibri" w:hAnsi="Calibri"/>
          <w:b w:val="0"/>
          <w:i w:val="0"/>
          <w:color w:val="222222"/>
          <w:sz w:val="21"/>
        </w:rPr>
        <w:t xml:space="preserve"> The measure the twin exists to use reports relative firing rate as much as pathway direction. The cleanest demonstration holds the wiring </w:t>
      </w:r>
      <w:r>
        <w:rPr>
          <w:rFonts w:ascii="Calibri" w:hAnsi="Calibri"/>
          <w:b/>
          <w:i w:val="0"/>
          <w:color w:val="222222"/>
          <w:sz w:val="21"/>
        </w:rPr>
        <w:t>fixed</w:t>
      </w:r>
      <w:r>
        <w:rPr>
          <w:rFonts w:ascii="Calibri" w:hAnsi="Calibri"/>
          <w:b w:val="0"/>
          <w:i w:val="0"/>
          <w:color w:val="222222"/>
          <w:sz w:val="21"/>
        </w:rPr>
        <w:t xml:space="preserve"> and changes only the drive: lowering the receiving chamber's background drive moves asymmetry from 0.109 to 0.681 with the pathway unchanged. Across the whole sweep, drive moves the measure further than wiring does: a span of 0.671 against 0.109. Until something rules it out, an open-chamber asymmetry is a statement about which chamber is busier.</w:t>
      </w:r>
    </w:p>
    <w:p>
      <w:pPr>
        <w:keepNext/>
        <w:spacing w:after="120"/>
      </w:pPr>
      <w:r>
        <w:rPr>
          <w:rFonts w:ascii="Calibri" w:hAnsi="Calibri"/>
          <w:b/>
          <w:i w:val="0"/>
          <w:color w:val="156082"/>
          <w:sz w:val="21"/>
        </w:rPr>
        <w:t>Appendix G.</w:t>
      </w:r>
      <w:r>
        <w:rPr>
          <w:rFonts w:ascii="Calibri" w:hAnsi="Calibri"/>
          <w:b w:val="0"/>
          <w:i w:val="0"/>
          <w:color w:val="222222"/>
          <w:sz w:val="21"/>
        </w:rPr>
        <w:t xml:space="preserve"> We trained on 3,000 simulations at the calibrated density, of which 0 produced no spikes. The two parameters that fail rank uniformity are the connectivity parameter and the inhibitory knob — the latter being the one §16 depends on, which is why we do not quote its intervals as calibrated.</w:t>
      </w:r>
    </w:p>
    <w:p>
      <w:pPr>
        <w:keepNext/>
        <w:spacing w:before="120" w:after="40"/>
        <w:jc w:val="center"/>
      </w:pPr>
      <w:r>
        <w:drawing>
          <wp:inline xmlns:a="http://schemas.openxmlformats.org/drawingml/2006/main" xmlns:pic="http://schemas.openxmlformats.org/drawingml/2006/picture">
            <wp:extent cx="5394960" cy="1161991"/>
            <wp:docPr id="28" name="Picture 28"/>
            <wp:cNvGraphicFramePr>
              <a:graphicFrameLocks noChangeAspect="1"/>
            </wp:cNvGraphicFramePr>
            <a:graphic>
              <a:graphicData uri="http://schemas.openxmlformats.org/drawingml/2006/picture">
                <pic:pic>
                  <pic:nvPicPr>
                    <pic:cNvPr id="0" name="hd14_posterior_ranks_simulated.png"/>
                    <pic:cNvPicPr/>
                  </pic:nvPicPr>
                  <pic:blipFill>
                    <a:blip r:embed="rId40"/>
                    <a:stretch>
                      <a:fillRect/>
                    </a:stretch>
                  </pic:blipFill>
                  <pic:spPr>
                    <a:xfrm>
                      <a:off x="0" y="0"/>
                      <a:ext cx="5394960" cy="1161991"/>
                    </a:xfrm>
                    <a:prstGeom prst="rect"/>
                  </pic:spPr>
                </pic:pic>
              </a:graphicData>
            </a:graphic>
          </wp:inline>
        </w:drawing>
      </w:r>
    </w:p>
    <w:p>
      <w:pPr>
        <w:spacing w:after="200"/>
        <w:jc w:val="center"/>
      </w:pPr>
      <w:r>
        <w:rPr>
          <w:rFonts w:ascii="Calibri" w:hAnsi="Calibri"/>
          <w:b/>
          <w:i/>
          <w:color w:val="222222"/>
          <w:sz w:val="17"/>
        </w:rPr>
        <w:t xml:space="preserve">Figure 28. </w:t>
      </w:r>
      <w:r>
        <w:rPr>
          <w:rFonts w:ascii="Calibri" w:hAnsi="Calibri"/>
          <w:b w:val="0"/>
          <w:i/>
          <w:color w:val="222222"/>
          <w:sz w:val="17"/>
        </w:rPr>
        <w:t>SIMULATED posterior calibration: the rank of the true parameter among posterior samples. Flat would be calibrated; these are not.</w:t>
      </w:r>
    </w:p>
    <w:p>
      <w:pPr>
        <w:keepNext/>
        <w:spacing w:after="120"/>
      </w:pPr>
      <w:r>
        <w:rPr>
          <w:rFonts w:ascii="Calibri" w:hAnsi="Calibri"/>
          <w:b w:val="0"/>
          <w:i w:val="0"/>
          <w:color w:val="222222"/>
          <w:sz w:val="21"/>
        </w:rPr>
        <w:t>After round 1 (§16, decision D31) the first-round flow and the five-flow ensemble were judged on the same 1,000 fresh held-out simulations. The ensemble's histograms are flatter and its coverage sits closer to the diagonal, but the U shape of over-confidence remains for four parameters. After the round the figure was redrawn, with its legend moved off the panels, from simulations regenerated with the registered seeds; every recorded calibration statistic of the study was reproduced exactly first (change log, entry 52).</w:t>
      </w:r>
    </w:p>
    <w:p>
      <w:pPr>
        <w:keepNext/>
        <w:spacing w:before="120" w:after="40"/>
        <w:jc w:val="center"/>
      </w:pPr>
      <w:r>
        <w:drawing>
          <wp:inline xmlns:a="http://schemas.openxmlformats.org/drawingml/2006/main" xmlns:pic="http://schemas.openxmlformats.org/drawingml/2006/picture">
            <wp:extent cx="5394960" cy="4016860"/>
            <wp:docPr id="29" name="Picture 29"/>
            <wp:cNvGraphicFramePr>
              <a:graphicFrameLocks noChangeAspect="1"/>
            </wp:cNvGraphicFramePr>
            <a:graphic>
              <a:graphicData uri="http://schemas.openxmlformats.org/drawingml/2006/picture">
                <pic:pic>
                  <pic:nvPicPr>
                    <pic:cNvPr id="0" name="hd14b_recalibration_simulated.png"/>
                    <pic:cNvPicPr/>
                  </pic:nvPicPr>
                  <pic:blipFill>
                    <a:blip r:embed="rId41"/>
                    <a:stretch>
                      <a:fillRect/>
                    </a:stretch>
                  </pic:blipFill>
                  <pic:spPr>
                    <a:xfrm>
                      <a:off x="0" y="0"/>
                      <a:ext cx="5394960" cy="4016860"/>
                    </a:xfrm>
                    <a:prstGeom prst="rect"/>
                  </pic:spPr>
                </pic:pic>
              </a:graphicData>
            </a:graphic>
          </wp:inline>
        </w:drawing>
      </w:r>
    </w:p>
    <w:p>
      <w:pPr>
        <w:spacing w:after="200"/>
        <w:jc w:val="center"/>
      </w:pPr>
      <w:r>
        <w:rPr>
          <w:rFonts w:ascii="Calibri" w:hAnsi="Calibri"/>
          <w:b/>
          <w:i/>
          <w:color w:val="222222"/>
          <w:sz w:val="17"/>
        </w:rPr>
        <w:t xml:space="preserve">Figure 29. </w:t>
      </w:r>
      <w:r>
        <w:rPr>
          <w:rFonts w:ascii="Calibri" w:hAnsi="Calibri"/>
          <w:b w:val="0"/>
          <w:i/>
          <w:color w:val="222222"/>
          <w:sz w:val="17"/>
        </w:rPr>
        <w:t>SIMULATED: the first-round flow (top) and the five-flow ensemble on 15,750 simulations (middle) on 1,000 fresh held-out simulations; grey is the band a calibrated model fills 99% of the time. Bottom: empirical against nominal coverage of central credible intervals for all four estimators.</w:t>
      </w:r>
    </w:p>
    <w:p>
      <w:pPr>
        <w:keepNext/>
        <w:spacing w:before="240" w:after="60"/>
      </w:pPr>
      <w:r>
        <w:rPr>
          <w:rFonts w:ascii="Calibri" w:hAnsi="Calibri"/>
          <w:b/>
          <w:i w:val="0"/>
          <w:color w:val="1F4E79"/>
          <w:sz w:val="23"/>
        </w:rPr>
        <w:t>Appendix H — Quality-control flag registry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546"/>
        <w:gridCol w:w="1128"/>
        <w:gridCol w:w="2074"/>
        <w:gridCol w:w="1748"/>
      </w:tblGrid>
      <w:tr>
        <w:trPr>
          <w:cantSplit/>
          <w:tblHeader/>
        </w:trPr>
        <w:tc>
          <w:tcPr>
            <w:tcW w:type="dxa" w:w="3546"/>
            <w:shd w:val="clear" w:color="auto" w:fill="1F4E79"/>
            <w:vAlign w:val="center"/>
          </w:tcPr>
          <w:p>
            <w:pPr>
              <w:keepNext/>
              <w:spacing w:after="0"/>
            </w:pPr>
            <w:r>
              <w:rPr>
                <w:rFonts w:ascii="Calibri" w:hAnsi="Calibri"/>
                <w:b/>
                <w:i w:val="0"/>
                <w:color w:val="FFFFFF"/>
                <w:sz w:val="20"/>
              </w:rPr>
              <w:t>QC flag</w:t>
            </w:r>
          </w:p>
        </w:tc>
        <w:tc>
          <w:tcPr>
            <w:tcW w:type="dxa" w:w="1128"/>
            <w:shd w:val="clear" w:color="auto" w:fill="1F4E79"/>
            <w:vAlign w:val="center"/>
          </w:tcPr>
          <w:p>
            <w:pPr>
              <w:keepNext/>
              <w:spacing w:after="0"/>
              <w:jc w:val="center"/>
            </w:pPr>
            <w:r>
              <w:rPr>
                <w:rFonts w:ascii="Calibri" w:hAnsi="Calibri"/>
                <w:b/>
                <w:i w:val="0"/>
                <w:color w:val="FFFFFF"/>
                <w:sz w:val="20"/>
              </w:rPr>
              <w:t>affected records</w:t>
            </w:r>
          </w:p>
        </w:tc>
        <w:tc>
          <w:tcPr>
            <w:tcW w:type="dxa" w:w="2074"/>
            <w:shd w:val="clear" w:color="auto" w:fill="1F4E79"/>
            <w:vAlign w:val="center"/>
          </w:tcPr>
          <w:p>
            <w:pPr>
              <w:keepNext/>
              <w:spacing w:after="0"/>
            </w:pPr>
            <w:r>
              <w:rPr>
                <w:rFonts w:ascii="Calibri" w:hAnsi="Calibri"/>
                <w:b/>
                <w:i w:val="0"/>
                <w:color w:val="FFFFFF"/>
                <w:sz w:val="20"/>
              </w:rPr>
              <w:t>identification criteria</w:t>
            </w:r>
          </w:p>
        </w:tc>
        <w:tc>
          <w:tcPr>
            <w:tcW w:type="dxa" w:w="1748"/>
            <w:shd w:val="clear" w:color="auto" w:fill="1F4E79"/>
            <w:vAlign w:val="center"/>
          </w:tcPr>
          <w:p>
            <w:pPr>
              <w:keepNext/>
              <w:spacing w:after="0"/>
            </w:pPr>
            <w:r>
              <w:rPr>
                <w:rFonts w:ascii="Calibri" w:hAnsi="Calibri"/>
                <w:b/>
                <w:i w:val="0"/>
                <w:color w:val="FFFFFF"/>
                <w:sz w:val="20"/>
              </w:rPr>
              <w:t>analytical handling</w:t>
            </w:r>
          </w:p>
        </w:tc>
      </w:tr>
      <w:tr>
        <w:trPr>
          <w:cantSplit/>
        </w:trPr>
        <w:tc>
          <w:tcPr>
            <w:tcW w:type="dxa" w:w="3546"/>
            <w:shd w:val="clear" w:color="auto" w:fill="FFFFFF"/>
            <w:vAlign w:val="center"/>
          </w:tcPr>
          <w:p>
            <w:pPr>
              <w:keepNext/>
              <w:spacing w:after="0"/>
            </w:pPr>
            <w:r>
              <w:rPr>
                <w:rFonts w:ascii="Consolas" w:hAnsi="Consolas"/>
                <w:b/>
                <w:i w:val="0"/>
                <w:color w:val="222222"/>
                <w:sz w:val="18"/>
              </w:rPr>
              <w:t>incomplete_dose_series</w:t>
            </w:r>
          </w:p>
        </w:tc>
        <w:tc>
          <w:tcPr>
            <w:tcW w:type="dxa" w:w="1128"/>
            <w:shd w:val="clear" w:color="auto" w:fill="FFFFFF"/>
            <w:vAlign w:val="center"/>
          </w:tcPr>
          <w:p>
            <w:pPr>
              <w:keepNext/>
              <w:spacing w:after="0"/>
              <w:jc w:val="center"/>
            </w:pPr>
            <w:r>
              <w:rPr>
                <w:rFonts w:ascii="Calibri" w:hAnsi="Calibri"/>
                <w:b w:val="0"/>
                <w:i w:val="0"/>
                <w:color w:val="222222"/>
                <w:sz w:val="20"/>
              </w:rPr>
              <w:t>272</w:t>
            </w:r>
          </w:p>
        </w:tc>
        <w:tc>
          <w:tcPr>
            <w:tcW w:type="dxa" w:w="2074"/>
            <w:shd w:val="clear" w:color="auto" w:fill="FFFFFF"/>
            <w:vAlign w:val="center"/>
          </w:tcPr>
          <w:p>
            <w:pPr>
              <w:keepNext/>
              <w:spacing w:after="0"/>
            </w:pPr>
            <w:r>
              <w:rPr>
                <w:rFonts w:ascii="Calibri" w:hAnsi="Calibri"/>
                <w:b w:val="0"/>
                <w:i w:val="0"/>
                <w:color w:val="222222"/>
                <w:sz w:val="20"/>
              </w:rPr>
              <w:t>concentration series missing intermediate dilution steps</w:t>
            </w:r>
          </w:p>
        </w:tc>
        <w:tc>
          <w:tcPr>
            <w:tcW w:type="dxa" w:w="1748"/>
            <w:shd w:val="clear" w:color="auto" w:fill="FFFFFF"/>
            <w:vAlign w:val="center"/>
          </w:tcPr>
          <w:p>
            <w:pPr>
              <w:keepNext/>
              <w:spacing w:after="0"/>
            </w:pPr>
            <w:r>
              <w:rPr>
                <w:rFonts w:ascii="Calibri" w:hAnsi="Calibri"/>
                <w:b w:val="0"/>
                <w:i w:val="0"/>
                <w:color w:val="222222"/>
                <w:sz w:val="20"/>
              </w:rPr>
              <w:t>flagged; excluded from monotonic dose sweeps</w:t>
            </w:r>
          </w:p>
        </w:tc>
      </w:tr>
      <w:tr>
        <w:trPr>
          <w:cantSplit/>
        </w:trPr>
        <w:tc>
          <w:tcPr>
            <w:tcW w:type="dxa" w:w="3546"/>
            <w:shd w:val="clear" w:color="auto" w:fill="F7F9FB"/>
            <w:vAlign w:val="center"/>
          </w:tcPr>
          <w:p>
            <w:pPr>
              <w:keepNext/>
              <w:spacing w:after="0"/>
            </w:pPr>
            <w:r>
              <w:rPr>
                <w:rFonts w:ascii="Consolas" w:hAnsi="Consolas"/>
                <w:b/>
                <w:i w:val="0"/>
                <w:color w:val="222222"/>
                <w:sz w:val="18"/>
              </w:rPr>
              <w:t>too_few_active_electrodes</w:t>
            </w:r>
          </w:p>
        </w:tc>
        <w:tc>
          <w:tcPr>
            <w:tcW w:type="dxa" w:w="1128"/>
            <w:shd w:val="clear" w:color="auto" w:fill="F7F9FB"/>
            <w:vAlign w:val="center"/>
          </w:tcPr>
          <w:p>
            <w:pPr>
              <w:keepNext/>
              <w:spacing w:after="0"/>
              <w:jc w:val="center"/>
            </w:pPr>
            <w:r>
              <w:rPr>
                <w:rFonts w:ascii="Calibri" w:hAnsi="Calibri"/>
                <w:b w:val="0"/>
                <w:i w:val="0"/>
                <w:color w:val="222222"/>
                <w:sz w:val="20"/>
              </w:rPr>
              <w:t>265</w:t>
            </w:r>
          </w:p>
        </w:tc>
        <w:tc>
          <w:tcPr>
            <w:tcW w:type="dxa" w:w="2074"/>
            <w:shd w:val="clear" w:color="auto" w:fill="F7F9FB"/>
            <w:vAlign w:val="center"/>
          </w:tcPr>
          <w:p>
            <w:pPr>
              <w:keepNext/>
              <w:spacing w:after="0"/>
            </w:pPr>
            <w:r>
              <w:rPr>
                <w:rFonts w:ascii="Calibri" w:hAnsi="Calibri"/>
                <w:b w:val="0"/>
                <w:i w:val="0"/>
                <w:color w:val="222222"/>
                <w:sz w:val="20"/>
              </w:rPr>
              <w:t>fewer than 10 electrodes clearing 5 spikes/min</w:t>
            </w:r>
          </w:p>
        </w:tc>
        <w:tc>
          <w:tcPr>
            <w:tcW w:type="dxa" w:w="1748"/>
            <w:shd w:val="clear" w:color="auto" w:fill="F7F9FB"/>
            <w:vAlign w:val="center"/>
          </w:tcPr>
          <w:p>
            <w:pPr>
              <w:keepNext/>
              <w:spacing w:after="0"/>
            </w:pPr>
            <w:r>
              <w:rPr>
                <w:rFonts w:ascii="Calibri" w:hAnsi="Calibri"/>
                <w:b w:val="0"/>
                <w:i w:val="0"/>
                <w:color w:val="222222"/>
                <w:sz w:val="20"/>
              </w:rPr>
              <w:t>flagged; preserved in the data asset</w:t>
            </w:r>
          </w:p>
        </w:tc>
      </w:tr>
      <w:tr>
        <w:trPr>
          <w:cantSplit/>
        </w:trPr>
        <w:tc>
          <w:tcPr>
            <w:tcW w:type="dxa" w:w="3546"/>
            <w:shd w:val="clear" w:color="auto" w:fill="FFFFFF"/>
            <w:vAlign w:val="center"/>
          </w:tcPr>
          <w:p>
            <w:pPr>
              <w:keepNext/>
              <w:spacing w:after="0"/>
            </w:pPr>
            <w:r>
              <w:rPr>
                <w:rFonts w:ascii="Consolas" w:hAnsi="Consolas"/>
                <w:b/>
                <w:i w:val="0"/>
                <w:color w:val="222222"/>
                <w:sz w:val="18"/>
              </w:rPr>
              <w:t>replicate_divergence</w:t>
            </w:r>
          </w:p>
        </w:tc>
        <w:tc>
          <w:tcPr>
            <w:tcW w:type="dxa" w:w="1128"/>
            <w:shd w:val="clear" w:color="auto" w:fill="FFFFFF"/>
            <w:vAlign w:val="center"/>
          </w:tcPr>
          <w:p>
            <w:pPr>
              <w:keepNext/>
              <w:spacing w:after="0"/>
              <w:jc w:val="center"/>
            </w:pPr>
            <w:r>
              <w:rPr>
                <w:rFonts w:ascii="Calibri" w:hAnsi="Calibri"/>
                <w:b w:val="0"/>
                <w:i w:val="0"/>
                <w:color w:val="222222"/>
                <w:sz w:val="20"/>
              </w:rPr>
              <w:t>221</w:t>
            </w:r>
          </w:p>
        </w:tc>
        <w:tc>
          <w:tcPr>
            <w:tcW w:type="dxa" w:w="2074"/>
            <w:shd w:val="clear" w:color="auto" w:fill="FFFFFF"/>
            <w:vAlign w:val="center"/>
          </w:tcPr>
          <w:p>
            <w:pPr>
              <w:keepNext/>
              <w:spacing w:after="0"/>
            </w:pPr>
            <w:r>
              <w:rPr>
                <w:rFonts w:ascii="Calibri" w:hAnsi="Calibri"/>
                <w:b w:val="0"/>
                <w:i w:val="0"/>
                <w:color w:val="222222"/>
                <w:sz w:val="20"/>
              </w:rPr>
              <w:t>well deviates more than 3σ from its culture replicate cohort</w:t>
            </w:r>
          </w:p>
        </w:tc>
        <w:tc>
          <w:tcPr>
            <w:tcW w:type="dxa" w:w="1748"/>
            <w:shd w:val="clear" w:color="auto" w:fill="FFFFFF"/>
            <w:vAlign w:val="center"/>
          </w:tcPr>
          <w:p>
            <w:pPr>
              <w:keepNext/>
              <w:spacing w:after="0"/>
            </w:pPr>
            <w:r>
              <w:rPr>
                <w:rFonts w:ascii="Calibri" w:hAnsi="Calibri"/>
                <w:b w:val="0"/>
                <w:i w:val="0"/>
                <w:color w:val="222222"/>
                <w:sz w:val="20"/>
              </w:rPr>
              <w:t>flagged; logged in metadata</w:t>
            </w:r>
          </w:p>
        </w:tc>
      </w:tr>
      <w:tr>
        <w:trPr>
          <w:cantSplit/>
        </w:trPr>
        <w:tc>
          <w:tcPr>
            <w:tcW w:type="dxa" w:w="3546"/>
            <w:shd w:val="clear" w:color="auto" w:fill="F7F9FB"/>
            <w:vAlign w:val="center"/>
          </w:tcPr>
          <w:p>
            <w:pPr>
              <w:keepNext/>
              <w:spacing w:after="0"/>
            </w:pPr>
            <w:r>
              <w:rPr>
                <w:rFonts w:ascii="Consolas" w:hAnsi="Consolas"/>
                <w:b/>
                <w:i w:val="0"/>
                <w:color w:val="222222"/>
                <w:sz w:val="18"/>
              </w:rPr>
              <w:t>outlier_feature_value</w:t>
            </w:r>
          </w:p>
        </w:tc>
        <w:tc>
          <w:tcPr>
            <w:tcW w:type="dxa" w:w="1128"/>
            <w:shd w:val="clear" w:color="auto" w:fill="F7F9FB"/>
            <w:vAlign w:val="center"/>
          </w:tcPr>
          <w:p>
            <w:pPr>
              <w:keepNext/>
              <w:spacing w:after="0"/>
              <w:jc w:val="center"/>
            </w:pPr>
            <w:r>
              <w:rPr>
                <w:rFonts w:ascii="Calibri" w:hAnsi="Calibri"/>
                <w:b w:val="0"/>
                <w:i w:val="0"/>
                <w:color w:val="222222"/>
                <w:sz w:val="20"/>
              </w:rPr>
              <w:t>221</w:t>
            </w:r>
          </w:p>
        </w:tc>
        <w:tc>
          <w:tcPr>
            <w:tcW w:type="dxa" w:w="2074"/>
            <w:shd w:val="clear" w:color="auto" w:fill="F7F9FB"/>
            <w:vAlign w:val="center"/>
          </w:tcPr>
          <w:p>
            <w:pPr>
              <w:keepNext/>
              <w:spacing w:after="0"/>
            </w:pPr>
            <w:r>
              <w:rPr>
                <w:rFonts w:ascii="Calibri" w:hAnsi="Calibri"/>
                <w:b w:val="0"/>
                <w:i w:val="0"/>
                <w:color w:val="222222"/>
                <w:sz w:val="20"/>
              </w:rPr>
              <w:t>feature value outside the acceptable biological distribution</w:t>
            </w:r>
          </w:p>
        </w:tc>
        <w:tc>
          <w:tcPr>
            <w:tcW w:type="dxa" w:w="1748"/>
            <w:shd w:val="clear" w:color="auto" w:fill="F7F9FB"/>
            <w:vAlign w:val="center"/>
          </w:tcPr>
          <w:p>
            <w:pPr>
              <w:keepNext/>
              <w:spacing w:after="0"/>
            </w:pPr>
            <w:r>
              <w:rPr>
                <w:rFonts w:ascii="Calibri" w:hAnsi="Calibri"/>
                <w:b w:val="0"/>
                <w:i w:val="0"/>
                <w:color w:val="222222"/>
                <w:sz w:val="20"/>
              </w:rPr>
              <w:t>flagged; excluded from density fitting</w:t>
            </w:r>
          </w:p>
        </w:tc>
      </w:tr>
      <w:tr>
        <w:trPr>
          <w:cantSplit/>
        </w:trPr>
        <w:tc>
          <w:tcPr>
            <w:tcW w:type="dxa" w:w="3546"/>
            <w:shd w:val="clear" w:color="auto" w:fill="FFFFFF"/>
            <w:vAlign w:val="center"/>
          </w:tcPr>
          <w:p>
            <w:pPr>
              <w:keepNext/>
              <w:spacing w:after="0"/>
            </w:pPr>
            <w:r>
              <w:rPr>
                <w:rFonts w:ascii="Consolas" w:hAnsi="Consolas"/>
                <w:b/>
                <w:i w:val="0"/>
                <w:color w:val="222222"/>
                <w:sz w:val="18"/>
              </w:rPr>
              <w:t>excluded_well_upstream</w:t>
            </w:r>
          </w:p>
        </w:tc>
        <w:tc>
          <w:tcPr>
            <w:tcW w:type="dxa" w:w="1128"/>
            <w:shd w:val="clear" w:color="auto" w:fill="FFFFFF"/>
            <w:vAlign w:val="center"/>
          </w:tcPr>
          <w:p>
            <w:pPr>
              <w:keepNext/>
              <w:spacing w:after="0"/>
              <w:jc w:val="center"/>
            </w:pPr>
            <w:r>
              <w:rPr>
                <w:rFonts w:ascii="Calibri" w:hAnsi="Calibri"/>
                <w:b w:val="0"/>
                <w:i w:val="0"/>
                <w:color w:val="222222"/>
                <w:sz w:val="20"/>
              </w:rPr>
              <w:t>90</w:t>
            </w:r>
          </w:p>
        </w:tc>
        <w:tc>
          <w:tcPr>
            <w:tcW w:type="dxa" w:w="2074"/>
            <w:shd w:val="clear" w:color="auto" w:fill="FFFFFF"/>
            <w:vAlign w:val="center"/>
          </w:tcPr>
          <w:p>
            <w:pPr>
              <w:keepNext/>
              <w:spacing w:after="0"/>
            </w:pPr>
            <w:r>
              <w:rPr>
                <w:rFonts w:ascii="Calibri" w:hAnsi="Calibri"/>
                <w:b w:val="0"/>
                <w:i w:val="0"/>
                <w:color w:val="222222"/>
                <w:sz w:val="20"/>
              </w:rPr>
              <w:t>source laboratory marked the well defective</w:t>
            </w:r>
          </w:p>
        </w:tc>
        <w:tc>
          <w:tcPr>
            <w:tcW w:type="dxa" w:w="1748"/>
            <w:shd w:val="clear" w:color="auto" w:fill="FFFFFF"/>
            <w:vAlign w:val="center"/>
          </w:tcPr>
          <w:p>
            <w:pPr>
              <w:keepNext/>
              <w:spacing w:after="0"/>
            </w:pPr>
            <w:r>
              <w:rPr>
                <w:rFonts w:ascii="Calibri" w:hAnsi="Calibri"/>
                <w:b w:val="0"/>
                <w:i w:val="0"/>
                <w:color w:val="222222"/>
                <w:sz w:val="20"/>
              </w:rPr>
              <w:t>flagged; excluded from benchmarks</w:t>
            </w:r>
          </w:p>
        </w:tc>
      </w:tr>
      <w:tr>
        <w:trPr>
          <w:cantSplit/>
        </w:trPr>
        <w:tc>
          <w:tcPr>
            <w:tcW w:type="dxa" w:w="3546"/>
            <w:shd w:val="clear" w:color="auto" w:fill="F7F9FB"/>
            <w:vAlign w:val="center"/>
          </w:tcPr>
          <w:p>
            <w:pPr>
              <w:keepNext/>
              <w:spacing w:after="0"/>
            </w:pPr>
            <w:r>
              <w:rPr>
                <w:rFonts w:ascii="Consolas" w:hAnsi="Consolas"/>
                <w:b/>
                <w:i w:val="0"/>
                <w:color w:val="222222"/>
                <w:sz w:val="18"/>
              </w:rPr>
              <w:t>missing_baseline_pair</w:t>
            </w:r>
          </w:p>
        </w:tc>
        <w:tc>
          <w:tcPr>
            <w:tcW w:type="dxa" w:w="1128"/>
            <w:shd w:val="clear" w:color="auto" w:fill="F7F9FB"/>
            <w:vAlign w:val="center"/>
          </w:tcPr>
          <w:p>
            <w:pPr>
              <w:keepNext/>
              <w:spacing w:after="0"/>
              <w:jc w:val="center"/>
            </w:pPr>
            <w:r>
              <w:rPr>
                <w:rFonts w:ascii="Calibri" w:hAnsi="Calibri"/>
                <w:b w:val="0"/>
                <w:i w:val="0"/>
                <w:color w:val="222222"/>
                <w:sz w:val="20"/>
              </w:rPr>
              <w:t>24</w:t>
            </w:r>
          </w:p>
        </w:tc>
        <w:tc>
          <w:tcPr>
            <w:tcW w:type="dxa" w:w="2074"/>
            <w:shd w:val="clear" w:color="auto" w:fill="F7F9FB"/>
            <w:vAlign w:val="center"/>
          </w:tcPr>
          <w:p>
            <w:pPr>
              <w:keepNext/>
              <w:spacing w:after="0"/>
            </w:pPr>
            <w:r>
              <w:rPr>
                <w:rFonts w:ascii="Calibri" w:hAnsi="Calibri"/>
                <w:b w:val="0"/>
                <w:i w:val="0"/>
                <w:color w:val="222222"/>
                <w:sz w:val="20"/>
              </w:rPr>
              <w:t>no baseline recording on the same well</w:t>
            </w:r>
          </w:p>
        </w:tc>
        <w:tc>
          <w:tcPr>
            <w:tcW w:type="dxa" w:w="1748"/>
            <w:shd w:val="clear" w:color="auto" w:fill="F7F9FB"/>
            <w:vAlign w:val="center"/>
          </w:tcPr>
          <w:p>
            <w:pPr>
              <w:keepNext/>
              <w:spacing w:after="0"/>
            </w:pPr>
            <w:r>
              <w:rPr>
                <w:rFonts w:ascii="Calibri" w:hAnsi="Calibri"/>
                <w:b w:val="0"/>
                <w:i w:val="0"/>
                <w:color w:val="222222"/>
                <w:sz w:val="20"/>
              </w:rPr>
              <w:t>flagged; cannot enter a paired-delta model</w:t>
            </w:r>
          </w:p>
        </w:tc>
      </w:tr>
      <w:tr>
        <w:trPr>
          <w:cantSplit/>
        </w:trPr>
        <w:tc>
          <w:tcPr>
            <w:tcW w:type="dxa" w:w="3546"/>
            <w:shd w:val="clear" w:color="auto" w:fill="FFFFFF"/>
            <w:vAlign w:val="center"/>
          </w:tcPr>
          <w:p>
            <w:pPr>
              <w:keepNext/>
              <w:spacing w:after="0"/>
            </w:pPr>
            <w:r>
              <w:rPr>
                <w:rFonts w:ascii="Consolas" w:hAnsi="Consolas"/>
                <w:b/>
                <w:i w:val="0"/>
                <w:color w:val="222222"/>
                <w:sz w:val="18"/>
              </w:rPr>
              <w:t>noisy_electrodes_present</w:t>
            </w:r>
          </w:p>
        </w:tc>
        <w:tc>
          <w:tcPr>
            <w:tcW w:type="dxa" w:w="1128"/>
            <w:shd w:val="clear" w:color="auto" w:fill="FFFFFF"/>
            <w:vAlign w:val="center"/>
          </w:tcPr>
          <w:p>
            <w:pPr>
              <w:keepNext/>
              <w:spacing w:after="0"/>
              <w:jc w:val="center"/>
            </w:pPr>
            <w:r>
              <w:rPr>
                <w:rFonts w:ascii="Calibri" w:hAnsi="Calibri"/>
                <w:b w:val="0"/>
                <w:i w:val="0"/>
                <w:color w:val="222222"/>
                <w:sz w:val="20"/>
              </w:rPr>
              <w:t>11</w:t>
            </w:r>
          </w:p>
        </w:tc>
        <w:tc>
          <w:tcPr>
            <w:tcW w:type="dxa" w:w="2074"/>
            <w:shd w:val="clear" w:color="auto" w:fill="FFFFFF"/>
            <w:vAlign w:val="center"/>
          </w:tcPr>
          <w:p>
            <w:pPr>
              <w:keepNext/>
              <w:spacing w:after="0"/>
            </w:pPr>
            <w:r>
              <w:rPr>
                <w:rFonts w:ascii="Calibri" w:hAnsi="Calibri"/>
                <w:b w:val="0"/>
                <w:i w:val="0"/>
                <w:color w:val="222222"/>
                <w:sz w:val="20"/>
              </w:rPr>
              <w:t>significant mechanical or electrical artifact</w:t>
            </w:r>
          </w:p>
        </w:tc>
        <w:tc>
          <w:tcPr>
            <w:tcW w:type="dxa" w:w="1748"/>
            <w:shd w:val="clear" w:color="auto" w:fill="FFFFFF"/>
            <w:vAlign w:val="center"/>
          </w:tcPr>
          <w:p>
            <w:pPr>
              <w:keepNext/>
              <w:spacing w:after="0"/>
            </w:pPr>
            <w:r>
              <w:rPr>
                <w:rFonts w:ascii="Calibri" w:hAnsi="Calibri"/>
                <w:b w:val="0"/>
                <w:i w:val="0"/>
                <w:color w:val="222222"/>
                <w:sz w:val="20"/>
              </w:rPr>
              <w:t>flagged; isolated during ingestion</w:t>
            </w:r>
          </w:p>
        </w:tc>
      </w:tr>
      <w:tr>
        <w:trPr>
          <w:cantSplit/>
        </w:trPr>
        <w:tc>
          <w:tcPr>
            <w:tcW w:type="dxa" w:w="3546"/>
            <w:shd w:val="clear" w:color="auto" w:fill="F7F9FB"/>
            <w:vAlign w:val="center"/>
          </w:tcPr>
          <w:p>
            <w:pPr>
              <w:keepNext w:val="0"/>
              <w:spacing w:after="0"/>
            </w:pPr>
            <w:r>
              <w:rPr>
                <w:rFonts w:ascii="Consolas" w:hAnsi="Consolas"/>
                <w:b/>
                <w:i w:val="0"/>
                <w:color w:val="222222"/>
                <w:sz w:val="18"/>
              </w:rPr>
              <w:t>unreadable_channels</w:t>
            </w:r>
          </w:p>
        </w:tc>
        <w:tc>
          <w:tcPr>
            <w:tcW w:type="dxa" w:w="1128"/>
            <w:shd w:val="clear" w:color="auto" w:fill="F7F9FB"/>
            <w:vAlign w:val="center"/>
          </w:tcPr>
          <w:p>
            <w:pPr>
              <w:keepNext w:val="0"/>
              <w:spacing w:after="0"/>
              <w:jc w:val="center"/>
            </w:pPr>
            <w:r>
              <w:rPr>
                <w:rFonts w:ascii="Calibri" w:hAnsi="Calibri"/>
                <w:b w:val="0"/>
                <w:i w:val="0"/>
                <w:color w:val="222222"/>
                <w:sz w:val="20"/>
              </w:rPr>
              <w:t>2</w:t>
            </w:r>
          </w:p>
        </w:tc>
        <w:tc>
          <w:tcPr>
            <w:tcW w:type="dxa" w:w="2074"/>
            <w:shd w:val="clear" w:color="auto" w:fill="F7F9FB"/>
            <w:vAlign w:val="center"/>
          </w:tcPr>
          <w:p>
            <w:pPr>
              <w:keepNext w:val="0"/>
              <w:spacing w:after="0"/>
            </w:pPr>
            <w:r>
              <w:rPr>
                <w:rFonts w:ascii="Calibri" w:hAnsi="Calibri"/>
                <w:b w:val="0"/>
                <w:i w:val="0"/>
                <w:color w:val="222222"/>
                <w:sz w:val="20"/>
              </w:rPr>
              <w:t>channel could not be decoded from the deposit</w:t>
            </w:r>
          </w:p>
        </w:tc>
        <w:tc>
          <w:tcPr>
            <w:tcW w:type="dxa" w:w="1748"/>
            <w:shd w:val="clear" w:color="auto" w:fill="F7F9FB"/>
            <w:vAlign w:val="center"/>
          </w:tcPr>
          <w:p>
            <w:pPr>
              <w:keepNext w:val="0"/>
              <w:spacing w:after="0"/>
            </w:pPr>
            <w:r>
              <w:rPr>
                <w:rFonts w:ascii="Calibri" w:hAnsi="Calibri"/>
                <w:b w:val="0"/>
                <w:i w:val="0"/>
                <w:color w:val="222222"/>
                <w:sz w:val="20"/>
              </w:rPr>
              <w:t>flagged; channel dropped</w:t>
            </w:r>
          </w:p>
        </w:tc>
      </w:tr>
    </w:tbl>
    <w:p>
      <w:pPr>
        <w:spacing w:after="80"/>
      </w:pPr>
    </w:p>
    <w:p>
      <w:pPr>
        <w:keepNext/>
        <w:spacing w:before="240" w:after="60"/>
      </w:pPr>
      <w:r>
        <w:rPr>
          <w:rFonts w:ascii="Calibri" w:hAnsi="Calibri"/>
          <w:b/>
          <w:i w:val="0"/>
          <w:color w:val="1F4E79"/>
          <w:sz w:val="23"/>
        </w:rPr>
        <w:t>Appendix I — Digital twin forward-model parameters</w:t>
      </w:r>
    </w:p>
    <w:p>
      <w:pPr>
        <w:keepNext/>
        <w:spacing w:after="120"/>
      </w:pPr>
      <w:r>
        <w:rPr>
          <w:rFonts w:ascii="Calibri" w:hAnsi="Calibri"/>
          <w:b w:val="0"/>
          <w:i w:val="0"/>
          <w:color w:val="222222"/>
          <w:sz w:val="21"/>
        </w:rPr>
        <w:t>Calibrated values are the chosen draw from the §13 search; held values were fixed and not searched.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882"/>
        <w:gridCol w:w="2244"/>
        <w:gridCol w:w="1276"/>
        <w:gridCol w:w="2094"/>
      </w:tblGrid>
      <w:tr>
        <w:trPr>
          <w:cantSplit/>
          <w:tblHeader/>
        </w:trPr>
        <w:tc>
          <w:tcPr>
            <w:tcW w:type="dxa" w:w="2882"/>
            <w:shd w:val="clear" w:color="auto" w:fill="1F4E79"/>
            <w:vAlign w:val="center"/>
          </w:tcPr>
          <w:p>
            <w:pPr>
              <w:keepNext/>
              <w:spacing w:after="0"/>
            </w:pPr>
            <w:r>
              <w:rPr>
                <w:rFonts w:ascii="Calibri" w:hAnsi="Calibri"/>
                <w:b/>
                <w:i w:val="0"/>
                <w:color w:val="FFFFFF"/>
                <w:sz w:val="20"/>
              </w:rPr>
              <w:t>parameter</w:t>
            </w:r>
          </w:p>
        </w:tc>
        <w:tc>
          <w:tcPr>
            <w:tcW w:type="dxa" w:w="2244"/>
            <w:shd w:val="clear" w:color="auto" w:fill="1F4E79"/>
            <w:vAlign w:val="center"/>
          </w:tcPr>
          <w:p>
            <w:pPr>
              <w:keepNext/>
              <w:spacing w:after="0"/>
            </w:pPr>
            <w:r>
              <w:rPr>
                <w:rFonts w:ascii="Calibri" w:hAnsi="Calibri"/>
                <w:b/>
                <w:i w:val="0"/>
                <w:color w:val="FFFFFF"/>
                <w:sz w:val="20"/>
              </w:rPr>
              <w:t>role</w:t>
            </w:r>
          </w:p>
        </w:tc>
        <w:tc>
          <w:tcPr>
            <w:tcW w:type="dxa" w:w="1276"/>
            <w:shd w:val="clear" w:color="auto" w:fill="1F4E79"/>
            <w:vAlign w:val="center"/>
          </w:tcPr>
          <w:p>
            <w:pPr>
              <w:keepNext/>
              <w:spacing w:after="0"/>
            </w:pPr>
            <w:r>
              <w:rPr>
                <w:rFonts w:ascii="Calibri" w:hAnsi="Calibri"/>
                <w:b/>
                <w:i w:val="0"/>
                <w:color w:val="FFFFFF"/>
                <w:sz w:val="20"/>
              </w:rPr>
              <w:t>calibrated value</w:t>
            </w:r>
          </w:p>
        </w:tc>
        <w:tc>
          <w:tcPr>
            <w:tcW w:type="dxa" w:w="2094"/>
            <w:shd w:val="clear" w:color="auto" w:fill="1F4E79"/>
            <w:vAlign w:val="center"/>
          </w:tcPr>
          <w:p>
            <w:pPr>
              <w:keepNext/>
              <w:spacing w:after="0"/>
            </w:pPr>
            <w:r>
              <w:rPr>
                <w:rFonts w:ascii="Calibri" w:hAnsi="Calibri"/>
                <w:b/>
                <w:i w:val="0"/>
                <w:color w:val="FFFFFF"/>
                <w:sz w:val="20"/>
              </w:rPr>
              <w:t>how it was set</w:t>
            </w:r>
          </w:p>
        </w:tc>
      </w:tr>
      <w:tr>
        <w:trPr>
          <w:cantSplit/>
        </w:trPr>
        <w:tc>
          <w:tcPr>
            <w:tcW w:type="dxa" w:w="2882"/>
            <w:shd w:val="clear" w:color="auto" w:fill="FFFFFF"/>
            <w:vAlign w:val="center"/>
          </w:tcPr>
          <w:p>
            <w:pPr>
              <w:keepNext/>
              <w:spacing w:after="0"/>
            </w:pPr>
            <w:r>
              <w:rPr>
                <w:rFonts w:ascii="Consolas" w:hAnsi="Consolas"/>
                <w:b/>
                <w:i w:val="0"/>
                <w:color w:val="222222"/>
                <w:sz w:val="18"/>
              </w:rPr>
              <w:t>n_per_compartment</w:t>
            </w:r>
          </w:p>
        </w:tc>
        <w:tc>
          <w:tcPr>
            <w:tcW w:type="dxa" w:w="2244"/>
            <w:shd w:val="clear" w:color="auto" w:fill="FFFFFF"/>
            <w:vAlign w:val="center"/>
          </w:tcPr>
          <w:p>
            <w:pPr>
              <w:keepNext/>
              <w:spacing w:after="0"/>
            </w:pPr>
            <w:r>
              <w:rPr>
                <w:rFonts w:ascii="Calibri" w:hAnsi="Calibri"/>
                <w:b w:val="0"/>
                <w:i w:val="0"/>
                <w:color w:val="222222"/>
                <w:sz w:val="20"/>
              </w:rPr>
              <w:t>plating cell density per chamber</w:t>
            </w:r>
          </w:p>
        </w:tc>
        <w:tc>
          <w:tcPr>
            <w:tcW w:type="dxa" w:w="1276"/>
            <w:shd w:val="clear" w:color="auto" w:fill="FFFFFF"/>
            <w:vAlign w:val="center"/>
          </w:tcPr>
          <w:p>
            <w:pPr>
              <w:keepNext/>
              <w:spacing w:after="0"/>
            </w:pPr>
            <w:r>
              <w:rPr>
                <w:rFonts w:ascii="Calibri" w:hAnsi="Calibri"/>
                <w:b w:val="0"/>
                <w:i w:val="0"/>
                <w:color w:val="222222"/>
                <w:sz w:val="20"/>
              </w:rPr>
              <w:t>967 neurons</w:t>
            </w:r>
          </w:p>
        </w:tc>
        <w:tc>
          <w:tcPr>
            <w:tcW w:type="dxa" w:w="2094"/>
            <w:shd w:val="clear" w:color="auto" w:fill="FFFFFF"/>
            <w:vAlign w:val="center"/>
          </w:tcPr>
          <w:p>
            <w:pPr>
              <w:keepNext/>
              <w:spacing w:after="0"/>
            </w:pPr>
            <w:r>
              <w:rPr>
                <w:rFonts w:ascii="Calibri" w:hAnsi="Calibri"/>
                <w:b w:val="0"/>
                <w:i w:val="0"/>
                <w:color w:val="222222"/>
                <w:sz w:val="20"/>
              </w:rPr>
              <w:t>calibrated, searched over 250–1500</w:t>
            </w:r>
          </w:p>
        </w:tc>
      </w:tr>
      <w:tr>
        <w:trPr>
          <w:cantSplit/>
        </w:trPr>
        <w:tc>
          <w:tcPr>
            <w:tcW w:type="dxa" w:w="2882"/>
            <w:shd w:val="clear" w:color="auto" w:fill="F7F9FB"/>
            <w:vAlign w:val="center"/>
          </w:tcPr>
          <w:p>
            <w:pPr>
              <w:keepNext/>
              <w:spacing w:after="0"/>
            </w:pPr>
            <w:r>
              <w:rPr>
                <w:rFonts w:ascii="Consolas" w:hAnsi="Consolas"/>
                <w:b/>
                <w:i w:val="0"/>
                <w:color w:val="222222"/>
                <w:sz w:val="18"/>
              </w:rPr>
              <w:t>detection_radius_um</w:t>
            </w:r>
          </w:p>
        </w:tc>
        <w:tc>
          <w:tcPr>
            <w:tcW w:type="dxa" w:w="2244"/>
            <w:shd w:val="clear" w:color="auto" w:fill="F7F9FB"/>
            <w:vAlign w:val="center"/>
          </w:tcPr>
          <w:p>
            <w:pPr>
              <w:keepNext/>
              <w:spacing w:after="0"/>
            </w:pPr>
            <w:r>
              <w:rPr>
                <w:rFonts w:ascii="Calibri" w:hAnsi="Calibri"/>
                <w:b w:val="0"/>
                <w:i w:val="0"/>
                <w:color w:val="222222"/>
                <w:sz w:val="20"/>
              </w:rPr>
              <w:t>virtual electrode listening catchment</w:t>
            </w:r>
          </w:p>
        </w:tc>
        <w:tc>
          <w:tcPr>
            <w:tcW w:type="dxa" w:w="1276"/>
            <w:shd w:val="clear" w:color="auto" w:fill="F7F9FB"/>
            <w:vAlign w:val="center"/>
          </w:tcPr>
          <w:p>
            <w:pPr>
              <w:keepNext/>
              <w:spacing w:after="0"/>
            </w:pPr>
            <w:r>
              <w:rPr>
                <w:rFonts w:ascii="Calibri" w:hAnsi="Calibri"/>
                <w:b w:val="0"/>
                <w:i w:val="0"/>
                <w:color w:val="222222"/>
                <w:sz w:val="20"/>
              </w:rPr>
              <w:t>92.5135 µm</w:t>
            </w:r>
          </w:p>
        </w:tc>
        <w:tc>
          <w:tcPr>
            <w:tcW w:type="dxa" w:w="2094"/>
            <w:shd w:val="clear" w:color="auto" w:fill="F7F9FB"/>
            <w:vAlign w:val="center"/>
          </w:tcPr>
          <w:p>
            <w:pPr>
              <w:keepNext/>
              <w:spacing w:after="0"/>
            </w:pPr>
            <w:r>
              <w:rPr>
                <w:rFonts w:ascii="Calibri" w:hAnsi="Calibri"/>
                <w:b w:val="0"/>
                <w:i w:val="0"/>
                <w:color w:val="222222"/>
                <w:sz w:val="20"/>
              </w:rPr>
              <w:t>calibrated, searched over 40–100 µm, capped at half the electrode pitch</w:t>
            </w:r>
          </w:p>
        </w:tc>
      </w:tr>
      <w:tr>
        <w:trPr>
          <w:cantSplit/>
        </w:trPr>
        <w:tc>
          <w:tcPr>
            <w:tcW w:type="dxa" w:w="2882"/>
            <w:shd w:val="clear" w:color="auto" w:fill="FFFFFF"/>
            <w:vAlign w:val="center"/>
          </w:tcPr>
          <w:p>
            <w:pPr>
              <w:keepNext/>
              <w:spacing w:after="0"/>
            </w:pPr>
            <w:r>
              <w:rPr>
                <w:rFonts w:ascii="Consolas" w:hAnsi="Consolas"/>
                <w:b/>
                <w:i w:val="0"/>
                <w:color w:val="222222"/>
                <w:sz w:val="18"/>
              </w:rPr>
              <w:t>intra_in_degree</w:t>
            </w:r>
          </w:p>
        </w:tc>
        <w:tc>
          <w:tcPr>
            <w:tcW w:type="dxa" w:w="2244"/>
            <w:shd w:val="clear" w:color="auto" w:fill="FFFFFF"/>
            <w:vAlign w:val="center"/>
          </w:tcPr>
          <w:p>
            <w:pPr>
              <w:keepNext/>
              <w:spacing w:after="0"/>
            </w:pPr>
            <w:r>
              <w:rPr>
                <w:rFonts w:ascii="Calibri" w:hAnsi="Calibri"/>
                <w:b w:val="0"/>
                <w:i w:val="0"/>
                <w:color w:val="222222"/>
                <w:sz w:val="20"/>
              </w:rPr>
              <w:t>recurrent local synaptic inputs</w:t>
            </w:r>
          </w:p>
        </w:tc>
        <w:tc>
          <w:tcPr>
            <w:tcW w:type="dxa" w:w="1276"/>
            <w:shd w:val="clear" w:color="auto" w:fill="FFFFFF"/>
            <w:vAlign w:val="center"/>
          </w:tcPr>
          <w:p>
            <w:pPr>
              <w:keepNext/>
              <w:spacing w:after="0"/>
            </w:pPr>
            <w:r>
              <w:rPr>
                <w:rFonts w:ascii="Calibri" w:hAnsi="Calibri"/>
                <w:b w:val="0"/>
                <w:i w:val="0"/>
                <w:color w:val="222222"/>
                <w:sz w:val="20"/>
              </w:rPr>
              <w:t>18.4929 per neuron</w:t>
            </w:r>
          </w:p>
        </w:tc>
        <w:tc>
          <w:tcPr>
            <w:tcW w:type="dxa" w:w="2094"/>
            <w:shd w:val="clear" w:color="auto" w:fill="FFFFFF"/>
            <w:vAlign w:val="center"/>
          </w:tcPr>
          <w:p>
            <w:pPr>
              <w:keepNext/>
              <w:spacing w:after="0"/>
            </w:pPr>
            <w:r>
              <w:rPr>
                <w:rFonts w:ascii="Calibri" w:hAnsi="Calibri"/>
                <w:b w:val="0"/>
                <w:i w:val="0"/>
                <w:color w:val="222222"/>
                <w:sz w:val="20"/>
              </w:rPr>
              <w:t>calibrated, searched over 10–35</w:t>
            </w:r>
          </w:p>
        </w:tc>
      </w:tr>
      <w:tr>
        <w:trPr>
          <w:cantSplit/>
        </w:trPr>
        <w:tc>
          <w:tcPr>
            <w:tcW w:type="dxa" w:w="2882"/>
            <w:shd w:val="clear" w:color="auto" w:fill="F7F9FB"/>
            <w:vAlign w:val="center"/>
          </w:tcPr>
          <w:p>
            <w:pPr>
              <w:keepNext/>
              <w:spacing w:after="0"/>
            </w:pPr>
            <w:r>
              <w:rPr>
                <w:rFonts w:ascii="Consolas" w:hAnsi="Consolas"/>
                <w:b/>
                <w:i w:val="0"/>
                <w:color w:val="222222"/>
                <w:sz w:val="18"/>
              </w:rPr>
              <w:t>background_rate_hz</w:t>
            </w:r>
          </w:p>
        </w:tc>
        <w:tc>
          <w:tcPr>
            <w:tcW w:type="dxa" w:w="2244"/>
            <w:shd w:val="clear" w:color="auto" w:fill="F7F9FB"/>
            <w:vAlign w:val="center"/>
          </w:tcPr>
          <w:p>
            <w:pPr>
              <w:keepNext/>
              <w:spacing w:after="0"/>
            </w:pPr>
            <w:r>
              <w:rPr>
                <w:rFonts w:ascii="Calibri" w:hAnsi="Calibri"/>
                <w:b w:val="0"/>
                <w:i w:val="0"/>
                <w:color w:val="222222"/>
                <w:sz w:val="20"/>
              </w:rPr>
              <w:t>Poisson drive frequency</w:t>
            </w:r>
          </w:p>
        </w:tc>
        <w:tc>
          <w:tcPr>
            <w:tcW w:type="dxa" w:w="1276"/>
            <w:shd w:val="clear" w:color="auto" w:fill="F7F9FB"/>
            <w:vAlign w:val="center"/>
          </w:tcPr>
          <w:p>
            <w:pPr>
              <w:keepNext/>
              <w:spacing w:after="0"/>
            </w:pPr>
            <w:r>
              <w:rPr>
                <w:rFonts w:ascii="Calibri" w:hAnsi="Calibri"/>
                <w:b w:val="0"/>
                <w:i w:val="0"/>
                <w:color w:val="222222"/>
                <w:sz w:val="20"/>
              </w:rPr>
              <w:t>3.3596 Hz</w:t>
            </w:r>
          </w:p>
        </w:tc>
        <w:tc>
          <w:tcPr>
            <w:tcW w:type="dxa" w:w="2094"/>
            <w:shd w:val="clear" w:color="auto" w:fill="F7F9FB"/>
            <w:vAlign w:val="center"/>
          </w:tcPr>
          <w:p>
            <w:pPr>
              <w:keepNext/>
              <w:spacing w:after="0"/>
            </w:pPr>
            <w:r>
              <w:rPr>
                <w:rFonts w:ascii="Calibri" w:hAnsi="Calibri"/>
                <w:b w:val="0"/>
                <w:i w:val="0"/>
                <w:color w:val="222222"/>
                <w:sz w:val="20"/>
              </w:rPr>
              <w:t>calibrated, searched over 1–40 Hz</w:t>
            </w:r>
          </w:p>
        </w:tc>
      </w:tr>
      <w:tr>
        <w:trPr>
          <w:cantSplit/>
        </w:trPr>
        <w:tc>
          <w:tcPr>
            <w:tcW w:type="dxa" w:w="2882"/>
            <w:shd w:val="clear" w:color="auto" w:fill="FFFFFF"/>
            <w:vAlign w:val="center"/>
          </w:tcPr>
          <w:p>
            <w:pPr>
              <w:keepNext/>
              <w:spacing w:after="0"/>
            </w:pPr>
            <w:r>
              <w:rPr>
                <w:rFonts w:ascii="Consolas" w:hAnsi="Consolas"/>
                <w:b/>
                <w:i w:val="0"/>
                <w:color w:val="222222"/>
                <w:sz w:val="18"/>
              </w:rPr>
              <w:t>background_weight</w:t>
            </w:r>
          </w:p>
        </w:tc>
        <w:tc>
          <w:tcPr>
            <w:tcW w:type="dxa" w:w="2244"/>
            <w:shd w:val="clear" w:color="auto" w:fill="FFFFFF"/>
            <w:vAlign w:val="center"/>
          </w:tcPr>
          <w:p>
            <w:pPr>
              <w:keepNext/>
              <w:spacing w:after="0"/>
            </w:pPr>
            <w:r>
              <w:rPr>
                <w:rFonts w:ascii="Calibri" w:hAnsi="Calibri"/>
                <w:b w:val="0"/>
                <w:i w:val="0"/>
                <w:color w:val="222222"/>
                <w:sz w:val="20"/>
              </w:rPr>
              <w:t>Poisson drive conductance step</w:t>
            </w:r>
          </w:p>
        </w:tc>
        <w:tc>
          <w:tcPr>
            <w:tcW w:type="dxa" w:w="1276"/>
            <w:shd w:val="clear" w:color="auto" w:fill="FFFFFF"/>
            <w:vAlign w:val="center"/>
          </w:tcPr>
          <w:p>
            <w:pPr>
              <w:keepNext/>
              <w:spacing w:after="0"/>
              <w:jc w:val="center"/>
            </w:pPr>
            <w:r>
              <w:rPr>
                <w:rFonts w:ascii="Calibri" w:hAnsi="Calibri"/>
                <w:b w:val="0"/>
                <w:i w:val="0"/>
                <w:color w:val="222222"/>
                <w:sz w:val="20"/>
              </w:rPr>
              <w:t>0.0692</w:t>
            </w:r>
          </w:p>
        </w:tc>
        <w:tc>
          <w:tcPr>
            <w:tcW w:type="dxa" w:w="2094"/>
            <w:shd w:val="clear" w:color="auto" w:fill="FFFFFF"/>
            <w:vAlign w:val="center"/>
          </w:tcPr>
          <w:p>
            <w:pPr>
              <w:keepNext/>
              <w:spacing w:after="0"/>
            </w:pPr>
            <w:r>
              <w:rPr>
                <w:rFonts w:ascii="Calibri" w:hAnsi="Calibri"/>
                <w:b w:val="0"/>
                <w:i w:val="0"/>
                <w:color w:val="222222"/>
                <w:sz w:val="20"/>
              </w:rPr>
              <w:t>calibrated, searched over 0.005–0.12</w:t>
            </w:r>
          </w:p>
        </w:tc>
      </w:tr>
      <w:tr>
        <w:trPr>
          <w:cantSplit/>
        </w:trPr>
        <w:tc>
          <w:tcPr>
            <w:tcW w:type="dxa" w:w="2882"/>
            <w:shd w:val="clear" w:color="auto" w:fill="F7F9FB"/>
            <w:vAlign w:val="center"/>
          </w:tcPr>
          <w:p>
            <w:pPr>
              <w:keepNext/>
              <w:spacing w:after="0"/>
            </w:pPr>
            <w:r>
              <w:rPr>
                <w:rFonts w:ascii="Consolas" w:hAnsi="Consolas"/>
                <w:b/>
                <w:i w:val="0"/>
                <w:color w:val="222222"/>
                <w:sz w:val="18"/>
              </w:rPr>
              <w:t>excitatory_weight</w:t>
            </w:r>
          </w:p>
        </w:tc>
        <w:tc>
          <w:tcPr>
            <w:tcW w:type="dxa" w:w="2244"/>
            <w:shd w:val="clear" w:color="auto" w:fill="F7F9FB"/>
            <w:vAlign w:val="center"/>
          </w:tcPr>
          <w:p>
            <w:pPr>
              <w:keepNext/>
              <w:spacing w:after="0"/>
            </w:pPr>
            <w:r>
              <w:rPr>
                <w:rFonts w:ascii="Calibri" w:hAnsi="Calibri"/>
                <w:b w:val="0"/>
                <w:i w:val="0"/>
                <w:color w:val="222222"/>
                <w:sz w:val="20"/>
              </w:rPr>
              <w:t>excitatory conductance step</w:t>
            </w:r>
          </w:p>
        </w:tc>
        <w:tc>
          <w:tcPr>
            <w:tcW w:type="dxa" w:w="1276"/>
            <w:shd w:val="clear" w:color="auto" w:fill="F7F9FB"/>
            <w:vAlign w:val="center"/>
          </w:tcPr>
          <w:p>
            <w:pPr>
              <w:keepNext/>
              <w:spacing w:after="0"/>
              <w:jc w:val="center"/>
            </w:pPr>
            <w:r>
              <w:rPr>
                <w:rFonts w:ascii="Calibri" w:hAnsi="Calibri"/>
                <w:b w:val="0"/>
                <w:i w:val="0"/>
                <w:color w:val="222222"/>
                <w:sz w:val="20"/>
              </w:rPr>
              <w:t>0.386</w:t>
            </w:r>
          </w:p>
        </w:tc>
        <w:tc>
          <w:tcPr>
            <w:tcW w:type="dxa" w:w="2094"/>
            <w:shd w:val="clear" w:color="auto" w:fill="F7F9FB"/>
            <w:vAlign w:val="center"/>
          </w:tcPr>
          <w:p>
            <w:pPr>
              <w:keepNext/>
              <w:spacing w:after="0"/>
            </w:pPr>
            <w:r>
              <w:rPr>
                <w:rFonts w:ascii="Calibri" w:hAnsi="Calibri"/>
                <w:b w:val="0"/>
                <w:i w:val="0"/>
                <w:color w:val="222222"/>
                <w:sz w:val="20"/>
              </w:rPr>
              <w:t>calibrated, searched over 0.15–0.45</w:t>
            </w:r>
          </w:p>
        </w:tc>
      </w:tr>
      <w:tr>
        <w:trPr>
          <w:cantSplit/>
        </w:trPr>
        <w:tc>
          <w:tcPr>
            <w:tcW w:type="dxa" w:w="2882"/>
            <w:shd w:val="clear" w:color="auto" w:fill="FFFFFF"/>
            <w:vAlign w:val="center"/>
          </w:tcPr>
          <w:p>
            <w:pPr>
              <w:keepNext/>
              <w:spacing w:after="0"/>
            </w:pPr>
            <w:r>
              <w:rPr>
                <w:rFonts w:ascii="Consolas" w:hAnsi="Consolas"/>
                <w:b/>
                <w:i w:val="0"/>
                <w:color w:val="222222"/>
                <w:sz w:val="18"/>
              </w:rPr>
              <w:t>inhibitory_weight</w:t>
            </w:r>
          </w:p>
        </w:tc>
        <w:tc>
          <w:tcPr>
            <w:tcW w:type="dxa" w:w="2244"/>
            <w:shd w:val="clear" w:color="auto" w:fill="FFFFFF"/>
            <w:vAlign w:val="center"/>
          </w:tcPr>
          <w:p>
            <w:pPr>
              <w:keepNext/>
              <w:spacing w:after="0"/>
            </w:pPr>
            <w:r>
              <w:rPr>
                <w:rFonts w:ascii="Calibri" w:hAnsi="Calibri"/>
                <w:b w:val="0"/>
                <w:i w:val="0"/>
                <w:color w:val="222222"/>
                <w:sz w:val="20"/>
              </w:rPr>
              <w:t>inhibitory conductance step</w:t>
            </w:r>
          </w:p>
        </w:tc>
        <w:tc>
          <w:tcPr>
            <w:tcW w:type="dxa" w:w="1276"/>
            <w:shd w:val="clear" w:color="auto" w:fill="FFFFFF"/>
            <w:vAlign w:val="center"/>
          </w:tcPr>
          <w:p>
            <w:pPr>
              <w:keepNext/>
              <w:spacing w:after="0"/>
              <w:jc w:val="center"/>
            </w:pPr>
            <w:r>
              <w:rPr>
                <w:rFonts w:ascii="Calibri" w:hAnsi="Calibri"/>
                <w:b w:val="0"/>
                <w:i w:val="0"/>
                <w:color w:val="222222"/>
                <w:sz w:val="20"/>
              </w:rPr>
              <w:t>5.4261</w:t>
            </w:r>
          </w:p>
        </w:tc>
        <w:tc>
          <w:tcPr>
            <w:tcW w:type="dxa" w:w="2094"/>
            <w:shd w:val="clear" w:color="auto" w:fill="FFFFFF"/>
            <w:vAlign w:val="center"/>
          </w:tcPr>
          <w:p>
            <w:pPr>
              <w:keepNext/>
              <w:spacing w:after="0"/>
            </w:pPr>
            <w:r>
              <w:rPr>
                <w:rFonts w:ascii="Calibri" w:hAnsi="Calibri"/>
                <w:b w:val="0"/>
                <w:i w:val="0"/>
                <w:color w:val="222222"/>
                <w:sz w:val="20"/>
              </w:rPr>
              <w:t>calibrated, searched over 1–7</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adaptation_increment</w:t>
            </w:r>
          </w:p>
        </w:tc>
        <w:tc>
          <w:tcPr>
            <w:tcW w:type="dxa" w:w="2244"/>
            <w:shd w:val="clear" w:color="auto" w:fill="F7F9FB"/>
            <w:vAlign w:val="center"/>
          </w:tcPr>
          <w:p>
            <w:pPr>
              <w:keepNext/>
              <w:spacing w:after="0"/>
            </w:pPr>
            <w:r>
              <w:rPr>
                <w:rFonts w:ascii="Calibri" w:hAnsi="Calibri"/>
                <w:b w:val="0"/>
                <w:i w:val="0"/>
                <w:color w:val="222222"/>
                <w:sz w:val="20"/>
              </w:rPr>
              <w:t>spike-frequency adaptation step</w:t>
            </w:r>
          </w:p>
        </w:tc>
        <w:tc>
          <w:tcPr>
            <w:tcW w:type="dxa" w:w="1276"/>
            <w:shd w:val="clear" w:color="auto" w:fill="F7F9FB"/>
            <w:vAlign w:val="center"/>
          </w:tcPr>
          <w:p>
            <w:pPr>
              <w:keepNext/>
              <w:spacing w:after="0"/>
              <w:jc w:val="center"/>
            </w:pPr>
            <w:r>
              <w:rPr>
                <w:rFonts w:ascii="Calibri" w:hAnsi="Calibri"/>
                <w:b w:val="0"/>
                <w:i w:val="0"/>
                <w:color w:val="222222"/>
                <w:sz w:val="20"/>
              </w:rPr>
              <w:t>1.0093</w:t>
            </w:r>
          </w:p>
        </w:tc>
        <w:tc>
          <w:tcPr>
            <w:tcW w:type="dxa" w:w="2094"/>
            <w:shd w:val="clear" w:color="auto" w:fill="F7F9FB"/>
            <w:vAlign w:val="center"/>
          </w:tcPr>
          <w:p>
            <w:pPr>
              <w:keepNext/>
              <w:spacing w:after="0"/>
            </w:pPr>
            <w:r>
              <w:rPr>
                <w:rFonts w:ascii="Calibri" w:hAnsi="Calibri"/>
                <w:b w:val="0"/>
                <w:i w:val="0"/>
                <w:color w:val="222222"/>
                <w:sz w:val="20"/>
              </w:rPr>
              <w:t>calibrated, searched over 0.5–2.5</w:t>
            </w:r>
          </w:p>
        </w:tc>
      </w:tr>
      <w:tr>
        <w:trPr>
          <w:cantSplit/>
        </w:trPr>
        <w:tc>
          <w:tcPr>
            <w:tcW w:type="dxa" w:w="2882"/>
            <w:shd w:val="clear" w:color="auto" w:fill="FFFFFF"/>
            <w:vAlign w:val="center"/>
          </w:tcPr>
          <w:p>
            <w:pPr>
              <w:keepNext/>
              <w:spacing w:after="0"/>
            </w:pPr>
            <w:r>
              <w:rPr>
                <w:rFonts w:ascii="Consolas" w:hAnsi="Consolas"/>
                <w:b/>
                <w:i w:val="0"/>
                <w:color w:val="222222"/>
                <w:sz w:val="18"/>
              </w:rPr>
              <w:t>threshold_spread</w:t>
            </w:r>
          </w:p>
        </w:tc>
        <w:tc>
          <w:tcPr>
            <w:tcW w:type="dxa" w:w="2244"/>
            <w:shd w:val="clear" w:color="auto" w:fill="FFFFFF"/>
            <w:vAlign w:val="center"/>
          </w:tcPr>
          <w:p>
            <w:pPr>
              <w:keepNext/>
              <w:spacing w:after="0"/>
            </w:pPr>
            <w:r>
              <w:rPr>
                <w:rFonts w:ascii="Calibri" w:hAnsi="Calibri"/>
                <w:b w:val="0"/>
                <w:i w:val="0"/>
                <w:color w:val="222222"/>
                <w:sz w:val="20"/>
              </w:rPr>
              <w:t>per-neuron excitability heterogeneity</w:t>
            </w:r>
          </w:p>
        </w:tc>
        <w:tc>
          <w:tcPr>
            <w:tcW w:type="dxa" w:w="1276"/>
            <w:shd w:val="clear" w:color="auto" w:fill="FFFFFF"/>
            <w:vAlign w:val="center"/>
          </w:tcPr>
          <w:p>
            <w:pPr>
              <w:keepNext/>
              <w:spacing w:after="0"/>
              <w:jc w:val="center"/>
            </w:pPr>
            <w:r>
              <w:rPr>
                <w:rFonts w:ascii="Calibri" w:hAnsi="Calibri"/>
                <w:b w:val="0"/>
                <w:i w:val="0"/>
                <w:color w:val="222222"/>
                <w:sz w:val="20"/>
              </w:rPr>
              <w:t>0.2258</w:t>
            </w:r>
          </w:p>
        </w:tc>
        <w:tc>
          <w:tcPr>
            <w:tcW w:type="dxa" w:w="2094"/>
            <w:shd w:val="clear" w:color="auto" w:fill="FFFFFF"/>
            <w:vAlign w:val="center"/>
          </w:tcPr>
          <w:p>
            <w:pPr>
              <w:keepNext/>
              <w:spacing w:after="0"/>
            </w:pPr>
            <w:r>
              <w:rPr>
                <w:rFonts w:ascii="Calibri" w:hAnsi="Calibri"/>
                <w:b w:val="0"/>
                <w:i w:val="0"/>
                <w:color w:val="222222"/>
                <w:sz w:val="20"/>
              </w:rPr>
              <w:t>calibrated, searched over 0–0.3</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adaptation_tau_ms</w:t>
            </w:r>
          </w:p>
        </w:tc>
        <w:tc>
          <w:tcPr>
            <w:tcW w:type="dxa" w:w="2244"/>
            <w:shd w:val="clear" w:color="auto" w:fill="F7F9FB"/>
            <w:vAlign w:val="center"/>
          </w:tcPr>
          <w:p>
            <w:pPr>
              <w:keepNext/>
              <w:spacing w:after="0"/>
            </w:pPr>
            <w:r>
              <w:rPr>
                <w:rFonts w:ascii="Calibri" w:hAnsi="Calibri"/>
                <w:b w:val="0"/>
                <w:i w:val="0"/>
                <w:color w:val="222222"/>
                <w:sz w:val="20"/>
              </w:rPr>
              <w:t>adaptation decay time constant</w:t>
            </w:r>
          </w:p>
        </w:tc>
        <w:tc>
          <w:tcPr>
            <w:tcW w:type="dxa" w:w="1276"/>
            <w:shd w:val="clear" w:color="auto" w:fill="F7F9FB"/>
            <w:vAlign w:val="center"/>
          </w:tcPr>
          <w:p>
            <w:pPr>
              <w:keepNext/>
              <w:spacing w:after="0"/>
            </w:pPr>
            <w:r>
              <w:rPr>
                <w:rFonts w:ascii="Calibri" w:hAnsi="Calibri"/>
                <w:b w:val="0"/>
                <w:i w:val="0"/>
                <w:color w:val="222222"/>
                <w:sz w:val="20"/>
              </w:rPr>
              <w:t>380 ms</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literature standard</w:t>
            </w:r>
          </w:p>
        </w:tc>
      </w:tr>
      <w:tr>
        <w:trPr>
          <w:cantSplit/>
        </w:trPr>
        <w:tc>
          <w:tcPr>
            <w:tcW w:type="dxa" w:w="2882"/>
            <w:shd w:val="clear" w:color="auto" w:fill="FFFFFF"/>
            <w:vAlign w:val="center"/>
          </w:tcPr>
          <w:p>
            <w:pPr>
              <w:keepNext/>
              <w:spacing w:after="0"/>
            </w:pPr>
            <w:r>
              <w:rPr>
                <w:rFonts w:ascii="Consolas" w:hAnsi="Consolas"/>
                <w:b/>
                <w:i w:val="0"/>
                <w:color w:val="222222"/>
                <w:sz w:val="18"/>
              </w:rPr>
              <w:t>intra_delay_sd_ms</w:t>
            </w:r>
          </w:p>
        </w:tc>
        <w:tc>
          <w:tcPr>
            <w:tcW w:type="dxa" w:w="2244"/>
            <w:shd w:val="clear" w:color="auto" w:fill="FFFFFF"/>
            <w:vAlign w:val="center"/>
          </w:tcPr>
          <w:p>
            <w:pPr>
              <w:keepNext/>
              <w:spacing w:after="0"/>
            </w:pPr>
            <w:r>
              <w:rPr>
                <w:rFonts w:ascii="Calibri" w:hAnsi="Calibri"/>
                <w:b w:val="0"/>
                <w:i w:val="0"/>
                <w:color w:val="222222"/>
                <w:sz w:val="20"/>
              </w:rPr>
              <w:t>conduction delay dispersion</w:t>
            </w:r>
          </w:p>
        </w:tc>
        <w:tc>
          <w:tcPr>
            <w:tcW w:type="dxa" w:w="1276"/>
            <w:shd w:val="clear" w:color="auto" w:fill="FFFFFF"/>
            <w:vAlign w:val="center"/>
          </w:tcPr>
          <w:p>
            <w:pPr>
              <w:keepNext/>
              <w:spacing w:after="0"/>
            </w:pPr>
            <w:r>
              <w:rPr>
                <w:rFonts w:ascii="Calibri" w:hAnsi="Calibri"/>
                <w:b w:val="0"/>
                <w:i w:val="0"/>
                <w:color w:val="222222"/>
                <w:sz w:val="20"/>
              </w:rPr>
              <w:t>0.0 ms</w:t>
            </w:r>
          </w:p>
        </w:tc>
        <w:tc>
          <w:tcPr>
            <w:tcW w:type="dxa" w:w="2094"/>
            <w:shd w:val="clear" w:color="auto" w:fill="FFFFFF"/>
            <w:vAlign w:val="center"/>
          </w:tcPr>
          <w:p>
            <w:pPr>
              <w:keepNext/>
              <w:spacing w:after="0"/>
            </w:pPr>
            <w:r>
              <w:rPr>
                <w:rFonts w:ascii="Calibri" w:hAnsi="Calibri"/>
                <w:b/>
                <w:i w:val="0"/>
                <w:color w:val="222222"/>
                <w:sz w:val="20"/>
              </w:rPr>
              <w:t>held</w:t>
            </w:r>
            <w:r>
              <w:rPr>
                <w:rFonts w:ascii="Calibri" w:hAnsi="Calibri"/>
                <w:b w:val="0"/>
                <w:i w:val="0"/>
                <w:color w:val="222222"/>
                <w:sz w:val="20"/>
              </w:rPr>
              <w:t>, one delay for every synapse</w:t>
            </w:r>
          </w:p>
        </w:tc>
      </w:tr>
      <w:tr>
        <w:trPr>
          <w:cantSplit/>
        </w:trPr>
        <w:tc>
          <w:tcPr>
            <w:tcW w:type="dxa" w:w="2882"/>
            <w:shd w:val="clear" w:color="auto" w:fill="F7F9FB"/>
            <w:vAlign w:val="center"/>
          </w:tcPr>
          <w:p>
            <w:pPr>
              <w:keepNext/>
              <w:spacing w:after="0"/>
            </w:pPr>
            <w:r>
              <w:rPr>
                <w:rFonts w:ascii="Consolas" w:hAnsi="Consolas"/>
                <w:b/>
                <w:i w:val="0"/>
                <w:color w:val="222222"/>
                <w:sz w:val="18"/>
              </w:rPr>
              <w:t>connection_sigma_um</w:t>
            </w:r>
          </w:p>
        </w:tc>
        <w:tc>
          <w:tcPr>
            <w:tcW w:type="dxa" w:w="2244"/>
            <w:shd w:val="clear" w:color="auto" w:fill="F7F9FB"/>
            <w:vAlign w:val="center"/>
          </w:tcPr>
          <w:p>
            <w:pPr>
              <w:keepNext/>
              <w:spacing w:after="0"/>
            </w:pPr>
            <w:r>
              <w:rPr>
                <w:rFonts w:ascii="Calibri" w:hAnsi="Calibri"/>
                <w:b w:val="0"/>
                <w:i w:val="0"/>
                <w:color w:val="222222"/>
                <w:sz w:val="20"/>
              </w:rPr>
              <w:t>range of the within-compartment wiring rule</w:t>
            </w:r>
          </w:p>
        </w:tc>
        <w:tc>
          <w:tcPr>
            <w:tcW w:type="dxa" w:w="1276"/>
            <w:shd w:val="clear" w:color="auto" w:fill="F7F9FB"/>
            <w:vAlign w:val="center"/>
          </w:tcPr>
          <w:p>
            <w:pPr>
              <w:keepNext/>
              <w:spacing w:after="0"/>
            </w:pPr>
            <w:r>
              <w:rPr>
                <w:rFonts w:ascii="Calibri" w:hAnsi="Calibri"/>
                <w:b w:val="0"/>
                <w:i w:val="0"/>
                <w:color w:val="222222"/>
                <w:sz w:val="20"/>
              </w:rPr>
              <w:t>unset</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uniform random wiring</w:t>
            </w:r>
          </w:p>
        </w:tc>
      </w:tr>
      <w:tr>
        <w:trPr>
          <w:cantSplit/>
        </w:trPr>
        <w:tc>
          <w:tcPr>
            <w:tcW w:type="dxa" w:w="2882"/>
            <w:shd w:val="clear" w:color="auto" w:fill="FFFFFF"/>
            <w:vAlign w:val="center"/>
          </w:tcPr>
          <w:p>
            <w:pPr>
              <w:keepNext w:val="0"/>
              <w:spacing w:after="0"/>
            </w:pPr>
            <w:r>
              <w:rPr>
                <w:rFonts w:ascii="Consolas" w:hAnsi="Consolas"/>
                <w:b/>
                <w:i w:val="0"/>
                <w:color w:val="222222"/>
                <w:sz w:val="18"/>
              </w:rPr>
              <w:t>inter_in_degree</w:t>
            </w:r>
            <w:r>
              <w:rPr>
                <w:rFonts w:ascii="Calibri" w:hAnsi="Calibri"/>
                <w:b/>
                <w:i w:val="0"/>
                <w:color w:val="222222"/>
                <w:sz w:val="20"/>
              </w:rPr>
              <w:t xml:space="preserve">, </w:t>
            </w:r>
            <w:r>
              <w:rPr>
                <w:rFonts w:ascii="Consolas" w:hAnsi="Consolas"/>
                <w:b/>
                <w:i w:val="0"/>
                <w:color w:val="222222"/>
                <w:sz w:val="18"/>
              </w:rPr>
              <w:t>forward_ratio</w:t>
            </w:r>
            <w:r>
              <w:rPr>
                <w:rFonts w:ascii="Calibri" w:hAnsi="Calibri"/>
                <w:b/>
                <w:i w:val="0"/>
                <w:color w:val="222222"/>
                <w:sz w:val="20"/>
              </w:rPr>
              <w:t>, drug knobs</w:t>
            </w:r>
          </w:p>
        </w:tc>
        <w:tc>
          <w:tcPr>
            <w:tcW w:type="dxa" w:w="2244"/>
            <w:shd w:val="clear" w:color="auto" w:fill="FFFFFF"/>
            <w:vAlign w:val="center"/>
          </w:tcPr>
          <w:p>
            <w:pPr>
              <w:keepNext w:val="0"/>
              <w:spacing w:after="0"/>
            </w:pPr>
            <w:r>
              <w:rPr>
                <w:rFonts w:ascii="Calibri" w:hAnsi="Calibri"/>
                <w:b w:val="0"/>
                <w:i w:val="0"/>
                <w:color w:val="222222"/>
                <w:sz w:val="20"/>
              </w:rPr>
              <w:t>cross-chamber connectivity, pathway asymmetry, pharmacology</w:t>
            </w:r>
          </w:p>
        </w:tc>
        <w:tc>
          <w:tcPr>
            <w:tcW w:type="dxa" w:w="1276"/>
            <w:shd w:val="clear" w:color="auto" w:fill="FFFFFF"/>
            <w:vAlign w:val="center"/>
          </w:tcPr>
          <w:p>
            <w:pPr>
              <w:keepNext w:val="0"/>
              <w:spacing w:after="0"/>
              <w:jc w:val="center"/>
            </w:pPr>
            <w:r>
              <w:rPr>
                <w:rFonts w:ascii="Calibri" w:hAnsi="Calibri"/>
                <w:b w:val="0"/>
                <w:i w:val="0"/>
                <w:color w:val="222222"/>
                <w:sz w:val="20"/>
              </w:rPr>
              <w:t>—</w:t>
            </w:r>
          </w:p>
        </w:tc>
        <w:tc>
          <w:tcPr>
            <w:tcW w:type="dxa" w:w="2094"/>
            <w:shd w:val="clear" w:color="auto" w:fill="FFFFFF"/>
            <w:vAlign w:val="center"/>
          </w:tcPr>
          <w:p>
            <w:pPr>
              <w:keepNext w:val="0"/>
              <w:spacing w:after="0"/>
            </w:pPr>
            <w:r>
              <w:rPr>
                <w:rFonts w:ascii="Calibri" w:hAnsi="Calibri"/>
                <w:b/>
                <w:i w:val="0"/>
                <w:color w:val="222222"/>
                <w:sz w:val="20"/>
              </w:rPr>
              <w:t>inferred</w:t>
            </w:r>
            <w:r>
              <w:rPr>
                <w:rFonts w:ascii="Calibri" w:hAnsi="Calibri"/>
                <w:b w:val="0"/>
                <w:i w:val="0"/>
                <w:color w:val="222222"/>
                <w:sz w:val="20"/>
              </w:rPr>
              <w:t xml:space="preserve"> by simulation-based inference (§16)</w:t>
            </w:r>
          </w:p>
        </w:tc>
      </w:tr>
    </w:tbl>
    <w:p>
      <w:pPr>
        <w:spacing w:after="80"/>
      </w:pPr>
    </w:p>
    <w:p>
      <w:pPr>
        <w:spacing w:after="120"/>
      </w:pPr>
      <w:r>
        <w:rPr>
          <w:rFonts w:ascii="Calibri" w:hAnsi="Calibri"/>
          <w:b w:val="0"/>
          <w:i w:val="0"/>
          <w:color w:val="222222"/>
          <w:sz w:val="21"/>
        </w:rPr>
        <w:t>All conductance steps are dimensionless in this model; they are not membrane voltages.</w:t>
      </w:r>
    </w:p>
    <w:p>
      <w:pPr>
        <w:keepNext/>
        <w:spacing w:before="240" w:after="60"/>
      </w:pPr>
      <w:r>
        <w:rPr>
          <w:rFonts w:ascii="Calibri" w:hAnsi="Calibri"/>
          <w:b/>
          <w:i w:val="0"/>
          <w:color w:val="1F4E79"/>
          <w:sz w:val="23"/>
        </w:rPr>
        <w:t>Appendix J &amp; K — Microchannel detector robustness, and timings</w:t>
      </w:r>
    </w:p>
    <w:p>
      <w:pPr>
        <w:keepNext/>
        <w:spacing w:after="120"/>
      </w:pPr>
      <w:r>
        <w:rPr>
          <w:rFonts w:ascii="Calibri" w:hAnsi="Calibri"/>
          <w:b/>
          <w:i w:val="0"/>
          <w:color w:val="156082"/>
          <w:sz w:val="21"/>
        </w:rPr>
        <w:t>Appendix J.</w:t>
      </w:r>
      <w:r>
        <w:rPr>
          <w:rFonts w:ascii="Calibri" w:hAnsi="Calibri"/>
          <w:b w:val="0"/>
          <w:i w:val="0"/>
          <w:color w:val="222222"/>
          <w:sz w:val="21"/>
        </w:rPr>
        <w:t xml:space="preserve"> Counting recordings, median absolute asymmetry runs from 0.3392 for control geometries to 0.8543 for the "rams" geometry. Counting biological chips instead, it is 0.6168 against 0.8745, a difference the test does not resolve: Kruskal p across the geometries is 0.63969, and every Holm-adjusted comparison against the control geometry is 1.0. The null is not an artifact of our geometry assumptions either: it survives every detector variant we tried, with a worst-case Kruskal p of 0.13074. Tolerating single-electrode dropouts triples what the detector has to work with, from 336,794 analyzed events to 1,101,233, and does not change the outcome. We also measured and report a counting confound: chips with fewer propagation events look more one-sided (Spearman ρ = −0.494, p = 0.01032), which is what a counting artifact looks like. Condition is also confounded with culture batch by the deposit's own design.</w:t>
      </w:r>
    </w:p>
    <w:p>
      <w:pPr>
        <w:keepNext/>
        <w:spacing w:before="120" w:after="40"/>
        <w:jc w:val="center"/>
      </w:pPr>
      <w:r>
        <w:drawing>
          <wp:inline xmlns:a="http://schemas.openxmlformats.org/drawingml/2006/main" xmlns:pic="http://schemas.openxmlformats.org/drawingml/2006/picture">
            <wp:extent cx="4585716" cy="2684467"/>
            <wp:docPr id="30" name="Picture 30"/>
            <wp:cNvGraphicFramePr>
              <a:graphicFrameLocks noChangeAspect="1"/>
            </wp:cNvGraphicFramePr>
            <a:graphic>
              <a:graphicData uri="http://schemas.openxmlformats.org/drawingml/2006/picture">
                <pic:pic>
                  <pic:nvPicPr>
                    <pic:cNvPr id="0" name="microchannel_asymmetry_real.png"/>
                    <pic:cNvPicPr/>
                  </pic:nvPicPr>
                  <pic:blipFill>
                    <a:blip r:embed="rId42"/>
                    <a:stretch>
                      <a:fillRect/>
                    </a:stretch>
                  </pic:blipFill>
                  <pic:spPr>
                    <a:xfrm>
                      <a:off x="0" y="0"/>
                      <a:ext cx="4585716" cy="2684467"/>
                    </a:xfrm>
                    <a:prstGeom prst="rect"/>
                  </pic:spPr>
                </pic:pic>
              </a:graphicData>
            </a:graphic>
          </wp:inline>
        </w:drawing>
      </w:r>
    </w:p>
    <w:p>
      <w:pPr>
        <w:spacing w:after="200"/>
        <w:jc w:val="center"/>
      </w:pPr>
      <w:r>
        <w:rPr>
          <w:rFonts w:ascii="Calibri" w:hAnsi="Calibri"/>
          <w:b/>
          <w:i/>
          <w:color w:val="222222"/>
          <w:sz w:val="17"/>
        </w:rPr>
        <w:t xml:space="preserve">Figure 30. </w:t>
      </w:r>
      <w:r>
        <w:rPr>
          <w:rFonts w:ascii="Calibri" w:hAnsi="Calibri"/>
          <w:b w:val="0"/>
          <w:i/>
          <w:color w:val="222222"/>
          <w:sz w:val="17"/>
        </w:rPr>
        <w:t>Microchannel propagation asymmetry by device geometry, REAL recordings.</w:t>
      </w:r>
    </w:p>
    <w:p>
      <w:pPr>
        <w:spacing w:after="120"/>
      </w:pPr>
      <w:r>
        <w:rPr>
          <w:rFonts w:ascii="Calibri" w:hAnsi="Calibri"/>
          <w:b/>
          <w:i w:val="0"/>
          <w:color w:val="156082"/>
          <w:sz w:val="21"/>
        </w:rPr>
        <w:t>Appendix K.</w:t>
      </w:r>
      <w:r>
        <w:rPr>
          <w:rFonts w:ascii="Calibri" w:hAnsi="Calibri"/>
          <w:b w:val="0"/>
          <w:i w:val="0"/>
          <w:color w:val="222222"/>
          <w:sz w:val="21"/>
        </w:rPr>
        <w:t xml:space="preserve"> </w:t>
      </w:r>
      <w:r>
        <w:rPr>
          <w:rFonts w:ascii="Consolas" w:hAnsi="Consolas"/>
          <w:b w:val="0"/>
          <w:i w:val="0"/>
          <w:color w:val="222222"/>
          <w:sz w:val="19"/>
        </w:rPr>
        <w:t>--quick</w:t>
      </w:r>
      <w:r>
        <w:rPr>
          <w:rFonts w:ascii="Calibri" w:hAnsi="Calibri"/>
          <w:b w:val="0"/>
          <w:i w:val="0"/>
          <w:color w:val="222222"/>
          <w:sz w:val="21"/>
        </w:rPr>
        <w:t xml:space="preserve"> completes end to end in 519.0 s on a workstation CPU with 20 cores, and in under twenty minutes on a dual-vCPU CI runner; the two differ because </w:t>
      </w:r>
      <w:r>
        <w:rPr>
          <w:rFonts w:ascii="Consolas" w:hAnsi="Consolas"/>
          <w:b w:val="0"/>
          <w:i w:val="0"/>
          <w:color w:val="222222"/>
          <w:sz w:val="19"/>
        </w:rPr>
        <w:t>worker_processes</w:t>
      </w:r>
      <w:r>
        <w:rPr>
          <w:rFonts w:ascii="Calibri" w:hAnsi="Calibri"/>
          <w:b w:val="0"/>
          <w:i w:val="0"/>
          <w:color w:val="222222"/>
          <w:sz w:val="21"/>
        </w:rPr>
        <w:t xml:space="preserve"> correctly asks for the cores it is given. The run itself writes that figure, and only a run that executed every stage can write it, so a partial re-run cannot quietly shrink it. It is one measurement rather than a bound: repeat runs on the same machine vary with whatever else the machine is doing: this run was on an idle machine, with every study added through §36 included, and runs that shared the machine with other jobs took up to about twice as long, crossing ten minutes. The longest stage is the twin, at 322.5 s. Full reproduction runs through </w:t>
      </w:r>
      <w:r>
        <w:rPr>
          <w:rFonts w:ascii="Consolas" w:hAnsi="Consolas"/>
          <w:b w:val="0"/>
          <w:i w:val="0"/>
          <w:color w:val="222222"/>
          <w:sz w:val="19"/>
        </w:rPr>
        <w:t>python run_all.py</w:t>
      </w:r>
      <w:r>
        <w:rPr>
          <w:rFonts w:ascii="Calibri" w:hAnsi="Calibri"/>
          <w:b w:val="0"/>
          <w:i w:val="0"/>
          <w:color w:val="222222"/>
          <w:sz w:val="21"/>
        </w:rPr>
        <w:t xml:space="preserve"> after a full data-tier fetch. The environment is pinned in </w:t>
      </w:r>
      <w:r>
        <w:rPr>
          <w:rFonts w:ascii="Consolas" w:hAnsi="Consolas"/>
          <w:b w:val="0"/>
          <w:i w:val="0"/>
          <w:color w:val="222222"/>
          <w:sz w:val="19"/>
        </w:rPr>
        <w:t>pyproject.toml</w:t>
      </w:r>
      <w:r>
        <w:rPr>
          <w:rFonts w:ascii="Calibri" w:hAnsi="Calibri"/>
          <w:b w:val="0"/>
          <w:i w:val="0"/>
          <w:color w:val="222222"/>
          <w:sz w:val="21"/>
        </w:rPr>
        <w:t xml:space="preserve"> and recorded from what actually imported: Python </w:t>
      </w:r>
      <w:r>
        <w:rPr>
          <w:rFonts w:ascii="Consolas" w:hAnsi="Consolas"/>
          <w:b w:val="0"/>
          <w:i w:val="0"/>
          <w:color w:val="222222"/>
          <w:sz w:val="19"/>
        </w:rPr>
        <w:t>3.11.16</w:t>
      </w:r>
      <w:r>
        <w:rPr>
          <w:rFonts w:ascii="Calibri" w:hAnsi="Calibri"/>
          <w:b w:val="0"/>
          <w:i w:val="0"/>
          <w:color w:val="222222"/>
          <w:sz w:val="21"/>
        </w:rPr>
        <w:t xml:space="preserve">, NumPy </w:t>
      </w:r>
      <w:r>
        <w:rPr>
          <w:rFonts w:ascii="Consolas" w:hAnsi="Consolas"/>
          <w:b w:val="0"/>
          <w:i w:val="0"/>
          <w:color w:val="222222"/>
          <w:sz w:val="19"/>
        </w:rPr>
        <w:t>2.3.5</w:t>
      </w:r>
      <w:r>
        <w:rPr>
          <w:rFonts w:ascii="Calibri" w:hAnsi="Calibri"/>
          <w:b w:val="0"/>
          <w:i w:val="0"/>
          <w:color w:val="222222"/>
          <w:sz w:val="21"/>
        </w:rPr>
        <w:t xml:space="preserve">, Brian2 </w:t>
      </w:r>
      <w:r>
        <w:rPr>
          <w:rFonts w:ascii="Consolas" w:hAnsi="Consolas"/>
          <w:b w:val="0"/>
          <w:i w:val="0"/>
          <w:color w:val="222222"/>
          <w:sz w:val="19"/>
        </w:rPr>
        <w:t>2.9.0</w:t>
      </w:r>
      <w:r>
        <w:rPr>
          <w:rFonts w:ascii="Calibri" w:hAnsi="Calibri"/>
          <w:b w:val="0"/>
          <w:i w:val="0"/>
          <w:color w:val="222222"/>
          <w:sz w:val="21"/>
        </w:rPr>
        <w:t xml:space="preserve">, PyTorch </w:t>
      </w:r>
      <w:r>
        <w:rPr>
          <w:rFonts w:ascii="Consolas" w:hAnsi="Consolas"/>
          <w:b w:val="0"/>
          <w:i w:val="0"/>
          <w:color w:val="222222"/>
          <w:sz w:val="19"/>
        </w:rPr>
        <w:t>2.14.0</w:t>
      </w:r>
      <w:r>
        <w:rPr>
          <w:rFonts w:ascii="Calibri" w:hAnsi="Calibri"/>
          <w:b w:val="0"/>
          <w:i w:val="0"/>
          <w:color w:val="222222"/>
          <w:sz w:val="21"/>
        </w:rPr>
        <w:t xml:space="preserve"> and sbi </w:t>
      </w:r>
      <w:r>
        <w:rPr>
          <w:rFonts w:ascii="Consolas" w:hAnsi="Consolas"/>
          <w:b w:val="0"/>
          <w:i w:val="0"/>
          <w:color w:val="222222"/>
          <w:sz w:val="19"/>
        </w:rPr>
        <w:t>0.27.0</w:t>
      </w:r>
      <w:r>
        <w:rPr>
          <w:rFonts w:ascii="Calibri" w:hAnsi="Calibri"/>
          <w:b w:val="0"/>
          <w:i w:val="0"/>
          <w:color w:val="222222"/>
          <w:sz w:val="21"/>
        </w:rPr>
        <w:t xml:space="preserve">. We hold NumPy back because its next minor release removes </w:t>
      </w:r>
      <w:r>
        <w:rPr>
          <w:rFonts w:ascii="Consolas" w:hAnsi="Consolas"/>
          <w:b w:val="0"/>
          <w:i w:val="0"/>
          <w:color w:val="222222"/>
          <w:sz w:val="19"/>
        </w:rPr>
        <w:t>ndarray.ptp</w:t>
      </w:r>
      <w:r>
        <w:rPr>
          <w:rFonts w:ascii="Calibri" w:hAnsi="Calibri"/>
          <w:b w:val="0"/>
          <w:i w:val="0"/>
          <w:color w:val="222222"/>
          <w:sz w:val="21"/>
        </w:rPr>
        <w:t>, which Brian2 imports.</w:t>
      </w:r>
    </w:p>
    <w:p>
      <w:pPr>
        <w:keepNext/>
        <w:spacing w:before="240" w:after="60"/>
      </w:pPr>
      <w:r>
        <w:rPr>
          <w:rFonts w:ascii="Calibri" w:hAnsi="Calibri"/>
          <w:b/>
          <w:i w:val="0"/>
          <w:color w:val="1F4E79"/>
          <w:sz w:val="23"/>
        </w:rPr>
        <w:t>Appendix L, M &amp; N — Sensory validation, dose tracking and species transfer</w:t>
      </w:r>
    </w:p>
    <w:p>
      <w:pPr>
        <w:spacing w:after="120"/>
      </w:pPr>
      <w:r>
        <w:rPr>
          <w:rFonts w:ascii="Calibri" w:hAnsi="Calibri"/>
          <w:b/>
          <w:i w:val="0"/>
          <w:color w:val="156082"/>
          <w:sz w:val="21"/>
        </w:rPr>
        <w:t>Appendix L, the rate-only arm.</w:t>
      </w:r>
      <w:r>
        <w:rPr>
          <w:rFonts w:ascii="Calibri" w:hAnsi="Calibri"/>
          <w:b w:val="0"/>
          <w:i w:val="0"/>
          <w:color w:val="222222"/>
          <w:sz w:val="21"/>
        </w:rPr>
        <w:t xml:space="preserve"> Human sensory neurons across 291 pairs in </w:t>
      </w:r>
      <w:r>
        <w:rPr>
          <w:rFonts w:ascii="Consolas" w:hAnsi="Consolas"/>
          <w:b w:val="0"/>
          <w:i w:val="0"/>
          <w:color w:val="222222"/>
          <w:sz w:val="19"/>
        </w:rPr>
        <w:t>fofie2025</w:t>
      </w:r>
      <w:r>
        <w:rPr>
          <w:rFonts w:ascii="Calibri" w:hAnsi="Calibri"/>
          <w:b w:val="0"/>
          <w:i w:val="0"/>
          <w:color w:val="222222"/>
          <w:sz w:val="21"/>
        </w:rPr>
        <w:t xml:space="preserve"> shift by −0.1743 log2 units for vehicle controls, against −1.9529 for sodium-channel blockers, which yields 0.5012 balanced accuracy against a chance of 0.3333.</w:t>
      </w:r>
    </w:p>
    <w:p>
      <w:pPr>
        <w:spacing w:after="120"/>
      </w:pPr>
      <w:r>
        <w:rPr>
          <w:rFonts w:ascii="Calibri" w:hAnsi="Calibri"/>
          <w:b/>
          <w:i w:val="0"/>
          <w:color w:val="156082"/>
          <w:sz w:val="21"/>
        </w:rPr>
        <w:t>Appendix M, Task 2 dose tracking.</w:t>
      </w:r>
      <w:r>
        <w:rPr>
          <w:rFonts w:ascii="Calibri" w:hAnsi="Calibri"/>
          <w:b w:val="0"/>
          <w:i w:val="0"/>
          <w:color w:val="222222"/>
          <w:sz w:val="21"/>
        </w:rPr>
        <w:t xml:space="preserve"> The detection rate rises from 0.179 at 0.1 µM to 0.426 at 30 µM. Quoted on its own, that would look like a dose response, so here is the rest of the series: the rate peaks at 0.48 at 100 µM and falls to 0.091 at the top of it, 500 µM. The overall rank correlation is not significant (ρ = −0.059, p = 0.189).</w:t>
      </w:r>
    </w:p>
    <w:p>
      <w:pPr>
        <w:keepNext/>
        <w:spacing w:after="120"/>
      </w:pPr>
      <w:r>
        <w:rPr>
          <w:rFonts w:ascii="Calibri" w:hAnsi="Calibri"/>
          <w:b/>
          <w:i w:val="0"/>
          <w:color w:val="156082"/>
          <w:sz w:val="21"/>
        </w:rPr>
        <w:t>Appendix N, species transfer, all settings.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667"/>
        <w:gridCol w:w="2406"/>
        <w:gridCol w:w="2423"/>
      </w:tblGrid>
      <w:tr>
        <w:trPr>
          <w:cantSplit/>
          <w:tblHeader/>
        </w:trPr>
        <w:tc>
          <w:tcPr>
            <w:tcW w:type="dxa" w:w="3667"/>
            <w:shd w:val="clear" w:color="auto" w:fill="1F4E79"/>
            <w:vAlign w:val="center"/>
          </w:tcPr>
          <w:p>
            <w:pPr>
              <w:keepNext/>
              <w:spacing w:after="0"/>
            </w:pPr>
            <w:r>
              <w:rPr>
                <w:rFonts w:ascii="Calibri" w:hAnsi="Calibri"/>
                <w:b/>
                <w:i w:val="0"/>
                <w:color w:val="FFFFFF"/>
                <w:sz w:val="20"/>
              </w:rPr>
              <w:t>transfer setting</w:t>
            </w:r>
          </w:p>
        </w:tc>
        <w:tc>
          <w:tcPr>
            <w:tcW w:type="dxa" w:w="2406"/>
            <w:shd w:val="clear" w:color="auto" w:fill="1F4E79"/>
            <w:vAlign w:val="center"/>
          </w:tcPr>
          <w:p>
            <w:pPr>
              <w:keepNext/>
              <w:spacing w:after="0"/>
              <w:jc w:val="center"/>
            </w:pPr>
            <w:r>
              <w:rPr>
                <w:rFonts w:ascii="Calibri" w:hAnsi="Calibri"/>
                <w:b/>
                <w:i w:val="0"/>
                <w:color w:val="FFFFFF"/>
                <w:sz w:val="20"/>
              </w:rPr>
              <w:t>balanced accuracy</w:t>
            </w:r>
          </w:p>
        </w:tc>
        <w:tc>
          <w:tcPr>
            <w:tcW w:type="dxa" w:w="2423"/>
            <w:shd w:val="clear" w:color="auto" w:fill="1F4E79"/>
            <w:vAlign w:val="center"/>
          </w:tcPr>
          <w:p>
            <w:pPr>
              <w:keepNext/>
              <w:spacing w:after="0"/>
            </w:pPr>
            <w:r>
              <w:rPr>
                <w:rFonts w:ascii="Calibri" w:hAnsi="Calibri"/>
                <w:b/>
                <w:i w:val="0"/>
                <w:color w:val="FFFFFF"/>
                <w:sz w:val="20"/>
              </w:rPr>
              <w:t>95% bootstrap CI</w:t>
            </w:r>
          </w:p>
        </w:tc>
      </w:tr>
      <w:tr>
        <w:trPr>
          <w:cantSplit/>
        </w:trPr>
        <w:tc>
          <w:tcPr>
            <w:tcW w:type="dxa" w:w="3667"/>
            <w:shd w:val="clear" w:color="auto" w:fill="FFFFFF"/>
            <w:vAlign w:val="center"/>
          </w:tcPr>
          <w:p>
            <w:pPr>
              <w:keepNext/>
              <w:spacing w:after="0"/>
            </w:pPr>
            <w:r>
              <w:rPr>
                <w:rFonts w:ascii="Calibri" w:hAnsi="Calibri"/>
                <w:b/>
                <w:i w:val="0"/>
                <w:color w:val="222222"/>
                <w:sz w:val="20"/>
              </w:rPr>
              <w:t>human within-species</w:t>
            </w:r>
          </w:p>
        </w:tc>
        <w:tc>
          <w:tcPr>
            <w:tcW w:type="dxa" w:w="2406"/>
            <w:shd w:val="clear" w:color="auto" w:fill="FFFFFF"/>
            <w:vAlign w:val="center"/>
          </w:tcPr>
          <w:p>
            <w:pPr>
              <w:keepNext/>
              <w:spacing w:after="0"/>
              <w:jc w:val="center"/>
            </w:pPr>
            <w:r>
              <w:rPr>
                <w:rFonts w:ascii="Calibri" w:hAnsi="Calibri"/>
                <w:b w:val="0"/>
                <w:i w:val="0"/>
                <w:color w:val="222222"/>
                <w:sz w:val="20"/>
              </w:rPr>
              <w:t>0.646</w:t>
            </w:r>
          </w:p>
        </w:tc>
        <w:tc>
          <w:tcPr>
            <w:tcW w:type="dxa" w:w="2423"/>
            <w:shd w:val="clear" w:color="auto" w:fill="FFFFFF"/>
            <w:vAlign w:val="center"/>
          </w:tcPr>
          <w:p>
            <w:pPr>
              <w:keepNext/>
              <w:spacing w:after="0"/>
            </w:pPr>
            <w:r>
              <w:rPr>
                <w:rFonts w:ascii="Calibri" w:hAnsi="Calibri"/>
                <w:b w:val="0"/>
                <w:i w:val="0"/>
                <w:color w:val="222222"/>
                <w:sz w:val="20"/>
              </w:rPr>
              <w:t>0.483 to 0.78</w:t>
            </w:r>
          </w:p>
        </w:tc>
      </w:tr>
      <w:tr>
        <w:trPr>
          <w:cantSplit/>
        </w:trPr>
        <w:tc>
          <w:tcPr>
            <w:tcW w:type="dxa" w:w="3667"/>
            <w:shd w:val="clear" w:color="auto" w:fill="F7F9FB"/>
            <w:vAlign w:val="center"/>
          </w:tcPr>
          <w:p>
            <w:pPr>
              <w:keepNext/>
              <w:spacing w:after="0"/>
            </w:pPr>
            <w:r>
              <w:rPr>
                <w:rFonts w:ascii="Calibri" w:hAnsi="Calibri"/>
                <w:b/>
                <w:i w:val="0"/>
                <w:color w:val="222222"/>
                <w:sz w:val="20"/>
              </w:rPr>
              <w:t>rat within-species</w:t>
            </w:r>
          </w:p>
        </w:tc>
        <w:tc>
          <w:tcPr>
            <w:tcW w:type="dxa" w:w="2406"/>
            <w:shd w:val="clear" w:color="auto" w:fill="F7F9FB"/>
            <w:vAlign w:val="center"/>
          </w:tcPr>
          <w:p>
            <w:pPr>
              <w:keepNext/>
              <w:spacing w:after="0"/>
              <w:jc w:val="center"/>
            </w:pPr>
            <w:r>
              <w:rPr>
                <w:rFonts w:ascii="Calibri" w:hAnsi="Calibri"/>
                <w:b w:val="0"/>
                <w:i w:val="0"/>
                <w:color w:val="222222"/>
                <w:sz w:val="20"/>
              </w:rPr>
              <w:t>0.543</w:t>
            </w:r>
          </w:p>
        </w:tc>
        <w:tc>
          <w:tcPr>
            <w:tcW w:type="dxa" w:w="2423"/>
            <w:shd w:val="clear" w:color="auto" w:fill="F7F9FB"/>
            <w:vAlign w:val="center"/>
          </w:tcPr>
          <w:p>
            <w:pPr>
              <w:keepNext/>
              <w:spacing w:after="0"/>
            </w:pPr>
            <w:r>
              <w:rPr>
                <w:rFonts w:ascii="Calibri" w:hAnsi="Calibri"/>
                <w:b w:val="0"/>
                <w:i w:val="0"/>
                <w:color w:val="222222"/>
                <w:sz w:val="20"/>
              </w:rPr>
              <w:t>0.458 to 0.7</w:t>
            </w:r>
          </w:p>
        </w:tc>
      </w:tr>
      <w:tr>
        <w:trPr>
          <w:cantSplit/>
        </w:trPr>
        <w:tc>
          <w:tcPr>
            <w:tcW w:type="dxa" w:w="3667"/>
            <w:shd w:val="clear" w:color="auto" w:fill="FFFFFF"/>
            <w:vAlign w:val="center"/>
          </w:tcPr>
          <w:p>
            <w:pPr>
              <w:keepNext/>
              <w:spacing w:after="0"/>
            </w:pPr>
            <w:r>
              <w:rPr>
                <w:rFonts w:ascii="Calibri" w:hAnsi="Calibri"/>
                <w:b/>
                <w:i w:val="0"/>
                <w:color w:val="222222"/>
                <w:sz w:val="20"/>
              </w:rPr>
              <w:t>rat → human, zero-shot</w:t>
            </w:r>
          </w:p>
        </w:tc>
        <w:tc>
          <w:tcPr>
            <w:tcW w:type="dxa" w:w="2406"/>
            <w:shd w:val="clear" w:color="auto" w:fill="FFFFFF"/>
            <w:vAlign w:val="center"/>
          </w:tcPr>
          <w:p>
            <w:pPr>
              <w:keepNext/>
              <w:spacing w:after="0"/>
              <w:jc w:val="center"/>
            </w:pPr>
            <w:r>
              <w:rPr>
                <w:rFonts w:ascii="Calibri" w:hAnsi="Calibri"/>
                <w:b w:val="0"/>
                <w:i w:val="0"/>
                <w:color w:val="222222"/>
                <w:sz w:val="20"/>
              </w:rPr>
              <w:t>0.55</w:t>
            </w:r>
          </w:p>
        </w:tc>
        <w:tc>
          <w:tcPr>
            <w:tcW w:type="dxa" w:w="2423"/>
            <w:shd w:val="clear" w:color="auto" w:fill="FFFFFF"/>
            <w:vAlign w:val="center"/>
          </w:tcPr>
          <w:p>
            <w:pPr>
              <w:keepNext/>
              <w:spacing w:after="0"/>
            </w:pPr>
            <w:r>
              <w:rPr>
                <w:rFonts w:ascii="Calibri" w:hAnsi="Calibri"/>
                <w:b w:val="0"/>
                <w:i w:val="0"/>
                <w:color w:val="222222"/>
                <w:sz w:val="20"/>
              </w:rPr>
              <w:t>0.4 to 0.6</w:t>
            </w:r>
          </w:p>
        </w:tc>
      </w:tr>
      <w:tr>
        <w:trPr>
          <w:cantSplit/>
        </w:trPr>
        <w:tc>
          <w:tcPr>
            <w:tcW w:type="dxa" w:w="3667"/>
            <w:shd w:val="clear" w:color="auto" w:fill="F7F9FB"/>
            <w:vAlign w:val="center"/>
          </w:tcPr>
          <w:p>
            <w:pPr>
              <w:keepNext/>
              <w:spacing w:after="0"/>
            </w:pPr>
            <w:r>
              <w:rPr>
                <w:rFonts w:ascii="Calibri" w:hAnsi="Calibri"/>
                <w:b/>
                <w:i w:val="0"/>
                <w:color w:val="222222"/>
                <w:sz w:val="20"/>
              </w:rPr>
              <w:t>rat → human, CORAL</w:t>
            </w:r>
          </w:p>
        </w:tc>
        <w:tc>
          <w:tcPr>
            <w:tcW w:type="dxa" w:w="2406"/>
            <w:shd w:val="clear" w:color="auto" w:fill="F7F9FB"/>
            <w:vAlign w:val="center"/>
          </w:tcPr>
          <w:p>
            <w:pPr>
              <w:keepNext/>
              <w:spacing w:after="0"/>
              <w:jc w:val="center"/>
            </w:pPr>
            <w:r>
              <w:rPr>
                <w:rFonts w:ascii="Calibri" w:hAnsi="Calibri"/>
                <w:b w:val="0"/>
                <w:i w:val="0"/>
                <w:color w:val="222222"/>
                <w:sz w:val="20"/>
              </w:rPr>
              <w:t>0.442</w:t>
            </w:r>
          </w:p>
        </w:tc>
        <w:tc>
          <w:tcPr>
            <w:tcW w:type="dxa" w:w="2423"/>
            <w:shd w:val="clear" w:color="auto" w:fill="F7F9FB"/>
            <w:vAlign w:val="center"/>
          </w:tcPr>
          <w:p>
            <w:pPr>
              <w:keepNext/>
              <w:spacing w:after="0"/>
            </w:pPr>
            <w:r>
              <w:rPr>
                <w:rFonts w:ascii="Calibri" w:hAnsi="Calibri"/>
                <w:b w:val="0"/>
                <w:i w:val="0"/>
                <w:color w:val="222222"/>
                <w:sz w:val="20"/>
              </w:rPr>
              <w:t>0.302 to 0.591</w:t>
            </w:r>
          </w:p>
        </w:tc>
      </w:tr>
      <w:tr>
        <w:trPr>
          <w:cantSplit/>
        </w:trPr>
        <w:tc>
          <w:tcPr>
            <w:tcW w:type="dxa" w:w="3667"/>
            <w:shd w:val="clear" w:color="auto" w:fill="FFFFFF"/>
            <w:vAlign w:val="center"/>
          </w:tcPr>
          <w:p>
            <w:pPr>
              <w:keepNext w:val="0"/>
              <w:spacing w:after="0"/>
            </w:pPr>
            <w:r>
              <w:rPr>
                <w:rFonts w:ascii="Calibri" w:hAnsi="Calibri"/>
                <w:b/>
                <w:i w:val="0"/>
                <w:color w:val="222222"/>
                <w:sz w:val="20"/>
              </w:rPr>
              <w:t>rat → human, standardized</w:t>
            </w:r>
          </w:p>
        </w:tc>
        <w:tc>
          <w:tcPr>
            <w:tcW w:type="dxa" w:w="2406"/>
            <w:shd w:val="clear" w:color="auto" w:fill="FFFFFF"/>
            <w:vAlign w:val="center"/>
          </w:tcPr>
          <w:p>
            <w:pPr>
              <w:keepNext w:val="0"/>
              <w:spacing w:after="0"/>
              <w:jc w:val="center"/>
            </w:pPr>
            <w:r>
              <w:rPr>
                <w:rFonts w:ascii="Calibri" w:hAnsi="Calibri"/>
                <w:b w:val="0"/>
                <w:i w:val="0"/>
                <w:color w:val="222222"/>
                <w:sz w:val="20"/>
              </w:rPr>
              <w:t>0.408</w:t>
            </w:r>
          </w:p>
        </w:tc>
        <w:tc>
          <w:tcPr>
            <w:tcW w:type="dxa" w:w="2423"/>
            <w:shd w:val="clear" w:color="auto" w:fill="FFFFFF"/>
            <w:vAlign w:val="center"/>
          </w:tcPr>
          <w:p>
            <w:pPr>
              <w:keepNext w:val="0"/>
              <w:spacing w:after="0"/>
            </w:pPr>
            <w:r>
              <w:rPr>
                <w:rFonts w:ascii="Calibri" w:hAnsi="Calibri"/>
                <w:b w:val="0"/>
                <w:i w:val="0"/>
                <w:color w:val="222222"/>
                <w:sz w:val="20"/>
              </w:rPr>
              <w:t>0.267 to 0.568</w:t>
            </w:r>
          </w:p>
        </w:tc>
      </w:tr>
    </w:tbl>
    <w:p>
      <w:pPr>
        <w:spacing w:after="80"/>
      </w:pPr>
    </w:p>
    <w:p>
      <w:pPr>
        <w:spacing w:after="120"/>
      </w:pPr>
      <w:r>
        <w:rPr>
          <w:rFonts w:ascii="Calibri" w:hAnsi="Calibri"/>
          <w:b w:val="0"/>
          <w:i w:val="0"/>
          <w:color w:val="222222"/>
          <w:sz w:val="21"/>
        </w:rPr>
        <w:t>Every interval resamples cultures, not rows. For the within-species rows it is taken over the out-of-fold predictions pooled across the repeated grouped splits, and a culture drawn into a resample brings all of its predictions with it; for the transfer rows it is taken over the human test cultures.</w:t>
      </w:r>
    </w:p>
    <w:p>
      <w:pPr>
        <w:keepNext/>
        <w:spacing w:before="240" w:after="60"/>
      </w:pPr>
      <w:r>
        <w:rPr>
          <w:rFonts w:ascii="Calibri" w:hAnsi="Calibri"/>
          <w:b/>
          <w:i w:val="0"/>
          <w:color w:val="1F4E79"/>
          <w:sz w:val="23"/>
        </w:rPr>
        <w:t>Appendix O — Third-party software, models and AI tools</w:t>
      </w:r>
    </w:p>
    <w:p>
      <w:pPr>
        <w:keepNext/>
        <w:spacing w:after="120"/>
      </w:pPr>
      <w:r>
        <w:rPr>
          <w:rFonts w:ascii="Calibri" w:hAnsi="Calibri"/>
          <w:b/>
          <w:i w:val="0"/>
          <w:color w:val="156082"/>
          <w:sz w:val="21"/>
        </w:rPr>
        <w:t>Software.</w:t>
      </w:r>
      <w:r>
        <w:rPr>
          <w:rFonts w:ascii="Calibri" w:hAnsi="Calibri"/>
          <w:b w:val="0"/>
          <w:i w:val="0"/>
          <w:color w:val="222222"/>
          <w:sz w:val="21"/>
        </w:rPr>
        <w:t xml:space="preserve"> We use the libraries below unmodified, as dependencies; none of their source is redistributed here. Exact versions are pinned in </w:t>
      </w:r>
      <w:r>
        <w:rPr>
          <w:rFonts w:ascii="Consolas" w:hAnsi="Consolas"/>
          <w:b w:val="0"/>
          <w:i w:val="0"/>
          <w:color w:val="222222"/>
          <w:sz w:val="19"/>
        </w:rPr>
        <w:t>pyproject.toml</w:t>
      </w:r>
      <w:r>
        <w:rPr>
          <w:rFonts w:ascii="Calibri" w:hAnsi="Calibri"/>
          <w:b w:val="0"/>
          <w:i w:val="0"/>
          <w:color w:val="222222"/>
          <w:sz w:val="21"/>
        </w:rPr>
        <w:t xml:space="preserve">, and </w:t>
      </w:r>
      <w:r>
        <w:rPr>
          <w:rFonts w:ascii="Consolas" w:hAnsi="Consolas"/>
          <w:b w:val="0"/>
          <w:i w:val="0"/>
          <w:color w:val="222222"/>
          <w:sz w:val="19"/>
        </w:rPr>
        <w:t>THIRD_PARTY.md</w:t>
      </w:r>
      <w:r>
        <w:rPr>
          <w:rFonts w:ascii="Calibri" w:hAnsi="Calibri"/>
          <w:b w:val="0"/>
          <w:i w:val="0"/>
          <w:color w:val="222222"/>
          <w:sz w:val="21"/>
        </w:rPr>
        <w:t xml:space="preserve"> lists each package's license as read from its installed metadata.</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63"/>
        <w:gridCol w:w="2955"/>
        <w:gridCol w:w="3478"/>
      </w:tblGrid>
      <w:tr>
        <w:trPr>
          <w:cantSplit/>
          <w:tblHeader/>
        </w:trPr>
        <w:tc>
          <w:tcPr>
            <w:tcW w:type="dxa" w:w="2063"/>
            <w:shd w:val="clear" w:color="auto" w:fill="1F4E79"/>
            <w:vAlign w:val="center"/>
          </w:tcPr>
          <w:p>
            <w:pPr>
              <w:keepNext/>
              <w:spacing w:after="0"/>
            </w:pPr>
            <w:r>
              <w:rPr>
                <w:rFonts w:ascii="Calibri" w:hAnsi="Calibri"/>
                <w:b/>
                <w:i w:val="0"/>
                <w:color w:val="FFFFFF"/>
                <w:sz w:val="20"/>
              </w:rPr>
              <w:t>license</w:t>
            </w:r>
          </w:p>
        </w:tc>
        <w:tc>
          <w:tcPr>
            <w:tcW w:type="dxa" w:w="2955"/>
            <w:shd w:val="clear" w:color="auto" w:fill="1F4E79"/>
            <w:vAlign w:val="center"/>
          </w:tcPr>
          <w:p>
            <w:pPr>
              <w:keepNext/>
              <w:spacing w:after="0"/>
            </w:pPr>
            <w:r>
              <w:rPr>
                <w:rFonts w:ascii="Calibri" w:hAnsi="Calibri"/>
                <w:b/>
                <w:i w:val="0"/>
                <w:color w:val="FFFFFF"/>
                <w:sz w:val="20"/>
              </w:rPr>
              <w:t>packages</w:t>
            </w:r>
          </w:p>
        </w:tc>
        <w:tc>
          <w:tcPr>
            <w:tcW w:type="dxa" w:w="3478"/>
            <w:shd w:val="clear" w:color="auto" w:fill="1F4E79"/>
            <w:vAlign w:val="center"/>
          </w:tcPr>
          <w:p>
            <w:pPr>
              <w:keepNext/>
              <w:spacing w:after="0"/>
            </w:pPr>
            <w:r>
              <w:rPr>
                <w:rFonts w:ascii="Calibri" w:hAnsi="Calibri"/>
                <w:b/>
                <w:i w:val="0"/>
                <w:color w:val="FFFFFF"/>
                <w:sz w:val="20"/>
              </w:rPr>
              <w:t>what they do here</w:t>
            </w:r>
          </w:p>
        </w:tc>
      </w:tr>
      <w:tr>
        <w:trPr>
          <w:cantSplit/>
        </w:trPr>
        <w:tc>
          <w:tcPr>
            <w:tcW w:type="dxa" w:w="2063"/>
            <w:shd w:val="clear" w:color="auto" w:fill="FFFFFF"/>
            <w:vAlign w:val="center"/>
          </w:tcPr>
          <w:p>
            <w:pPr>
              <w:keepNext/>
              <w:spacing w:after="0"/>
            </w:pPr>
            <w:r>
              <w:rPr>
                <w:rFonts w:ascii="Calibri" w:hAnsi="Calibri"/>
                <w:b/>
                <w:i w:val="0"/>
                <w:color w:val="222222"/>
                <w:sz w:val="20"/>
              </w:rPr>
              <w:t>BSD (3-clause and BSD-style)</w:t>
            </w:r>
          </w:p>
        </w:tc>
        <w:tc>
          <w:tcPr>
            <w:tcW w:type="dxa" w:w="2955"/>
            <w:shd w:val="clear" w:color="auto" w:fill="FFFFFF"/>
            <w:vAlign w:val="center"/>
          </w:tcPr>
          <w:p>
            <w:pPr>
              <w:keepNext/>
              <w:spacing w:after="0"/>
            </w:pPr>
            <w:r>
              <w:rPr>
                <w:rFonts w:ascii="Calibri" w:hAnsi="Calibri"/>
                <w:b w:val="0"/>
                <w:i w:val="0"/>
                <w:color w:val="222222"/>
                <w:sz w:val="20"/>
              </w:rPr>
              <w:t>numpy, scipy, pandas, scikit-learn, h5py, altair, xlrd</w:t>
            </w:r>
          </w:p>
        </w:tc>
        <w:tc>
          <w:tcPr>
            <w:tcW w:type="dxa" w:w="3478"/>
            <w:shd w:val="clear" w:color="auto" w:fill="FFFFFF"/>
            <w:vAlign w:val="center"/>
          </w:tcPr>
          <w:p>
            <w:pPr>
              <w:keepNext/>
              <w:spacing w:after="0"/>
            </w:pPr>
            <w:r>
              <w:rPr>
                <w:rFonts w:ascii="Calibri" w:hAnsi="Calibri"/>
                <w:b w:val="0"/>
                <w:i w:val="0"/>
                <w:color w:val="222222"/>
                <w:sz w:val="20"/>
              </w:rPr>
              <w:t>numerics, data handling, classifiers, charts, file readers</w:t>
            </w:r>
          </w:p>
        </w:tc>
      </w:tr>
      <w:tr>
        <w:trPr>
          <w:cantSplit/>
        </w:trPr>
        <w:tc>
          <w:tcPr>
            <w:tcW w:type="dxa" w:w="2063"/>
            <w:shd w:val="clear" w:color="auto" w:fill="F7F9FB"/>
            <w:vAlign w:val="center"/>
          </w:tcPr>
          <w:p>
            <w:pPr>
              <w:keepNext/>
              <w:spacing w:after="0"/>
            </w:pPr>
            <w:r>
              <w:rPr>
                <w:rFonts w:ascii="Calibri" w:hAnsi="Calibri"/>
                <w:b/>
                <w:i w:val="0"/>
                <w:color w:val="222222"/>
                <w:sz w:val="20"/>
              </w:rPr>
              <w:t>MIT</w:t>
            </w:r>
          </w:p>
        </w:tc>
        <w:tc>
          <w:tcPr>
            <w:tcW w:type="dxa" w:w="2955"/>
            <w:shd w:val="clear" w:color="auto" w:fill="F7F9FB"/>
            <w:vAlign w:val="center"/>
          </w:tcPr>
          <w:p>
            <w:pPr>
              <w:keepNext/>
              <w:spacing w:after="0"/>
            </w:pPr>
            <w:r>
              <w:rPr>
                <w:rFonts w:ascii="Calibri" w:hAnsi="Calibri"/>
                <w:b w:val="0"/>
                <w:i w:val="0"/>
                <w:color w:val="222222"/>
                <w:sz w:val="20"/>
              </w:rPr>
              <w:t>jsonschema, openpyxl, python-docx, pytest, ruff</w:t>
            </w:r>
          </w:p>
        </w:tc>
        <w:tc>
          <w:tcPr>
            <w:tcW w:type="dxa" w:w="3478"/>
            <w:shd w:val="clear" w:color="auto" w:fill="F7F9FB"/>
            <w:vAlign w:val="center"/>
          </w:tcPr>
          <w:p>
            <w:pPr>
              <w:keepNext/>
              <w:spacing w:after="0"/>
            </w:pPr>
            <w:r>
              <w:rPr>
                <w:rFonts w:ascii="Calibri" w:hAnsi="Calibri"/>
                <w:b w:val="0"/>
                <w:i w:val="0"/>
                <w:color w:val="222222"/>
                <w:sz w:val="20"/>
              </w:rPr>
              <w:t>schema validation, spreadsheet input, report build, tests, linting</w:t>
            </w:r>
          </w:p>
        </w:tc>
      </w:tr>
      <w:tr>
        <w:trPr>
          <w:cantSplit/>
        </w:trPr>
        <w:tc>
          <w:tcPr>
            <w:tcW w:type="dxa" w:w="2063"/>
            <w:shd w:val="clear" w:color="auto" w:fill="FFFFFF"/>
            <w:vAlign w:val="center"/>
          </w:tcPr>
          <w:p>
            <w:pPr>
              <w:keepNext/>
              <w:spacing w:after="0"/>
            </w:pPr>
            <w:r>
              <w:rPr>
                <w:rFonts w:ascii="Calibri" w:hAnsi="Calibri"/>
                <w:b/>
                <w:i w:val="0"/>
                <w:color w:val="222222"/>
                <w:sz w:val="20"/>
              </w:rPr>
              <w:t>Apache 2.0</w:t>
            </w:r>
          </w:p>
        </w:tc>
        <w:tc>
          <w:tcPr>
            <w:tcW w:type="dxa" w:w="2955"/>
            <w:shd w:val="clear" w:color="auto" w:fill="FFFFFF"/>
            <w:vAlign w:val="center"/>
          </w:tcPr>
          <w:p>
            <w:pPr>
              <w:keepNext/>
              <w:spacing w:after="0"/>
            </w:pPr>
            <w:r>
              <w:rPr>
                <w:rFonts w:ascii="Calibri" w:hAnsi="Calibri"/>
                <w:b w:val="0"/>
                <w:i w:val="0"/>
                <w:color w:val="222222"/>
                <w:sz w:val="20"/>
              </w:rPr>
              <w:t>sbi, pyarrow, requests, streamlit</w:t>
            </w:r>
          </w:p>
        </w:tc>
        <w:tc>
          <w:tcPr>
            <w:tcW w:type="dxa" w:w="3478"/>
            <w:shd w:val="clear" w:color="auto" w:fill="FFFFFF"/>
            <w:vAlign w:val="center"/>
          </w:tcPr>
          <w:p>
            <w:pPr>
              <w:keepNext/>
              <w:spacing w:after="0"/>
            </w:pPr>
            <w:r>
              <w:rPr>
                <w:rFonts w:ascii="Calibri" w:hAnsi="Calibri"/>
                <w:b w:val="0"/>
                <w:i w:val="0"/>
                <w:color w:val="222222"/>
                <w:sz w:val="20"/>
              </w:rPr>
              <w:t>posterior estimation, storage, downloads, the demo app</w:t>
            </w:r>
          </w:p>
        </w:tc>
      </w:tr>
      <w:tr>
        <w:trPr>
          <w:cantSplit/>
        </w:trPr>
        <w:tc>
          <w:tcPr>
            <w:tcW w:type="dxa" w:w="2063"/>
            <w:shd w:val="clear" w:color="auto" w:fill="F7F9FB"/>
            <w:vAlign w:val="center"/>
          </w:tcPr>
          <w:p>
            <w:pPr>
              <w:keepNext/>
              <w:spacing w:after="0"/>
            </w:pPr>
            <w:r>
              <w:rPr>
                <w:rFonts w:ascii="Calibri" w:hAnsi="Calibri"/>
                <w:b/>
                <w:i w:val="0"/>
                <w:color w:val="222222"/>
                <w:sz w:val="20"/>
              </w:rPr>
              <w:t>Apache and BSD (combined notice)</w:t>
            </w:r>
          </w:p>
        </w:tc>
        <w:tc>
          <w:tcPr>
            <w:tcW w:type="dxa" w:w="2955"/>
            <w:shd w:val="clear" w:color="auto" w:fill="F7F9FB"/>
            <w:vAlign w:val="center"/>
          </w:tcPr>
          <w:p>
            <w:pPr>
              <w:keepNext/>
              <w:spacing w:after="0"/>
            </w:pPr>
            <w:r>
              <w:rPr>
                <w:rFonts w:ascii="Calibri" w:hAnsi="Calibri"/>
                <w:b w:val="0"/>
                <w:i w:val="0"/>
                <w:color w:val="222222"/>
                <w:sz w:val="20"/>
              </w:rPr>
              <w:t>torch</w:t>
            </w:r>
          </w:p>
        </w:tc>
        <w:tc>
          <w:tcPr>
            <w:tcW w:type="dxa" w:w="3478"/>
            <w:shd w:val="clear" w:color="auto" w:fill="F7F9FB"/>
            <w:vAlign w:val="center"/>
          </w:tcPr>
          <w:p>
            <w:pPr>
              <w:keepNext/>
              <w:spacing w:after="0"/>
            </w:pPr>
            <w:r>
              <w:rPr>
                <w:rFonts w:ascii="Calibri" w:hAnsi="Calibri"/>
                <w:b w:val="0"/>
                <w:i w:val="0"/>
                <w:color w:val="222222"/>
                <w:sz w:val="20"/>
              </w:rPr>
              <w:t>neural network backend for posterior estimation</w:t>
            </w:r>
          </w:p>
        </w:tc>
      </w:tr>
      <w:tr>
        <w:trPr>
          <w:cantSplit/>
        </w:trPr>
        <w:tc>
          <w:tcPr>
            <w:tcW w:type="dxa" w:w="2063"/>
            <w:shd w:val="clear" w:color="auto" w:fill="FFFFFF"/>
            <w:vAlign w:val="center"/>
          </w:tcPr>
          <w:p>
            <w:pPr>
              <w:keepNext/>
              <w:spacing w:after="0"/>
            </w:pPr>
            <w:r>
              <w:rPr>
                <w:rFonts w:ascii="Calibri" w:hAnsi="Calibri"/>
                <w:b/>
                <w:i w:val="0"/>
                <w:color w:val="222222"/>
                <w:sz w:val="20"/>
              </w:rPr>
              <w:t>Python Software Foundation</w:t>
            </w:r>
          </w:p>
        </w:tc>
        <w:tc>
          <w:tcPr>
            <w:tcW w:type="dxa" w:w="2955"/>
            <w:shd w:val="clear" w:color="auto" w:fill="FFFFFF"/>
            <w:vAlign w:val="center"/>
          </w:tcPr>
          <w:p>
            <w:pPr>
              <w:keepNext/>
              <w:spacing w:after="0"/>
            </w:pPr>
            <w:r>
              <w:rPr>
                <w:rFonts w:ascii="Calibri" w:hAnsi="Calibri"/>
                <w:b w:val="0"/>
                <w:i w:val="0"/>
                <w:color w:val="222222"/>
                <w:sz w:val="20"/>
              </w:rPr>
              <w:t>matplotlib</w:t>
            </w:r>
          </w:p>
        </w:tc>
        <w:tc>
          <w:tcPr>
            <w:tcW w:type="dxa" w:w="3478"/>
            <w:shd w:val="clear" w:color="auto" w:fill="FFFFFF"/>
            <w:vAlign w:val="center"/>
          </w:tcPr>
          <w:p>
            <w:pPr>
              <w:keepNext/>
              <w:spacing w:after="0"/>
            </w:pPr>
            <w:r>
              <w:rPr>
                <w:rFonts w:ascii="Calibri" w:hAnsi="Calibri"/>
                <w:b w:val="0"/>
                <w:i w:val="0"/>
                <w:color w:val="222222"/>
                <w:sz w:val="20"/>
              </w:rPr>
              <w:t>figures</w:t>
            </w:r>
          </w:p>
        </w:tc>
      </w:tr>
      <w:tr>
        <w:trPr>
          <w:cantSplit/>
        </w:trPr>
        <w:tc>
          <w:tcPr>
            <w:tcW w:type="dxa" w:w="2063"/>
            <w:shd w:val="clear" w:color="auto" w:fill="F7F9FB"/>
            <w:vAlign w:val="center"/>
          </w:tcPr>
          <w:p>
            <w:pPr>
              <w:keepNext w:val="0"/>
              <w:spacing w:after="0"/>
            </w:pPr>
            <w:r>
              <w:rPr>
                <w:rFonts w:ascii="Calibri" w:hAnsi="Calibri"/>
                <w:b/>
                <w:i w:val="0"/>
                <w:color w:val="222222"/>
                <w:sz w:val="20"/>
              </w:rPr>
              <w:t>CeCILL 2.1</w:t>
            </w:r>
          </w:p>
        </w:tc>
        <w:tc>
          <w:tcPr>
            <w:tcW w:type="dxa" w:w="2955"/>
            <w:shd w:val="clear" w:color="auto" w:fill="F7F9FB"/>
            <w:vAlign w:val="center"/>
          </w:tcPr>
          <w:p>
            <w:pPr>
              <w:keepNext w:val="0"/>
              <w:spacing w:after="0"/>
            </w:pPr>
            <w:r>
              <w:rPr>
                <w:rFonts w:ascii="Calibri" w:hAnsi="Calibri"/>
                <w:b w:val="0"/>
                <w:i w:val="0"/>
                <w:color w:val="222222"/>
                <w:sz w:val="20"/>
              </w:rPr>
              <w:t>brian2</w:t>
            </w:r>
          </w:p>
        </w:tc>
        <w:tc>
          <w:tcPr>
            <w:tcW w:type="dxa" w:w="3478"/>
            <w:shd w:val="clear" w:color="auto" w:fill="F7F9FB"/>
            <w:vAlign w:val="center"/>
          </w:tcPr>
          <w:p>
            <w:pPr>
              <w:keepNext w:val="0"/>
              <w:spacing w:after="0"/>
            </w:pPr>
            <w:r>
              <w:rPr>
                <w:rFonts w:ascii="Calibri" w:hAnsi="Calibri"/>
                <w:b w:val="0"/>
                <w:i w:val="0"/>
                <w:color w:val="222222"/>
                <w:sz w:val="20"/>
              </w:rPr>
              <w:t>spiking-network simulation of the twin</w:t>
            </w:r>
          </w:p>
        </w:tc>
      </w:tr>
    </w:tbl>
    <w:p>
      <w:pPr>
        <w:spacing w:after="80"/>
      </w:pPr>
    </w:p>
    <w:p>
      <w:pPr>
        <w:spacing w:after="120"/>
      </w:pPr>
      <w:r>
        <w:rPr>
          <w:rFonts w:ascii="Calibri" w:hAnsi="Calibri"/>
          <w:b w:val="0"/>
          <w:i w:val="0"/>
          <w:color w:val="222222"/>
          <w:sz w:val="21"/>
        </w:rPr>
        <w:t>Brian2's license is the most restrictive in the list; we use it unmodified, as a library.</w:t>
      </w:r>
    </w:p>
    <w:p>
      <w:pPr>
        <w:spacing w:after="120"/>
      </w:pPr>
      <w:r>
        <w:rPr>
          <w:rFonts w:ascii="Calibri" w:hAnsi="Calibri"/>
          <w:b/>
          <w:i w:val="0"/>
          <w:color w:val="156082"/>
          <w:sz w:val="21"/>
        </w:rPr>
        <w:t>Models.</w:t>
      </w:r>
      <w:r>
        <w:rPr>
          <w:rFonts w:ascii="Calibri" w:hAnsi="Calibri"/>
          <w:b w:val="0"/>
          <w:i w:val="0"/>
          <w:color w:val="222222"/>
          <w:sz w:val="21"/>
        </w:rPr>
        <w:t xml:space="preserve"> We use no pretrained models. Every statistical model in this report — logistic regression, gradient boosting and the neural posterior estimator — is trained from scratch on the data described here. The fly study of Act VII adopts the equations and constants of the whole-brain model of Shiu et al. (2024; code under the MIT license), reimplemented in our own code.</w:t>
      </w:r>
    </w:p>
    <w:p>
      <w:pPr>
        <w:spacing w:after="120"/>
      </w:pPr>
      <w:r>
        <w:rPr>
          <w:rFonts w:ascii="Calibri" w:hAnsi="Calibri"/>
          <w:b/>
          <w:i w:val="0"/>
          <w:color w:val="156082"/>
          <w:sz w:val="21"/>
        </w:rPr>
        <w:t>Data.</w:t>
      </w:r>
      <w:r>
        <w:rPr>
          <w:rFonts w:ascii="Calibri" w:hAnsi="Calibri"/>
          <w:b w:val="0"/>
          <w:i w:val="0"/>
          <w:color w:val="222222"/>
          <w:sz w:val="21"/>
        </w:rPr>
        <w:t xml:space="preserve"> Every dataset we used, with its license and status, is listed in Appendix C.</w:t>
      </w:r>
    </w:p>
    <w:p>
      <w:pPr>
        <w:spacing w:after="120"/>
      </w:pPr>
      <w:r>
        <w:rPr>
          <w:rFonts w:ascii="Calibri" w:hAnsi="Calibri"/>
          <w:b/>
          <w:i w:val="0"/>
          <w:color w:val="156082"/>
          <w:sz w:val="21"/>
        </w:rPr>
        <w:t>AI tools.</w:t>
      </w:r>
      <w:r>
        <w:rPr>
          <w:rFonts w:ascii="Calibri" w:hAnsi="Calibri"/>
          <w:b w:val="0"/>
          <w:i w:val="0"/>
          <w:color w:val="222222"/>
          <w:sz w:val="21"/>
        </w:rPr>
        <w:t xml:space="preserve"> We developed the project with Anthropic's Claude Code (§22), a commercial tool used under Anthropic's terms of service. It is not part of the delivered pipeline, and nothing it wrote is accepted without passing the same tests and citation checks as the rest of the code.</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