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round-1 flow unchanged, the same flow retrained on the larger pool, and an equal-weight ensemble of five such flows. The test is the round-1 test, unchanged: rank uniformity on 300 held-out runs at p ≥ 0.05 per parameter, with no correction for testing five (a correction would make passing easier, and would have passed the round-1 failures). We added credible-interval coverage on all 1,000.</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78"/>
        <w:gridCol w:w="1060"/>
        <w:gridCol w:w="945"/>
        <w:gridCol w:w="1229"/>
        <w:gridCol w:w="1404"/>
        <w:gridCol w:w="1180"/>
      </w:tblGrid>
      <w:tr>
        <w:trPr>
          <w:cantSplit/>
          <w:tblHeader/>
        </w:trPr>
        <w:tc>
          <w:tcPr>
            <w:tcW w:type="dxa" w:w="2678"/>
            <w:shd w:val="clear" w:color="auto" w:fill="1F4E79"/>
            <w:vAlign w:val="center"/>
          </w:tcPr>
          <w:p>
            <w:pPr>
              <w:keepNext/>
              <w:spacing w:after="0"/>
            </w:pPr>
            <w:r>
              <w:rPr>
                <w:rFonts w:ascii="Calibri" w:hAnsi="Calibri"/>
                <w:b/>
                <w:i w:val="0"/>
                <w:color w:val="FFFFFF"/>
                <w:sz w:val="20"/>
              </w:rPr>
              <w:t>model parameter</w:t>
            </w:r>
          </w:p>
        </w:tc>
        <w:tc>
          <w:tcPr>
            <w:tcW w:type="dxa" w:w="1060"/>
            <w:shd w:val="clear" w:color="auto" w:fill="1F4E79"/>
            <w:vAlign w:val="center"/>
          </w:tcPr>
          <w:p>
            <w:pPr>
              <w:keepNext/>
              <w:spacing w:after="0"/>
              <w:jc w:val="center"/>
            </w:pPr>
            <w:r>
              <w:rPr>
                <w:rFonts w:ascii="Calibri" w:hAnsi="Calibri"/>
                <w:b/>
                <w:i w:val="0"/>
                <w:color w:val="FFFFFF"/>
                <w:sz w:val="20"/>
              </w:rPr>
              <w:t>round-1 flow, fresh runs (KS p)</w:t>
            </w:r>
          </w:p>
        </w:tc>
        <w:tc>
          <w:tcPr>
            <w:tcW w:type="dxa" w:w="945"/>
            <w:shd w:val="clear" w:color="auto" w:fill="1F4E79"/>
            <w:vAlign w:val="center"/>
          </w:tcPr>
          <w:p>
            <w:pPr>
              <w:keepNext/>
              <w:spacing w:after="0"/>
              <w:jc w:val="center"/>
            </w:pPr>
            <w:r>
              <w:rPr>
                <w:rFonts w:ascii="Calibri" w:hAnsi="Calibri"/>
                <w:b/>
                <w:i w:val="0"/>
                <w:color w:val="FFFFFF"/>
                <w:sz w:val="20"/>
              </w:rPr>
              <w:t>one flow, larger pool (KS p)</w:t>
            </w:r>
          </w:p>
        </w:tc>
        <w:tc>
          <w:tcPr>
            <w:tcW w:type="dxa" w:w="1229"/>
            <w:shd w:val="clear" w:color="auto" w:fill="1F4E79"/>
            <w:vAlign w:val="center"/>
          </w:tcPr>
          <w:p>
            <w:pPr>
              <w:keepNext/>
              <w:spacing w:after="0"/>
              <w:jc w:val="center"/>
            </w:pPr>
            <w:r>
              <w:rPr>
                <w:rFonts w:ascii="Calibri" w:hAnsi="Calibri"/>
                <w:b/>
                <w:i w:val="0"/>
                <w:color w:val="FFFFFF"/>
                <w:sz w:val="20"/>
              </w:rPr>
              <w:t>five-flow ensemble (KS p)</w:t>
            </w:r>
          </w:p>
        </w:tc>
        <w:tc>
          <w:tcPr>
            <w:tcW w:type="dxa" w:w="1404"/>
            <w:shd w:val="clear" w:color="auto" w:fill="1F4E79"/>
            <w:vAlign w:val="center"/>
          </w:tcPr>
          <w:p>
            <w:pPr>
              <w:keepNext/>
              <w:spacing w:after="0"/>
              <w:jc w:val="center"/>
            </w:pPr>
            <w:r>
              <w:rPr>
                <w:rFonts w:ascii="Calibri" w:hAnsi="Calibri"/>
                <w:b/>
                <w:i w:val="0"/>
                <w:color w:val="FFFFFF"/>
                <w:sz w:val="20"/>
              </w:rPr>
              <w:t>ensemble contraction</w:t>
            </w:r>
          </w:p>
        </w:tc>
        <w:tc>
          <w:tcPr>
            <w:tcW w:type="dxa" w:w="1180"/>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78"/>
            <w:shd w:val="clear" w:color="auto" w:fill="FFFFFF"/>
            <w:vAlign w:val="center"/>
          </w:tcPr>
          <w:p>
            <w:pPr>
              <w:keepNext/>
              <w:spacing w:after="0"/>
            </w:pPr>
            <w:r>
              <w:rPr>
                <w:rFonts w:ascii="Consolas" w:hAnsi="Consolas"/>
                <w:b/>
                <w:i w:val="0"/>
                <w:color w:val="222222"/>
                <w:sz w:val="18"/>
              </w:rPr>
              <w:t>threshold_scale</w:t>
            </w:r>
          </w:p>
        </w:tc>
        <w:tc>
          <w:tcPr>
            <w:tcW w:type="dxa" w:w="1060"/>
            <w:shd w:val="clear" w:color="auto" w:fill="FFFFFF"/>
            <w:vAlign w:val="center"/>
          </w:tcPr>
          <w:p>
            <w:pPr>
              <w:keepNext/>
              <w:spacing w:after="0"/>
              <w:jc w:val="center"/>
            </w:pPr>
            <w:r>
              <w:rPr>
                <w:rFonts w:ascii="Calibri" w:hAnsi="Calibri"/>
                <w:b w:val="0"/>
                <w:i w:val="0"/>
                <w:color w:val="222222"/>
                <w:sz w:val="20"/>
              </w:rPr>
              <w:t>0.0121</w:t>
            </w:r>
          </w:p>
        </w:tc>
        <w:tc>
          <w:tcPr>
            <w:tcW w:type="dxa" w:w="945"/>
            <w:shd w:val="clear" w:color="auto" w:fill="FFFFFF"/>
            <w:vAlign w:val="center"/>
          </w:tcPr>
          <w:p>
            <w:pPr>
              <w:keepNext/>
              <w:spacing w:after="0"/>
              <w:jc w:val="center"/>
            </w:pPr>
            <w:r>
              <w:rPr>
                <w:rFonts w:ascii="Calibri" w:hAnsi="Calibri"/>
                <w:b w:val="0"/>
                <w:i w:val="0"/>
                <w:color w:val="222222"/>
                <w:sz w:val="20"/>
              </w:rPr>
              <w:t>0.065</w:t>
            </w:r>
          </w:p>
        </w:tc>
        <w:tc>
          <w:tcPr>
            <w:tcW w:type="dxa" w:w="1229"/>
            <w:shd w:val="clear" w:color="auto" w:fill="FFFFFF"/>
            <w:vAlign w:val="center"/>
          </w:tcPr>
          <w:p>
            <w:pPr>
              <w:keepNext/>
              <w:spacing w:after="0"/>
              <w:jc w:val="center"/>
            </w:pPr>
            <w:r>
              <w:rPr>
                <w:rFonts w:ascii="Calibri" w:hAnsi="Calibri"/>
                <w:b w:val="0"/>
                <w:i w:val="0"/>
                <w:color w:val="222222"/>
                <w:sz w:val="20"/>
              </w:rPr>
              <w:t>0.3128</w:t>
            </w:r>
          </w:p>
        </w:tc>
        <w:tc>
          <w:tcPr>
            <w:tcW w:type="dxa" w:w="1404"/>
            <w:shd w:val="clear" w:color="auto" w:fill="FFFFFF"/>
            <w:vAlign w:val="center"/>
          </w:tcPr>
          <w:p>
            <w:pPr>
              <w:keepNext/>
              <w:spacing w:after="0"/>
              <w:jc w:val="center"/>
            </w:pPr>
            <w:r>
              <w:rPr>
                <w:rFonts w:ascii="Calibri" w:hAnsi="Calibri"/>
                <w:b w:val="0"/>
                <w:i w:val="0"/>
                <w:color w:val="222222"/>
                <w:sz w:val="20"/>
              </w:rPr>
              <w:t>0.742</w:t>
            </w:r>
          </w:p>
        </w:tc>
        <w:tc>
          <w:tcPr>
            <w:tcW w:type="dxa" w:w="1180"/>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78"/>
            <w:shd w:val="clear" w:color="auto" w:fill="F7F9FB"/>
            <w:vAlign w:val="center"/>
          </w:tcPr>
          <w:p>
            <w:pPr>
              <w:keepNext/>
              <w:spacing w:after="0"/>
            </w:pPr>
            <w:r>
              <w:rPr>
                <w:rFonts w:ascii="Consolas" w:hAnsi="Consolas"/>
                <w:b/>
                <w:i w:val="0"/>
                <w:color w:val="222222"/>
                <w:sz w:val="18"/>
              </w:rPr>
              <w:t>ampa_scale</w:t>
            </w:r>
          </w:p>
        </w:tc>
        <w:tc>
          <w:tcPr>
            <w:tcW w:type="dxa" w:w="1060"/>
            <w:shd w:val="clear" w:color="auto" w:fill="F7F9FB"/>
            <w:vAlign w:val="center"/>
          </w:tcPr>
          <w:p>
            <w:pPr>
              <w:keepNext/>
              <w:spacing w:after="0"/>
              <w:jc w:val="center"/>
            </w:pPr>
            <w:r>
              <w:rPr>
                <w:rFonts w:ascii="Calibri" w:hAnsi="Calibri"/>
                <w:b w:val="0"/>
                <w:i w:val="0"/>
                <w:color w:val="222222"/>
                <w:sz w:val="20"/>
              </w:rPr>
              <w:t>0.0345</w:t>
            </w:r>
          </w:p>
        </w:tc>
        <w:tc>
          <w:tcPr>
            <w:tcW w:type="dxa" w:w="945"/>
            <w:shd w:val="clear" w:color="auto" w:fill="F7F9FB"/>
            <w:vAlign w:val="center"/>
          </w:tcPr>
          <w:p>
            <w:pPr>
              <w:keepNext/>
              <w:spacing w:after="0"/>
              <w:jc w:val="center"/>
            </w:pPr>
            <w:r>
              <w:rPr>
                <w:rFonts w:ascii="Calibri" w:hAnsi="Calibri"/>
                <w:b w:val="0"/>
                <w:i w:val="0"/>
                <w:color w:val="222222"/>
                <w:sz w:val="20"/>
              </w:rPr>
              <w:t>0.1726</w:t>
            </w:r>
          </w:p>
        </w:tc>
        <w:tc>
          <w:tcPr>
            <w:tcW w:type="dxa" w:w="1229"/>
            <w:shd w:val="clear" w:color="auto" w:fill="F7F9FB"/>
            <w:vAlign w:val="center"/>
          </w:tcPr>
          <w:p>
            <w:pPr>
              <w:keepNext/>
              <w:spacing w:after="0"/>
              <w:jc w:val="center"/>
            </w:pPr>
            <w:r>
              <w:rPr>
                <w:rFonts w:ascii="Calibri" w:hAnsi="Calibri"/>
                <w:b w:val="0"/>
                <w:i w:val="0"/>
                <w:color w:val="222222"/>
                <w:sz w:val="20"/>
              </w:rPr>
              <w:t>0.3485</w:t>
            </w:r>
          </w:p>
        </w:tc>
        <w:tc>
          <w:tcPr>
            <w:tcW w:type="dxa" w:w="1404"/>
            <w:shd w:val="clear" w:color="auto" w:fill="F7F9FB"/>
            <w:vAlign w:val="center"/>
          </w:tcPr>
          <w:p>
            <w:pPr>
              <w:keepNext/>
              <w:spacing w:after="0"/>
              <w:jc w:val="center"/>
            </w:pPr>
            <w:r>
              <w:rPr>
                <w:rFonts w:ascii="Calibri" w:hAnsi="Calibri"/>
                <w:b w:val="0"/>
                <w:i w:val="0"/>
                <w:color w:val="222222"/>
                <w:sz w:val="20"/>
              </w:rPr>
              <w:t>0.663</w:t>
            </w:r>
          </w:p>
        </w:tc>
        <w:tc>
          <w:tcPr>
            <w:tcW w:type="dxa" w:w="1180"/>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78"/>
            <w:shd w:val="clear" w:color="auto" w:fill="FFFFFF"/>
            <w:vAlign w:val="center"/>
          </w:tcPr>
          <w:p>
            <w:pPr>
              <w:keepNext/>
              <w:spacing w:after="0"/>
            </w:pPr>
            <w:r>
              <w:rPr>
                <w:rFonts w:ascii="Consolas" w:hAnsi="Consolas"/>
                <w:b/>
                <w:i w:val="0"/>
                <w:color w:val="222222"/>
                <w:sz w:val="18"/>
              </w:rPr>
              <w:t>log10_forward_ratio</w:t>
            </w:r>
          </w:p>
        </w:tc>
        <w:tc>
          <w:tcPr>
            <w:tcW w:type="dxa" w:w="1060"/>
            <w:shd w:val="clear" w:color="auto" w:fill="FFFFFF"/>
            <w:vAlign w:val="center"/>
          </w:tcPr>
          <w:p>
            <w:pPr>
              <w:keepNext/>
              <w:spacing w:after="0"/>
              <w:jc w:val="center"/>
            </w:pPr>
            <w:r>
              <w:rPr>
                <w:rFonts w:ascii="Calibri" w:hAnsi="Calibri"/>
                <w:b w:val="0"/>
                <w:i w:val="0"/>
                <w:color w:val="222222"/>
                <w:sz w:val="20"/>
              </w:rPr>
              <w:t>0.0037</w:t>
            </w:r>
          </w:p>
        </w:tc>
        <w:tc>
          <w:tcPr>
            <w:tcW w:type="dxa" w:w="945"/>
            <w:shd w:val="clear" w:color="auto" w:fill="FFFFFF"/>
            <w:vAlign w:val="center"/>
          </w:tcPr>
          <w:p>
            <w:pPr>
              <w:keepNext/>
              <w:spacing w:after="0"/>
              <w:jc w:val="center"/>
            </w:pPr>
            <w:r>
              <w:rPr>
                <w:rFonts w:ascii="Calibri" w:hAnsi="Calibri"/>
                <w:b w:val="0"/>
                <w:i w:val="0"/>
                <w:color w:val="222222"/>
                <w:sz w:val="20"/>
              </w:rPr>
              <w:t>0.0874</w:t>
            </w:r>
          </w:p>
        </w:tc>
        <w:tc>
          <w:tcPr>
            <w:tcW w:type="dxa" w:w="1229"/>
            <w:shd w:val="clear" w:color="auto" w:fill="FFFFFF"/>
            <w:vAlign w:val="center"/>
          </w:tcPr>
          <w:p>
            <w:pPr>
              <w:keepNext/>
              <w:spacing w:after="0"/>
              <w:jc w:val="center"/>
            </w:pPr>
            <w:r>
              <w:rPr>
                <w:rFonts w:ascii="Calibri" w:hAnsi="Calibri"/>
                <w:b w:val="0"/>
                <w:i w:val="0"/>
                <w:color w:val="222222"/>
                <w:sz w:val="20"/>
              </w:rPr>
              <w:t>0.065</w:t>
            </w:r>
          </w:p>
        </w:tc>
        <w:tc>
          <w:tcPr>
            <w:tcW w:type="dxa" w:w="1404"/>
            <w:shd w:val="clear" w:color="auto" w:fill="FFFFFF"/>
            <w:vAlign w:val="center"/>
          </w:tcPr>
          <w:p>
            <w:pPr>
              <w:keepNext/>
              <w:spacing w:after="0"/>
              <w:jc w:val="center"/>
            </w:pPr>
            <w:r>
              <w:rPr>
                <w:rFonts w:ascii="Calibri" w:hAnsi="Calibri"/>
                <w:b w:val="0"/>
                <w:i w:val="0"/>
                <w:color w:val="222222"/>
                <w:sz w:val="20"/>
              </w:rPr>
              <w:t>0.464</w:t>
            </w:r>
          </w:p>
        </w:tc>
        <w:tc>
          <w:tcPr>
            <w:tcW w:type="dxa" w:w="1180"/>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78"/>
            <w:shd w:val="clear" w:color="auto" w:fill="F7F9FB"/>
            <w:vAlign w:val="center"/>
          </w:tcPr>
          <w:p>
            <w:pPr>
              <w:keepNext/>
              <w:spacing w:after="0"/>
            </w:pPr>
            <w:r>
              <w:rPr>
                <w:rFonts w:ascii="Consolas" w:hAnsi="Consolas"/>
                <w:b/>
                <w:i w:val="0"/>
                <w:color w:val="222222"/>
                <w:sz w:val="18"/>
              </w:rPr>
              <w:t>gabaa_scale</w:t>
            </w:r>
          </w:p>
        </w:tc>
        <w:tc>
          <w:tcPr>
            <w:tcW w:type="dxa" w:w="1060"/>
            <w:shd w:val="clear" w:color="auto" w:fill="F7F9FB"/>
            <w:vAlign w:val="center"/>
          </w:tcPr>
          <w:p>
            <w:pPr>
              <w:keepNext/>
              <w:spacing w:after="0"/>
              <w:jc w:val="center"/>
            </w:pPr>
            <w:r>
              <w:rPr>
                <w:rFonts w:ascii="Calibri" w:hAnsi="Calibri"/>
                <w:b w:val="0"/>
                <w:i w:val="0"/>
                <w:color w:val="222222"/>
                <w:sz w:val="20"/>
              </w:rPr>
              <w:t>0.01</w:t>
            </w:r>
          </w:p>
        </w:tc>
        <w:tc>
          <w:tcPr>
            <w:tcW w:type="dxa" w:w="945"/>
            <w:shd w:val="clear" w:color="auto" w:fill="F7F9FB"/>
            <w:vAlign w:val="center"/>
          </w:tcPr>
          <w:p>
            <w:pPr>
              <w:keepNext/>
              <w:spacing w:after="0"/>
              <w:jc w:val="center"/>
            </w:pPr>
            <w:r>
              <w:rPr>
                <w:rFonts w:ascii="Calibri" w:hAnsi="Calibri"/>
                <w:b w:val="0"/>
                <w:i w:val="0"/>
                <w:color w:val="222222"/>
                <w:sz w:val="20"/>
              </w:rPr>
              <w:t>0.0025</w:t>
            </w:r>
          </w:p>
        </w:tc>
        <w:tc>
          <w:tcPr>
            <w:tcW w:type="dxa" w:w="1229"/>
            <w:shd w:val="clear" w:color="auto" w:fill="F7F9FB"/>
            <w:vAlign w:val="center"/>
          </w:tcPr>
          <w:p>
            <w:pPr>
              <w:keepNext/>
              <w:spacing w:after="0"/>
              <w:jc w:val="center"/>
            </w:pPr>
            <w:r>
              <w:rPr>
                <w:rFonts w:ascii="Calibri" w:hAnsi="Calibri"/>
                <w:b w:val="0"/>
                <w:i w:val="0"/>
                <w:color w:val="222222"/>
                <w:sz w:val="20"/>
              </w:rPr>
              <w:t>0.1726</w:t>
            </w:r>
          </w:p>
        </w:tc>
        <w:tc>
          <w:tcPr>
            <w:tcW w:type="dxa" w:w="1404"/>
            <w:shd w:val="clear" w:color="auto" w:fill="F7F9FB"/>
            <w:vAlign w:val="center"/>
          </w:tcPr>
          <w:p>
            <w:pPr>
              <w:keepNext/>
              <w:spacing w:after="0"/>
              <w:jc w:val="center"/>
            </w:pPr>
            <w:r>
              <w:rPr>
                <w:rFonts w:ascii="Calibri" w:hAnsi="Calibri"/>
                <w:b w:val="0"/>
                <w:i w:val="0"/>
                <w:color w:val="222222"/>
                <w:sz w:val="20"/>
              </w:rPr>
              <w:t>0.31</w:t>
            </w:r>
          </w:p>
        </w:tc>
        <w:tc>
          <w:tcPr>
            <w:tcW w:type="dxa" w:w="1180"/>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78"/>
            <w:shd w:val="clear" w:color="auto" w:fill="FFFFFF"/>
            <w:vAlign w:val="center"/>
          </w:tcPr>
          <w:p>
            <w:pPr>
              <w:keepNext w:val="0"/>
              <w:spacing w:after="0"/>
            </w:pPr>
            <w:r>
              <w:rPr>
                <w:rFonts w:ascii="Consolas" w:hAnsi="Consolas"/>
                <w:b/>
                <w:i w:val="0"/>
                <w:color w:val="222222"/>
                <w:sz w:val="18"/>
              </w:rPr>
              <w:t>inter_in_degree</w:t>
            </w:r>
          </w:p>
        </w:tc>
        <w:tc>
          <w:tcPr>
            <w:tcW w:type="dxa" w:w="1060"/>
            <w:shd w:val="clear" w:color="auto" w:fill="FFFFFF"/>
            <w:vAlign w:val="center"/>
          </w:tcPr>
          <w:p>
            <w:pPr>
              <w:keepNext w:val="0"/>
              <w:spacing w:after="0"/>
              <w:jc w:val="center"/>
            </w:pPr>
            <w:r>
              <w:rPr>
                <w:rFonts w:ascii="Calibri" w:hAnsi="Calibri"/>
                <w:b w:val="0"/>
                <w:i w:val="0"/>
                <w:color w:val="222222"/>
                <w:sz w:val="20"/>
              </w:rPr>
              <w:t>0.0001</w:t>
            </w:r>
          </w:p>
        </w:tc>
        <w:tc>
          <w:tcPr>
            <w:tcW w:type="dxa" w:w="945"/>
            <w:shd w:val="clear" w:color="auto" w:fill="FFFFFF"/>
            <w:vAlign w:val="center"/>
          </w:tcPr>
          <w:p>
            <w:pPr>
              <w:keepNext w:val="0"/>
              <w:spacing w:after="0"/>
              <w:jc w:val="center"/>
            </w:pPr>
            <w:r>
              <w:rPr>
                <w:rFonts w:ascii="Calibri" w:hAnsi="Calibri"/>
                <w:b w:val="0"/>
                <w:i w:val="0"/>
                <w:color w:val="222222"/>
                <w:sz w:val="20"/>
              </w:rPr>
              <w:t>0.0056</w:t>
            </w:r>
          </w:p>
        </w:tc>
        <w:tc>
          <w:tcPr>
            <w:tcW w:type="dxa" w:w="1229"/>
            <w:shd w:val="clear" w:color="auto" w:fill="FFFFFF"/>
            <w:vAlign w:val="center"/>
          </w:tcPr>
          <w:p>
            <w:pPr>
              <w:keepNext w:val="0"/>
              <w:spacing w:after="0"/>
              <w:jc w:val="center"/>
            </w:pPr>
            <w:r>
              <w:rPr>
                <w:rFonts w:ascii="Calibri" w:hAnsi="Calibri"/>
                <w:b w:val="0"/>
                <w:i w:val="0"/>
                <w:color w:val="222222"/>
                <w:sz w:val="20"/>
              </w:rPr>
              <w:t>0.0056</w:t>
            </w:r>
          </w:p>
        </w:tc>
        <w:tc>
          <w:tcPr>
            <w:tcW w:type="dxa" w:w="1404"/>
            <w:shd w:val="clear" w:color="auto" w:fill="FFFFFF"/>
            <w:vAlign w:val="center"/>
          </w:tcPr>
          <w:p>
            <w:pPr>
              <w:keepNext w:val="0"/>
              <w:spacing w:after="0"/>
              <w:jc w:val="center"/>
            </w:pPr>
            <w:r>
              <w:rPr>
                <w:rFonts w:ascii="Calibri" w:hAnsi="Calibri"/>
                <w:b w:val="0"/>
                <w:i w:val="0"/>
                <w:color w:val="222222"/>
                <w:sz w:val="20"/>
              </w:rPr>
              <w:t>0.306</w:t>
            </w:r>
          </w:p>
        </w:tc>
        <w:tc>
          <w:tcPr>
            <w:tcW w:type="dxa" w:w="1180"/>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round-1 failure replicates (passes), and more.</w:t>
      </w:r>
      <w:r>
        <w:rPr>
          <w:rFonts w:ascii="Calibri" w:hAnsi="Calibri"/>
          <w:b w:val="0"/>
          <w:i w:val="0"/>
          <w:color w:val="222222"/>
          <w:sz w:val="21"/>
        </w:rPr>
        <w:t xml:space="preserve"> On fresh simulations the round-1 flow fails all five parameters, not two. It was not a changed simulator: six of its own training runs, re-simulated today, came out identical (6 of 6, a check added after the result). Nor was it our evaluation code: run on the round-1 held-out set, it reproduces the round-1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round-1 test missed, coverage shows: even on that set, the round-1 flow's 50% intervals held the true value 0.3933 to 0.47 of the time. Three hundred runs are too few for a rank test to see an over-confidence of this size reliably, so the round-1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300-run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all 1,000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round-1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round-1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round-1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round-1 training set alone fails all five on the 300-run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above p = 0.05 on the 300-run test, and on all 1,000 runs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1,000 runs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is simulated and labelled so. Both analyses were registered before any response statistic was computed (`preregistration/toxcast_noise_floors.json`, `preregistration/twin_toxcast_positive_controls.json`).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not the twin's dose response.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3" name="Picture 23"/>
            <wp:cNvGraphicFramePr>
              <a:graphicFrameLocks noChangeAspect="1"/>
            </wp:cNvGraphicFramePr>
            <a:graphic>
              <a:graphicData uri="http://schemas.openxmlformats.org/drawingml/2006/picture">
                <pic:pic>
                  <pic:nvPicPr>
                    <pic:cNvPr id="0" name="hd14_posterior_ranks_simulated.png"/>
                    <pic:cNvPicPr/>
                  </pic:nvPicPr>
                  <pic:blipFill>
                    <a:blip r:embed="rId35"/>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round-1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4" name="Picture 24"/>
            <wp:cNvGraphicFramePr>
              <a:graphicFrameLocks noChangeAspect="1"/>
            </wp:cNvGraphicFramePr>
            <a:graphic>
              <a:graphicData uri="http://schemas.openxmlformats.org/drawingml/2006/picture">
                <pic:pic>
                  <pic:nvPicPr>
                    <pic:cNvPr id="0" name="hd14b_recalibration_simulated.png"/>
                    <pic:cNvPicPr/>
                  </pic:nvPicPr>
                  <pic:blipFill>
                    <a:blip r:embed="rId36"/>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the round-1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5" name="Picture 25"/>
            <wp:cNvGraphicFramePr>
              <a:graphicFrameLocks noChangeAspect="1"/>
            </wp:cNvGraphicFramePr>
            <a:graphic>
              <a:graphicData uri="http://schemas.openxmlformats.org/drawingml/2006/picture">
                <pic:pic>
                  <pic:nvPicPr>
                    <pic:cNvPr id="0" name="microchannel_asymmetry_real.png"/>
                    <pic:cNvPicPr/>
                  </pic:nvPicPr>
                  <pic:blipFill>
                    <a:blip r:embed="rId37"/>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