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6"/>
        <w:gridCol w:w="1533"/>
        <w:gridCol w:w="2803"/>
        <w:gridCol w:w="2580"/>
        <w:gridCol w:w="1175"/>
      </w:tblGrid>
      <w:tr>
        <w:trPr>
          <w:cantSplit/>
          <w:tblHeader/>
        </w:trPr>
        <w:tc>
          <w:tcPr>
            <w:tcW w:type="dxa" w:w="406"/>
            <w:shd w:val="clear" w:color="auto" w:fill="1F4E79"/>
            <w:vAlign w:val="center"/>
          </w:tcPr>
          <w:p>
            <w:pPr>
              <w:keepNext/>
              <w:spacing w:after="0"/>
              <w:jc w:val="center"/>
            </w:pPr>
            <w:r>
              <w:rPr>
                <w:rFonts w:ascii="Calibri" w:hAnsi="Calibri"/>
                <w:b/>
                <w:i w:val="0"/>
                <w:color w:val="FFFFFF"/>
                <w:sz w:val="20"/>
              </w:rPr>
              <w:t>#</w:t>
            </w:r>
          </w:p>
        </w:tc>
        <w:tc>
          <w:tcPr>
            <w:tcW w:type="dxa" w:w="1533"/>
            <w:shd w:val="clear" w:color="auto" w:fill="1F4E79"/>
            <w:vAlign w:val="center"/>
          </w:tcPr>
          <w:p>
            <w:pPr>
              <w:keepNext/>
              <w:spacing w:after="0"/>
              <w:jc w:val="center"/>
            </w:pPr>
            <w:r>
              <w:rPr>
                <w:rFonts w:ascii="Calibri" w:hAnsi="Calibri"/>
                <w:b/>
                <w:i w:val="0"/>
                <w:color w:val="FFFFFF"/>
                <w:sz w:val="20"/>
              </w:rPr>
              <w:t>Date</w:t>
            </w:r>
          </w:p>
        </w:tc>
        <w:tc>
          <w:tcPr>
            <w:tcW w:type="dxa" w:w="2803"/>
            <w:shd w:val="clear" w:color="auto" w:fill="1F4E79"/>
            <w:vAlign w:val="center"/>
          </w:tcPr>
          <w:p>
            <w:pPr>
              <w:keepNext/>
              <w:spacing w:after="0"/>
            </w:pPr>
            <w:r>
              <w:rPr>
                <w:rFonts w:ascii="Calibri" w:hAnsi="Calibri"/>
                <w:b/>
                <w:i w:val="0"/>
                <w:color w:val="FFFFFF"/>
                <w:sz w:val="20"/>
              </w:rPr>
              <w:t>Change</w:t>
            </w:r>
          </w:p>
        </w:tc>
        <w:tc>
          <w:tcPr>
            <w:tcW w:type="dxa" w:w="2580"/>
            <w:shd w:val="clear" w:color="auto" w:fill="1F4E79"/>
            <w:vAlign w:val="center"/>
          </w:tcPr>
          <w:p>
            <w:pPr>
              <w:keepNext/>
              <w:spacing w:after="0"/>
            </w:pPr>
            <w:r>
              <w:rPr>
                <w:rFonts w:ascii="Calibri" w:hAnsi="Calibri"/>
                <w:b/>
                <w:i w:val="0"/>
                <w:color w:val="FFFFFF"/>
                <w:sz w:val="20"/>
              </w:rPr>
              <w:t>Effect on results</w:t>
            </w:r>
          </w:p>
        </w:tc>
        <w:tc>
          <w:tcPr>
            <w:tcW w:type="dxa" w:w="1175"/>
            <w:shd w:val="clear" w:color="auto" w:fill="1F4E79"/>
            <w:vAlign w:val="center"/>
          </w:tcPr>
          <w:p>
            <w:pPr>
              <w:keepNext/>
              <w:spacing w:after="0"/>
            </w:pPr>
            <w:r>
              <w:rPr>
                <w:rFonts w:ascii="Calibri" w:hAnsi="Calibri"/>
                <w:b/>
                <w:i w:val="0"/>
                <w:color w:val="FFFFFF"/>
                <w:sz w:val="20"/>
              </w:rPr>
              <w:t>Commits</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w:t>
            </w:r>
          </w:p>
        </w:tc>
        <w:tc>
          <w:tcPr>
            <w:tcW w:type="dxa" w:w="1533"/>
            <w:shd w:val="clear" w:color="auto" w:fill="FFFFFF"/>
            <w:vAlign w:val="center"/>
          </w:tcPr>
          <w:p>
            <w:pPr>
              <w:keepNext/>
              <w:spacing w:after="0"/>
              <w:jc w:val="center"/>
            </w:pPr>
            <w:r>
              <w:rPr>
                <w:rFonts w:ascii="Calibri" w:hAnsi="Calibri"/>
                <w:b w:val="0"/>
                <w:i w:val="0"/>
                <w:color w:val="222222"/>
                <w:sz w:val="20"/>
              </w:rPr>
              <w:t>2026-10-10</w:t>
            </w:r>
          </w:p>
        </w:tc>
        <w:tc>
          <w:tcPr>
            <w:tcW w:type="dxa" w:w="280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80"/>
            <w:shd w:val="clear" w:color="auto" w:fill="FFFFFF"/>
            <w:vAlign w:val="center"/>
          </w:tcPr>
          <w:p>
            <w:pPr>
              <w:keepNext/>
              <w:spacing w:after="0"/>
            </w:pPr>
            <w:r>
              <w:rPr>
                <w:rFonts w:ascii="Calibri" w:hAnsi="Calibri"/>
                <w:b w:val="0"/>
                <w:i w:val="0"/>
                <w:color w:val="222222"/>
                <w:sz w:val="20"/>
              </w:rPr>
              <w:t>none (no number or claim changed)</w:t>
            </w:r>
          </w:p>
        </w:tc>
        <w:tc>
          <w:tcPr>
            <w:tcW w:type="dxa" w:w="117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w:t>
            </w:r>
          </w:p>
        </w:tc>
        <w:tc>
          <w:tcPr>
            <w:tcW w:type="dxa" w:w="1533"/>
            <w:shd w:val="clear" w:color="auto" w:fill="F7F9FB"/>
            <w:vAlign w:val="center"/>
          </w:tcPr>
          <w:p>
            <w:pPr>
              <w:keepNext/>
              <w:spacing w:after="0"/>
              <w:jc w:val="center"/>
            </w:pPr>
            <w:r>
              <w:rPr>
                <w:rFonts w:ascii="Calibri" w:hAnsi="Calibri"/>
                <w:b w:val="0"/>
                <w:i w:val="0"/>
                <w:color w:val="222222"/>
                <w:sz w:val="20"/>
              </w:rPr>
              <w:t>2026-10-11</w:t>
            </w:r>
          </w:p>
        </w:tc>
        <w:tc>
          <w:tcPr>
            <w:tcW w:type="dxa" w:w="280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80"/>
            <w:shd w:val="clear" w:color="auto" w:fill="F7F9FB"/>
            <w:vAlign w:val="center"/>
          </w:tcPr>
          <w:p>
            <w:pPr>
              <w:keepNext/>
              <w:spacing w:after="0"/>
            </w:pPr>
            <w:r>
              <w:rPr>
                <w:rFonts w:ascii="Calibri" w:hAnsi="Calibri"/>
                <w:b w:val="0"/>
                <w:i w:val="0"/>
                <w:color w:val="222222"/>
                <w:sz w:val="20"/>
              </w:rPr>
              <w:t>the dose conclusion reverses</w:t>
            </w:r>
          </w:p>
        </w:tc>
        <w:tc>
          <w:tcPr>
            <w:tcW w:type="dxa" w:w="117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w:t>
            </w:r>
          </w:p>
        </w:tc>
        <w:tc>
          <w:tcPr>
            <w:tcW w:type="dxa" w:w="1533"/>
            <w:shd w:val="clear" w:color="auto" w:fill="FFFFFF"/>
            <w:vAlign w:val="center"/>
          </w:tcPr>
          <w:p>
            <w:pPr>
              <w:keepNext/>
              <w:spacing w:after="0"/>
              <w:jc w:val="center"/>
            </w:pPr>
            <w:r>
              <w:rPr>
                <w:rFonts w:ascii="Calibri" w:hAnsi="Calibri"/>
                <w:b w:val="0"/>
                <w:i w:val="0"/>
                <w:color w:val="222222"/>
                <w:sz w:val="20"/>
              </w:rPr>
              <w:t>2026-10-22</w:t>
            </w:r>
          </w:p>
        </w:tc>
        <w:tc>
          <w:tcPr>
            <w:tcW w:type="dxa" w:w="280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80"/>
            <w:shd w:val="clear" w:color="auto" w:fill="FFFFFF"/>
            <w:vAlign w:val="center"/>
          </w:tcPr>
          <w:p>
            <w:pPr>
              <w:keepNext/>
              <w:spacing w:after="0"/>
            </w:pPr>
            <w:r>
              <w:rPr>
                <w:rFonts w:ascii="Calibri" w:hAnsi="Calibri"/>
                <w:b w:val="0"/>
                <w:i w:val="0"/>
                <w:color w:val="222222"/>
                <w:sz w:val="20"/>
              </w:rPr>
              <w:t>none; access only</w:t>
            </w:r>
          </w:p>
        </w:tc>
        <w:tc>
          <w:tcPr>
            <w:tcW w:type="dxa" w:w="117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w:t>
            </w:r>
          </w:p>
        </w:tc>
        <w:tc>
          <w:tcPr>
            <w:tcW w:type="dxa" w:w="1533"/>
            <w:shd w:val="clear" w:color="auto" w:fill="F7F9FB"/>
            <w:vAlign w:val="center"/>
          </w:tcPr>
          <w:p>
            <w:pPr>
              <w:keepNext/>
              <w:spacing w:after="0"/>
              <w:jc w:val="center"/>
            </w:pPr>
            <w:r>
              <w:rPr>
                <w:rFonts w:ascii="Calibri" w:hAnsi="Calibri"/>
                <w:b w:val="0"/>
                <w:i w:val="0"/>
                <w:color w:val="222222"/>
                <w:sz w:val="20"/>
              </w:rPr>
              <w:t>2026-10-22/23</w:t>
            </w:r>
          </w:p>
        </w:tc>
        <w:tc>
          <w:tcPr>
            <w:tcW w:type="dxa" w:w="280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80"/>
            <w:shd w:val="clear" w:color="auto" w:fill="F7F9FB"/>
            <w:vAlign w:val="center"/>
          </w:tcPr>
          <w:p>
            <w:pPr>
              <w:keepNext/>
              <w:spacing w:after="0"/>
            </w:pPr>
            <w:r>
              <w:rPr>
                <w:rFonts w:ascii="Calibri" w:hAnsi="Calibri"/>
                <w:b w:val="0"/>
                <w:i w:val="0"/>
                <w:color w:val="222222"/>
                <w:sz w:val="20"/>
              </w:rPr>
              <w:t>new results, pre-registered</w:t>
            </w:r>
          </w:p>
        </w:tc>
        <w:tc>
          <w:tcPr>
            <w:tcW w:type="dxa" w:w="117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80"/>
            <w:shd w:val="clear" w:color="auto" w:fill="FFFFFF"/>
            <w:vAlign w:val="center"/>
          </w:tcPr>
          <w:p>
            <w:pPr>
              <w:keepNext/>
              <w:spacing w:after="0"/>
            </w:pPr>
            <w:r>
              <w:rPr>
                <w:rFonts w:ascii="Calibri" w:hAnsi="Calibri"/>
                <w:b w:val="0"/>
                <w:i w:val="0"/>
                <w:color w:val="222222"/>
                <w:sz w:val="20"/>
              </w:rPr>
              <w:t>none; structure only</w:t>
            </w:r>
          </w:p>
        </w:tc>
        <w:tc>
          <w:tcPr>
            <w:tcW w:type="dxa" w:w="117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6</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80"/>
            <w:shd w:val="clear" w:color="auto" w:fill="F7F9FB"/>
            <w:vAlign w:val="center"/>
          </w:tcPr>
          <w:p>
            <w:pPr>
              <w:keepNext/>
              <w:spacing w:after="0"/>
            </w:pPr>
            <w:r>
              <w:rPr>
                <w:rFonts w:ascii="Calibri" w:hAnsi="Calibri"/>
                <w:b w:val="0"/>
                <w:i w:val="0"/>
                <w:color w:val="222222"/>
                <w:sz w:val="20"/>
              </w:rPr>
              <w:t>new comparison (descriptive)</w:t>
            </w:r>
          </w:p>
        </w:tc>
        <w:tc>
          <w:tcPr>
            <w:tcW w:type="dxa" w:w="117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7</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8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7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8</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80"/>
            <w:shd w:val="clear" w:color="auto" w:fill="F7F9FB"/>
            <w:vAlign w:val="center"/>
          </w:tcPr>
          <w:p>
            <w:pPr>
              <w:keepNext/>
              <w:spacing w:after="0"/>
            </w:pPr>
            <w:r>
              <w:rPr>
                <w:rFonts w:ascii="Calibri" w:hAnsi="Calibri"/>
                <w:b w:val="0"/>
                <w:i w:val="0"/>
                <w:color w:val="222222"/>
                <w:sz w:val="20"/>
              </w:rPr>
              <w:t>1 of 3 registered predictions pass</w:t>
            </w:r>
          </w:p>
        </w:tc>
        <w:tc>
          <w:tcPr>
            <w:tcW w:type="dxa" w:w="117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9</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80"/>
            <w:shd w:val="clear" w:color="auto" w:fill="FFFFFF"/>
            <w:vAlign w:val="center"/>
          </w:tcPr>
          <w:p>
            <w:pPr>
              <w:keepNext/>
              <w:spacing w:after="0"/>
            </w:pPr>
            <w:r>
              <w:rPr>
                <w:rFonts w:ascii="Calibri" w:hAnsi="Calibri"/>
                <w:b w:val="0"/>
                <w:i w:val="0"/>
                <w:color w:val="222222"/>
                <w:sz w:val="20"/>
              </w:rPr>
              <w:t>4 of 4 registered predictions pass</w:t>
            </w:r>
          </w:p>
        </w:tc>
        <w:tc>
          <w:tcPr>
            <w:tcW w:type="dxa" w:w="117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10</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80"/>
            <w:shd w:val="clear" w:color="auto" w:fill="F7F9FB"/>
            <w:vAlign w:val="center"/>
          </w:tcPr>
          <w:p>
            <w:pPr>
              <w:keepNext/>
              <w:spacing w:after="0"/>
            </w:pPr>
            <w:r>
              <w:rPr>
                <w:rFonts w:ascii="Calibri" w:hAnsi="Calibri"/>
                <w:b w:val="0"/>
                <w:i w:val="0"/>
                <w:color w:val="222222"/>
                <w:sz w:val="20"/>
              </w:rPr>
              <w:t>6 of 7 registered predictions pass</w:t>
            </w:r>
          </w:p>
        </w:tc>
        <w:tc>
          <w:tcPr>
            <w:tcW w:type="dxa" w:w="1175"/>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11</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8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75"/>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12</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80"/>
            <w:shd w:val="clear" w:color="auto" w:fill="F7F9FB"/>
            <w:vAlign w:val="center"/>
          </w:tcPr>
          <w:p>
            <w:pPr>
              <w:keepNext/>
              <w:spacing w:after="0"/>
            </w:pPr>
            <w:r>
              <w:rPr>
                <w:rFonts w:ascii="Calibri" w:hAnsi="Calibri"/>
                <w:b w:val="0"/>
                <w:i w:val="0"/>
                <w:color w:val="222222"/>
                <w:sz w:val="20"/>
              </w:rPr>
              <w:t>plan, no new results</w:t>
            </w:r>
          </w:p>
        </w:tc>
        <w:tc>
          <w:tcPr>
            <w:tcW w:type="dxa" w:w="1175"/>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13</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8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75"/>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14</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80"/>
            <w:shd w:val="clear" w:color="auto" w:fill="F7F9FB"/>
            <w:vAlign w:val="center"/>
          </w:tcPr>
          <w:p>
            <w:pPr>
              <w:keepNext/>
              <w:spacing w:after="0"/>
            </w:pPr>
            <w:r>
              <w:rPr>
                <w:rFonts w:ascii="Calibri" w:hAnsi="Calibri"/>
                <w:b w:val="0"/>
                <w:i w:val="0"/>
                <w:color w:val="222222"/>
                <w:sz w:val="20"/>
              </w:rPr>
              <w:t>3 of 5 registered predictions pass</w:t>
            </w:r>
          </w:p>
        </w:tc>
        <w:tc>
          <w:tcPr>
            <w:tcW w:type="dxa" w:w="1175"/>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15</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8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75"/>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16</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8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75"/>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17</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80"/>
            <w:shd w:val="clear" w:color="auto" w:fill="FFFFFF"/>
            <w:vAlign w:val="center"/>
          </w:tcPr>
          <w:p>
            <w:pPr>
              <w:keepNext/>
              <w:spacing w:after="0"/>
            </w:pPr>
            <w:r>
              <w:rPr>
                <w:rFonts w:ascii="Calibri" w:hAnsi="Calibri"/>
                <w:b w:val="0"/>
                <w:i w:val="0"/>
                <w:color w:val="222222"/>
                <w:sz w:val="20"/>
              </w:rPr>
              <w:t>1 of 5 pass; no walking rhythm</w:t>
            </w:r>
          </w:p>
        </w:tc>
        <w:tc>
          <w:tcPr>
            <w:tcW w:type="dxa" w:w="1175"/>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18</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80"/>
            <w:shd w:val="clear" w:color="auto" w:fill="F7F9FB"/>
            <w:vAlign w:val="center"/>
          </w:tcPr>
          <w:p>
            <w:pPr>
              <w:keepNext/>
              <w:spacing w:after="0"/>
            </w:pPr>
            <w:r>
              <w:rPr>
                <w:rFonts w:ascii="Calibri" w:hAnsi="Calibri"/>
                <w:b w:val="0"/>
                <w:i w:val="0"/>
                <w:color w:val="222222"/>
                <w:sz w:val="20"/>
              </w:rPr>
              <w:t>6 of 6 registered predictions pass</w:t>
            </w:r>
          </w:p>
        </w:tc>
        <w:tc>
          <w:tcPr>
            <w:tcW w:type="dxa" w:w="1175"/>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19</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80"/>
            <w:shd w:val="clear" w:color="auto" w:fill="FFFFFF"/>
            <w:vAlign w:val="center"/>
          </w:tcPr>
          <w:p>
            <w:pPr>
              <w:keepNext/>
              <w:spacing w:after="0"/>
            </w:pPr>
            <w:r>
              <w:rPr>
                <w:rFonts w:ascii="Calibri" w:hAnsi="Calibri"/>
                <w:b w:val="0"/>
                <w:i w:val="0"/>
                <w:color w:val="222222"/>
                <w:sz w:val="20"/>
              </w:rPr>
              <w:t>stopped by its rule; no cell walks</w:t>
            </w:r>
          </w:p>
        </w:tc>
        <w:tc>
          <w:tcPr>
            <w:tcW w:type="dxa" w:w="1175"/>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20</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80"/>
            <w:shd w:val="clear" w:color="auto" w:fill="F7F9FB"/>
            <w:vAlign w:val="center"/>
          </w:tcPr>
          <w:p>
            <w:pPr>
              <w:keepNext/>
              <w:spacing w:after="0"/>
            </w:pPr>
            <w:r>
              <w:rPr>
                <w:rFonts w:ascii="Calibri" w:hAnsi="Calibri"/>
                <w:b w:val="0"/>
                <w:i w:val="0"/>
                <w:color w:val="222222"/>
                <w:sz w:val="20"/>
              </w:rPr>
              <w:t>1 of 7 at the selected cell</w:t>
            </w:r>
          </w:p>
        </w:tc>
        <w:tc>
          <w:tcPr>
            <w:tcW w:type="dxa" w:w="1175"/>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21</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8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75"/>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22</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The registered rhythm-measure audit</w:t>
            </w:r>
          </w:p>
        </w:tc>
        <w:tc>
          <w:tcPr>
            <w:tcW w:type="dxa" w:w="258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75"/>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23</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8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75"/>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24</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8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75"/>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25</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80"/>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75"/>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26</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80"/>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75"/>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27</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80"/>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75"/>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28</w:t>
            </w:r>
          </w:p>
        </w:tc>
        <w:tc>
          <w:tcPr>
            <w:tcW w:type="dxa" w:w="1533"/>
            <w:shd w:val="clear" w:color="auto" w:fill="F7F9FB"/>
            <w:vAlign w:val="center"/>
          </w:tcPr>
          <w:p>
            <w:pPr>
              <w:keepNext/>
              <w:spacing w:after="0"/>
              <w:jc w:val="center"/>
            </w:pPr>
            <w:r>
              <w:rPr>
                <w:rFonts w:ascii="Calibri" w:hAnsi="Calibri"/>
                <w:b w:val="0"/>
                <w:i w:val="0"/>
                <w:color w:val="222222"/>
                <w:sz w:val="20"/>
              </w:rPr>
              <w:t>2026-10-24</w:t>
            </w:r>
          </w:p>
        </w:tc>
        <w:tc>
          <w:tcPr>
            <w:tcW w:type="dxa" w:w="2803"/>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80"/>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75"/>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29</w:t>
            </w:r>
          </w:p>
        </w:tc>
        <w:tc>
          <w:tcPr>
            <w:tcW w:type="dxa" w:w="1533"/>
            <w:shd w:val="clear" w:color="auto" w:fill="FFFFFF"/>
            <w:vAlign w:val="center"/>
          </w:tcPr>
          <w:p>
            <w:pPr>
              <w:keepNext/>
              <w:spacing w:after="0"/>
              <w:jc w:val="center"/>
            </w:pPr>
            <w:r>
              <w:rPr>
                <w:rFonts w:ascii="Calibri" w:hAnsi="Calibri"/>
                <w:b w:val="0"/>
                <w:i w:val="0"/>
                <w:color w:val="222222"/>
                <w:sz w:val="20"/>
              </w:rPr>
              <w:t>2026-10-24</w:t>
            </w:r>
          </w:p>
        </w:tc>
        <w:tc>
          <w:tcPr>
            <w:tcW w:type="dxa" w:w="2803"/>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80"/>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75"/>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30</w:t>
            </w:r>
          </w:p>
        </w:tc>
        <w:tc>
          <w:tcPr>
            <w:tcW w:type="dxa" w:w="1533"/>
            <w:shd w:val="clear" w:color="auto" w:fill="F7F9FB"/>
            <w:vAlign w:val="center"/>
          </w:tcPr>
          <w:p>
            <w:pPr>
              <w:keepNext/>
              <w:spacing w:after="0"/>
              <w:jc w:val="center"/>
            </w:pPr>
            <w:r>
              <w:rPr>
                <w:rFonts w:ascii="Calibri" w:hAnsi="Calibri"/>
                <w:b w:val="0"/>
                <w:i w:val="0"/>
                <w:color w:val="222222"/>
                <w:sz w:val="20"/>
              </w:rPr>
              <w:t>2026-10-24/25</w:t>
            </w:r>
          </w:p>
        </w:tc>
        <w:tc>
          <w:tcPr>
            <w:tcW w:type="dxa" w:w="2803"/>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80"/>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75"/>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31</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80"/>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75"/>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32</w:t>
            </w:r>
          </w:p>
        </w:tc>
        <w:tc>
          <w:tcPr>
            <w:tcW w:type="dxa" w:w="1533"/>
            <w:shd w:val="clear" w:color="auto" w:fill="F7F9FB"/>
            <w:vAlign w:val="center"/>
          </w:tcPr>
          <w:p>
            <w:pPr>
              <w:keepNext/>
              <w:spacing w:after="0"/>
              <w:jc w:val="center"/>
            </w:pPr>
            <w:r>
              <w:rPr>
                <w:rFonts w:ascii="Calibri" w:hAnsi="Calibri"/>
                <w:b w:val="0"/>
                <w:i w:val="0"/>
                <w:color w:val="222222"/>
                <w:sz w:val="20"/>
              </w:rPr>
              <w:t>2026-10-25</w:t>
            </w:r>
          </w:p>
        </w:tc>
        <w:tc>
          <w:tcPr>
            <w:tcW w:type="dxa" w:w="2803"/>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80"/>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75"/>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33</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80"/>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75"/>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34</w:t>
            </w:r>
          </w:p>
        </w:tc>
        <w:tc>
          <w:tcPr>
            <w:tcW w:type="dxa" w:w="1533"/>
            <w:shd w:val="clear" w:color="auto" w:fill="F7F9FB"/>
            <w:vAlign w:val="center"/>
          </w:tcPr>
          <w:p>
            <w:pPr>
              <w:keepNext/>
              <w:spacing w:after="0"/>
              <w:jc w:val="center"/>
            </w:pPr>
            <w:r>
              <w:rPr>
                <w:rFonts w:ascii="Calibri" w:hAnsi="Calibri"/>
                <w:b w:val="0"/>
                <w:i w:val="0"/>
                <w:color w:val="222222"/>
                <w:sz w:val="20"/>
              </w:rPr>
              <w:t>2026-10-25</w:t>
            </w:r>
          </w:p>
        </w:tc>
        <w:tc>
          <w:tcPr>
            <w:tcW w:type="dxa" w:w="2803"/>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80"/>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75"/>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35</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80"/>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75"/>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36</w:t>
            </w:r>
          </w:p>
        </w:tc>
        <w:tc>
          <w:tcPr>
            <w:tcW w:type="dxa" w:w="1533"/>
            <w:shd w:val="clear" w:color="auto" w:fill="F7F9FB"/>
            <w:vAlign w:val="center"/>
          </w:tcPr>
          <w:p>
            <w:pPr>
              <w:keepNext/>
              <w:spacing w:after="0"/>
              <w:jc w:val="center"/>
            </w:pPr>
            <w:r>
              <w:rPr>
                <w:rFonts w:ascii="Calibri" w:hAnsi="Calibri"/>
                <w:b w:val="0"/>
                <w:i w:val="0"/>
                <w:color w:val="222222"/>
                <w:sz w:val="20"/>
              </w:rPr>
              <w:t>2026-10-25</w:t>
            </w:r>
          </w:p>
        </w:tc>
        <w:tc>
          <w:tcPr>
            <w:tcW w:type="dxa" w:w="2803"/>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80"/>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75"/>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37</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80"/>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75"/>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38</w:t>
            </w:r>
          </w:p>
        </w:tc>
        <w:tc>
          <w:tcPr>
            <w:tcW w:type="dxa" w:w="1533"/>
            <w:shd w:val="clear" w:color="auto" w:fill="F7F9FB"/>
            <w:vAlign w:val="center"/>
          </w:tcPr>
          <w:p>
            <w:pPr>
              <w:keepNext/>
              <w:spacing w:after="0"/>
              <w:jc w:val="center"/>
            </w:pPr>
            <w:r>
              <w:rPr>
                <w:rFonts w:ascii="Calibri" w:hAnsi="Calibri"/>
                <w:b w:val="0"/>
                <w:i w:val="0"/>
                <w:color w:val="222222"/>
                <w:sz w:val="20"/>
              </w:rPr>
              <w:t>2026-10-25</w:t>
            </w:r>
          </w:p>
        </w:tc>
        <w:tc>
          <w:tcPr>
            <w:tcW w:type="dxa" w:w="2803"/>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80"/>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75"/>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39</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80"/>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75"/>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40</w:t>
            </w:r>
          </w:p>
        </w:tc>
        <w:tc>
          <w:tcPr>
            <w:tcW w:type="dxa" w:w="1533"/>
            <w:shd w:val="clear" w:color="auto" w:fill="F7F9FB"/>
            <w:vAlign w:val="center"/>
          </w:tcPr>
          <w:p>
            <w:pPr>
              <w:keepNext/>
              <w:spacing w:after="0"/>
              <w:jc w:val="center"/>
            </w:pPr>
            <w:r>
              <w:rPr>
                <w:rFonts w:ascii="Calibri" w:hAnsi="Calibri"/>
                <w:b w:val="0"/>
                <w:i w:val="0"/>
                <w:color w:val="222222"/>
                <w:sz w:val="20"/>
              </w:rPr>
              <w:t>2026-10-25</w:t>
            </w:r>
          </w:p>
        </w:tc>
        <w:tc>
          <w:tcPr>
            <w:tcW w:type="dxa" w:w="2803"/>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80"/>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75"/>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41</w:t>
            </w:r>
          </w:p>
        </w:tc>
        <w:tc>
          <w:tcPr>
            <w:tcW w:type="dxa" w:w="1533"/>
            <w:shd w:val="clear" w:color="auto" w:fill="FFFFFF"/>
            <w:vAlign w:val="center"/>
          </w:tcPr>
          <w:p>
            <w:pPr>
              <w:keepNext/>
              <w:spacing w:after="0"/>
              <w:jc w:val="center"/>
            </w:pPr>
            <w:r>
              <w:rPr>
                <w:rFonts w:ascii="Calibri" w:hAnsi="Calibri"/>
                <w:b w:val="0"/>
                <w:i w:val="0"/>
                <w:color w:val="222222"/>
                <w:sz w:val="20"/>
              </w:rPr>
              <w:t>2026-10-25</w:t>
            </w:r>
          </w:p>
        </w:tc>
        <w:tc>
          <w:tcPr>
            <w:tcW w:type="dxa" w:w="2803"/>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80"/>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75"/>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42</w:t>
            </w:r>
          </w:p>
        </w:tc>
        <w:tc>
          <w:tcPr>
            <w:tcW w:type="dxa" w:w="1533"/>
            <w:shd w:val="clear" w:color="auto" w:fill="F7F9FB"/>
            <w:vAlign w:val="center"/>
          </w:tcPr>
          <w:p>
            <w:pPr>
              <w:keepNext/>
              <w:spacing w:after="0"/>
              <w:jc w:val="center"/>
            </w:pPr>
            <w:r>
              <w:rPr>
                <w:rFonts w:ascii="Calibri" w:hAnsi="Calibri"/>
                <w:b w:val="0"/>
                <w:i w:val="0"/>
                <w:color w:val="222222"/>
                <w:sz w:val="20"/>
              </w:rPr>
              <w:t>2026-10-26</w:t>
            </w:r>
          </w:p>
        </w:tc>
        <w:tc>
          <w:tcPr>
            <w:tcW w:type="dxa" w:w="2803"/>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80"/>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75"/>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43</w:t>
            </w:r>
          </w:p>
        </w:tc>
        <w:tc>
          <w:tcPr>
            <w:tcW w:type="dxa" w:w="1533"/>
            <w:shd w:val="clear" w:color="auto" w:fill="FFFFFF"/>
            <w:vAlign w:val="center"/>
          </w:tcPr>
          <w:p>
            <w:pPr>
              <w:keepNext/>
              <w:spacing w:after="0"/>
              <w:jc w:val="center"/>
            </w:pPr>
            <w:r>
              <w:rPr>
                <w:rFonts w:ascii="Calibri" w:hAnsi="Calibri"/>
                <w:b w:val="0"/>
                <w:i w:val="0"/>
                <w:color w:val="222222"/>
                <w:sz w:val="20"/>
              </w:rPr>
              <w:t>2026-10-27</w:t>
            </w:r>
          </w:p>
        </w:tc>
        <w:tc>
          <w:tcPr>
            <w:tcW w:type="dxa" w:w="2803"/>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80"/>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75"/>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44</w:t>
            </w:r>
          </w:p>
        </w:tc>
        <w:tc>
          <w:tcPr>
            <w:tcW w:type="dxa" w:w="1533"/>
            <w:shd w:val="clear" w:color="auto" w:fill="F7F9FB"/>
            <w:vAlign w:val="center"/>
          </w:tcPr>
          <w:p>
            <w:pPr>
              <w:keepNext/>
              <w:spacing w:after="0"/>
              <w:jc w:val="center"/>
            </w:pPr>
            <w:r>
              <w:rPr>
                <w:rFonts w:ascii="Calibri" w:hAnsi="Calibri"/>
                <w:b w:val="0"/>
                <w:i w:val="0"/>
                <w:color w:val="222222"/>
                <w:sz w:val="20"/>
              </w:rPr>
              <w:t>2026-10-28</w:t>
            </w:r>
          </w:p>
        </w:tc>
        <w:tc>
          <w:tcPr>
            <w:tcW w:type="dxa" w:w="2803"/>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80"/>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75"/>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45</w:t>
            </w:r>
          </w:p>
        </w:tc>
        <w:tc>
          <w:tcPr>
            <w:tcW w:type="dxa" w:w="1533"/>
            <w:shd w:val="clear" w:color="auto" w:fill="FFFFFF"/>
            <w:vAlign w:val="center"/>
          </w:tcPr>
          <w:p>
            <w:pPr>
              <w:keepNext/>
              <w:spacing w:after="0"/>
              <w:jc w:val="center"/>
            </w:pPr>
            <w:r>
              <w:rPr>
                <w:rFonts w:ascii="Calibri" w:hAnsi="Calibri"/>
                <w:b w:val="0"/>
                <w:i w:val="0"/>
                <w:color w:val="222222"/>
                <w:sz w:val="20"/>
              </w:rPr>
              <w:t>2026-10-27/28</w:t>
            </w:r>
          </w:p>
        </w:tc>
        <w:tc>
          <w:tcPr>
            <w:tcW w:type="dxa" w:w="2803"/>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80"/>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75"/>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46</w:t>
            </w:r>
          </w:p>
        </w:tc>
        <w:tc>
          <w:tcPr>
            <w:tcW w:type="dxa" w:w="1533"/>
            <w:shd w:val="clear" w:color="auto" w:fill="F7F9FB"/>
            <w:vAlign w:val="center"/>
          </w:tcPr>
          <w:p>
            <w:pPr>
              <w:keepNext/>
              <w:spacing w:after="0"/>
              <w:jc w:val="center"/>
            </w:pPr>
            <w:r>
              <w:rPr>
                <w:rFonts w:ascii="Calibri" w:hAnsi="Calibri"/>
                <w:b w:val="0"/>
                <w:i w:val="0"/>
                <w:color w:val="222222"/>
                <w:sz w:val="20"/>
              </w:rPr>
              <w:t>2026-10-28</w:t>
            </w:r>
          </w:p>
        </w:tc>
        <w:tc>
          <w:tcPr>
            <w:tcW w:type="dxa" w:w="2803"/>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80"/>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75"/>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47</w:t>
            </w:r>
          </w:p>
        </w:tc>
        <w:tc>
          <w:tcPr>
            <w:tcW w:type="dxa" w:w="1533"/>
            <w:shd w:val="clear" w:color="auto" w:fill="FFFFFF"/>
            <w:vAlign w:val="center"/>
          </w:tcPr>
          <w:p>
            <w:pPr>
              <w:keepNext/>
              <w:spacing w:after="0"/>
              <w:jc w:val="center"/>
            </w:pPr>
            <w:r>
              <w:rPr>
                <w:rFonts w:ascii="Calibri" w:hAnsi="Calibri"/>
                <w:b w:val="0"/>
                <w:i w:val="0"/>
                <w:color w:val="222222"/>
                <w:sz w:val="20"/>
              </w:rPr>
              <w:t>2026-10-28</w:t>
            </w:r>
          </w:p>
        </w:tc>
        <w:tc>
          <w:tcPr>
            <w:tcW w:type="dxa" w:w="2803"/>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80"/>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75"/>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48</w:t>
            </w:r>
          </w:p>
        </w:tc>
        <w:tc>
          <w:tcPr>
            <w:tcW w:type="dxa" w:w="1533"/>
            <w:shd w:val="clear" w:color="auto" w:fill="F7F9FB"/>
            <w:vAlign w:val="center"/>
          </w:tcPr>
          <w:p>
            <w:pPr>
              <w:keepNext/>
              <w:spacing w:after="0"/>
              <w:jc w:val="center"/>
            </w:pPr>
            <w:r>
              <w:rPr>
                <w:rFonts w:ascii="Calibri" w:hAnsi="Calibri"/>
                <w:b w:val="0"/>
                <w:i w:val="0"/>
                <w:color w:val="222222"/>
                <w:sz w:val="20"/>
              </w:rPr>
              <w:t>2026-10-28</w:t>
            </w:r>
          </w:p>
        </w:tc>
        <w:tc>
          <w:tcPr>
            <w:tcW w:type="dxa" w:w="2803"/>
            <w:shd w:val="clear" w:color="auto" w:fill="F7F9FB"/>
            <w:vAlign w:val="center"/>
          </w:tcPr>
          <w:p>
            <w:pPr>
              <w:keepNext/>
              <w:spacing w:after="0"/>
            </w:pPr>
            <w:r>
              <w:rPr>
                <w:rFonts w:ascii="Calibri" w:hAnsi="Calibri"/>
                <w:b w:val="0"/>
                <w:i w:val="0"/>
                <w:color w:val="222222"/>
                <w:sz w:val="20"/>
              </w:rPr>
              <w:t>The depositors' logISI burst detector, implemented and tested against their meaRtools output (D34, registered)</w:t>
            </w:r>
          </w:p>
        </w:tc>
        <w:tc>
          <w:tcPr>
            <w:tcW w:type="dxa" w:w="2580"/>
            <w:shd w:val="clear" w:color="auto" w:fill="F7F9FB"/>
            <w:vAlign w:val="center"/>
          </w:tcPr>
          <w:p>
            <w:pPr>
              <w:keepNext/>
              <w:spacing w:after="0"/>
            </w:pPr>
            <w:r>
              <w:rPr>
                <w:rFonts w:ascii="Calibri" w:hAnsi="Calibri"/>
                <w:b w:val="0"/>
                <w:i w:val="0"/>
                <w:color w:val="222222"/>
                <w:sz w:val="20"/>
              </w:rPr>
              <w:t>1 of 4 registered predictions pass; burst duration and spikes per burst reach their scale but not their ordering, the hPSC burst rate overshoots; the detector attribution stays open</w:t>
            </w:r>
          </w:p>
        </w:tc>
        <w:tc>
          <w:tcPr>
            <w:tcW w:type="dxa" w:w="1175"/>
            <w:shd w:val="clear" w:color="auto" w:fill="F7F9FB"/>
            <w:vAlign w:val="center"/>
          </w:tcPr>
          <w:p>
            <w:pPr>
              <w:keepNext/>
              <w:spacing w:after="0"/>
            </w:pPr>
            <w:r>
              <w:rPr>
                <w:rFonts w:ascii="Consolas" w:hAnsi="Consolas"/>
                <w:b w:val="0"/>
                <w:i w:val="0"/>
                <w:color w:val="222222"/>
                <w:sz w:val="18"/>
              </w:rPr>
              <w:t>e11bc05</w:t>
            </w:r>
            <w:r>
              <w:rPr>
                <w:rFonts w:ascii="Calibri" w:hAnsi="Calibri"/>
                <w:b w:val="0"/>
                <w:i w:val="0"/>
                <w:color w:val="222222"/>
                <w:sz w:val="20"/>
              </w:rPr>
              <w:t xml:space="preserve">, </w:t>
            </w:r>
            <w:r>
              <w:rPr>
                <w:rFonts w:ascii="Consolas" w:hAnsi="Consolas"/>
                <w:b w:val="0"/>
                <w:i w:val="0"/>
                <w:color w:val="222222"/>
                <w:sz w:val="18"/>
              </w:rPr>
              <w:t>9570a9f</w:t>
            </w:r>
            <w:r>
              <w:rPr>
                <w:rFonts w:ascii="Calibri" w:hAnsi="Calibri"/>
                <w:b w:val="0"/>
                <w:i w:val="0"/>
                <w:color w:val="222222"/>
                <w:sz w:val="20"/>
              </w:rPr>
              <w:t xml:space="preserve">, </w:t>
            </w:r>
            <w:r>
              <w:rPr>
                <w:rFonts w:ascii="Consolas" w:hAnsi="Consolas"/>
                <w:b w:val="0"/>
                <w:i w:val="0"/>
                <w:color w:val="222222"/>
                <w:sz w:val="18"/>
              </w:rPr>
              <w:t>6f63385</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49</w:t>
            </w:r>
          </w:p>
        </w:tc>
        <w:tc>
          <w:tcPr>
            <w:tcW w:type="dxa" w:w="1533"/>
            <w:shd w:val="clear" w:color="auto" w:fill="FFFFFF"/>
            <w:vAlign w:val="center"/>
          </w:tcPr>
          <w:p>
            <w:pPr>
              <w:keepNext/>
              <w:spacing w:after="0"/>
              <w:jc w:val="center"/>
            </w:pPr>
            <w:r>
              <w:rPr>
                <w:rFonts w:ascii="Calibri" w:hAnsi="Calibri"/>
                <w:b w:val="0"/>
                <w:i w:val="0"/>
                <w:color w:val="222222"/>
                <w:sz w:val="20"/>
              </w:rPr>
              <w:t>2026-10-28</w:t>
            </w:r>
          </w:p>
        </w:tc>
        <w:tc>
          <w:tcPr>
            <w:tcW w:type="dxa" w:w="2803"/>
            <w:shd w:val="clear" w:color="auto" w:fill="FFFFFF"/>
            <w:vAlign w:val="center"/>
          </w:tcPr>
          <w:p>
            <w:pPr>
              <w:keepNext/>
              <w:spacing w:after="0"/>
            </w:pPr>
            <w:r>
              <w:rPr>
                <w:rFonts w:ascii="Calibri" w:hAnsi="Calibri"/>
                <w:b w:val="0"/>
                <w:i w:val="0"/>
                <w:color w:val="222222"/>
                <w:sz w:val="20"/>
              </w:rPr>
              <w:t>Settling or steady noise in the human iPSC split-half spread (D35)</w:t>
            </w:r>
          </w:p>
        </w:tc>
        <w:tc>
          <w:tcPr>
            <w:tcW w:type="dxa" w:w="2580"/>
            <w:shd w:val="clear" w:color="auto" w:fill="FFFFFF"/>
            <w:vAlign w:val="center"/>
          </w:tcPr>
          <w:p>
            <w:pPr>
              <w:keepNext/>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75"/>
            <w:shd w:val="clear" w:color="auto" w:fill="FFFFFF"/>
            <w:vAlign w:val="center"/>
          </w:tcPr>
          <w:p>
            <w:pPr>
              <w:keepNext/>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r>
        <w:trPr>
          <w:cantSplit/>
        </w:trPr>
        <w:tc>
          <w:tcPr>
            <w:tcW w:type="dxa" w:w="406"/>
            <w:shd w:val="clear" w:color="auto" w:fill="F7F9FB"/>
            <w:vAlign w:val="center"/>
          </w:tcPr>
          <w:p>
            <w:pPr>
              <w:keepNext/>
              <w:spacing w:after="0"/>
              <w:jc w:val="center"/>
            </w:pPr>
            <w:r>
              <w:rPr>
                <w:rFonts w:ascii="Calibri" w:hAnsi="Calibri"/>
                <w:b/>
                <w:i w:val="0"/>
                <w:color w:val="222222"/>
                <w:sz w:val="20"/>
              </w:rPr>
              <w:t>50</w:t>
            </w:r>
          </w:p>
        </w:tc>
        <w:tc>
          <w:tcPr>
            <w:tcW w:type="dxa" w:w="1533"/>
            <w:shd w:val="clear" w:color="auto" w:fill="F7F9FB"/>
            <w:vAlign w:val="center"/>
          </w:tcPr>
          <w:p>
            <w:pPr>
              <w:keepNext/>
              <w:spacing w:after="0"/>
              <w:jc w:val="center"/>
            </w:pPr>
            <w:r>
              <w:rPr>
                <w:rFonts w:ascii="Calibri" w:hAnsi="Calibri"/>
                <w:b w:val="0"/>
                <w:i w:val="0"/>
                <w:color w:val="222222"/>
                <w:sz w:val="20"/>
              </w:rPr>
              <w:t>2026-10-28</w:t>
            </w:r>
          </w:p>
        </w:tc>
        <w:tc>
          <w:tcPr>
            <w:tcW w:type="dxa" w:w="2803"/>
            <w:shd w:val="clear" w:color="auto" w:fill="F7F9FB"/>
            <w:vAlign w:val="center"/>
          </w:tcPr>
          <w:p>
            <w:pPr>
              <w:keepNext/>
              <w:spacing w:after="0"/>
            </w:pPr>
            <w:r>
              <w:rPr>
                <w:rFonts w:ascii="Calibri" w:hAnsi="Calibri"/>
                <w:b w:val="0"/>
                <w:i w:val="0"/>
                <w:color w:val="222222"/>
                <w:sz w:val="20"/>
              </w:rPr>
              <w:t>Does early network bursting predict how an untreated human iPSC well settles? A registered replication on the developmental plates (D36)</w:t>
            </w:r>
          </w:p>
        </w:tc>
        <w:tc>
          <w:tcPr>
            <w:tcW w:type="dxa" w:w="2580"/>
            <w:shd w:val="clear" w:color="auto" w:fill="F7F9FB"/>
            <w:vAlign w:val="center"/>
          </w:tcPr>
          <w:p>
            <w:pPr>
              <w:keepNext/>
              <w:spacing w:after="0"/>
            </w:pPr>
            <w:r>
              <w:rPr>
                <w:rFonts w:ascii="Calibri" w:hAnsi="Calibri"/>
                <w:b w:val="0"/>
                <w:i w:val="0"/>
                <w:color w:val="222222"/>
                <w:sz w:val="20"/>
              </w:rPr>
              <w:t>1 of 3 registered predictions pass; the post hoc 48-well relation does not replicate (N1 fails), so stratifying human wells by baseline network bursting is not supported</w:t>
            </w:r>
          </w:p>
        </w:tc>
        <w:tc>
          <w:tcPr>
            <w:tcW w:type="dxa" w:w="1175"/>
            <w:shd w:val="clear" w:color="auto" w:fill="F7F9FB"/>
            <w:vAlign w:val="center"/>
          </w:tcPr>
          <w:p>
            <w:pPr>
              <w:keepNext/>
              <w:spacing w:after="0"/>
            </w:pPr>
            <w:r>
              <w:rPr>
                <w:rFonts w:ascii="Consolas" w:hAnsi="Consolas"/>
                <w:b w:val="0"/>
                <w:i w:val="0"/>
                <w:color w:val="222222"/>
                <w:sz w:val="18"/>
              </w:rPr>
              <w:t>f669016</w:t>
            </w:r>
            <w:r>
              <w:rPr>
                <w:rFonts w:ascii="Calibri" w:hAnsi="Calibri"/>
                <w:b w:val="0"/>
                <w:i w:val="0"/>
                <w:color w:val="222222"/>
                <w:sz w:val="20"/>
              </w:rPr>
              <w:t xml:space="preserve">, </w:t>
            </w:r>
            <w:r>
              <w:rPr>
                <w:rFonts w:ascii="Consolas" w:hAnsi="Consolas"/>
                <w:b w:val="0"/>
                <w:i w:val="0"/>
                <w:color w:val="222222"/>
                <w:sz w:val="18"/>
              </w:rPr>
              <w:t>d7ba7da</w:t>
            </w:r>
            <w:r>
              <w:rPr>
                <w:rFonts w:ascii="Calibri" w:hAnsi="Calibri"/>
                <w:b w:val="0"/>
                <w:i w:val="0"/>
                <w:color w:val="222222"/>
                <w:sz w:val="20"/>
              </w:rPr>
              <w:t xml:space="preserve"> … this branch</w:t>
            </w:r>
          </w:p>
        </w:tc>
      </w:tr>
      <w:tr>
        <w:trPr>
          <w:cantSplit/>
        </w:trPr>
        <w:tc>
          <w:tcPr>
            <w:tcW w:type="dxa" w:w="406"/>
            <w:shd w:val="clear" w:color="auto" w:fill="FFFFFF"/>
            <w:vAlign w:val="center"/>
          </w:tcPr>
          <w:p>
            <w:pPr>
              <w:keepNext/>
              <w:spacing w:after="0"/>
              <w:jc w:val="center"/>
            </w:pPr>
            <w:r>
              <w:rPr>
                <w:rFonts w:ascii="Calibri" w:hAnsi="Calibri"/>
                <w:b/>
                <w:i w:val="0"/>
                <w:color w:val="222222"/>
                <w:sz w:val="20"/>
              </w:rPr>
              <w:t>51</w:t>
            </w:r>
          </w:p>
        </w:tc>
        <w:tc>
          <w:tcPr>
            <w:tcW w:type="dxa" w:w="1533"/>
            <w:shd w:val="clear" w:color="auto" w:fill="FFFFFF"/>
            <w:vAlign w:val="center"/>
          </w:tcPr>
          <w:p>
            <w:pPr>
              <w:keepNext/>
              <w:spacing w:after="0"/>
              <w:jc w:val="center"/>
            </w:pPr>
            <w:r>
              <w:rPr>
                <w:rFonts w:ascii="Calibri" w:hAnsi="Calibri"/>
                <w:b w:val="0"/>
                <w:i w:val="0"/>
                <w:color w:val="222222"/>
                <w:sz w:val="20"/>
              </w:rPr>
              <w:t>2026-10-28</w:t>
            </w:r>
          </w:p>
        </w:tc>
        <w:tc>
          <w:tcPr>
            <w:tcW w:type="dxa" w:w="2803"/>
            <w:shd w:val="clear" w:color="auto" w:fill="FFFFFF"/>
            <w:vAlign w:val="center"/>
          </w:tcPr>
          <w:p>
            <w:pPr>
              <w:keepNext/>
              <w:spacing w:after="0"/>
            </w:pPr>
            <w:r>
              <w:rPr>
                <w:rFonts w:ascii="Calibri" w:hAnsi="Calibri"/>
                <w:b w:val="0"/>
                <w:i w:val="0"/>
                <w:color w:val="222222"/>
                <w:sz w:val="20"/>
              </w:rPr>
              <w:t>Named definition sets: the asset's spike-time features under ours and the Kapucu 2022 depositors' stated definitions, in a sidecar table, with a translation table (D37)</w:t>
            </w:r>
          </w:p>
        </w:tc>
        <w:tc>
          <w:tcPr>
            <w:tcW w:type="dxa" w:w="2580"/>
            <w:shd w:val="clear" w:color="auto" w:fill="FFFFFF"/>
            <w:vAlign w:val="center"/>
          </w:tcPr>
          <w:p>
            <w:pPr>
              <w:keepNext/>
              <w:spacing w:after="0"/>
            </w:pPr>
            <w:r>
              <w:rPr>
                <w:rFonts w:ascii="Calibri" w:hAnsi="Calibri"/>
                <w:b w:val="0"/>
                <w:i w:val="0"/>
                <w:color w:val="222222"/>
                <w:sz w:val="20"/>
              </w:rPr>
              <w:t>none to earlier results (asset and metrics byte-identical); three features carry over as the same number, three by a plate-dependent factor, burst rate not at all</w:t>
            </w:r>
          </w:p>
        </w:tc>
        <w:tc>
          <w:tcPr>
            <w:tcW w:type="dxa" w:w="1175"/>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6"/>
            <w:shd w:val="clear" w:color="auto" w:fill="F7F9FB"/>
            <w:vAlign w:val="center"/>
          </w:tcPr>
          <w:p>
            <w:pPr>
              <w:keepNext w:val="0"/>
              <w:spacing w:after="0"/>
              <w:jc w:val="center"/>
            </w:pPr>
            <w:r>
              <w:rPr>
                <w:rFonts w:ascii="Calibri" w:hAnsi="Calibri"/>
                <w:b/>
                <w:i w:val="0"/>
                <w:color w:val="222222"/>
                <w:sz w:val="20"/>
              </w:rPr>
              <w:t>53</w:t>
            </w:r>
          </w:p>
        </w:tc>
        <w:tc>
          <w:tcPr>
            <w:tcW w:type="dxa" w:w="1533"/>
            <w:shd w:val="clear" w:color="auto" w:fill="F7F9FB"/>
            <w:vAlign w:val="center"/>
          </w:tcPr>
          <w:p>
            <w:pPr>
              <w:keepNext w:val="0"/>
              <w:spacing w:after="0"/>
              <w:jc w:val="center"/>
            </w:pPr>
            <w:r>
              <w:rPr>
                <w:rFonts w:ascii="Calibri" w:hAnsi="Calibri"/>
                <w:b w:val="0"/>
                <w:i w:val="0"/>
                <w:color w:val="222222"/>
                <w:sz w:val="20"/>
              </w:rPr>
              <w:t>2026-10-28</w:t>
            </w:r>
          </w:p>
        </w:tc>
        <w:tc>
          <w:tcPr>
            <w:tcW w:type="dxa" w:w="2803"/>
            <w:shd w:val="clear" w:color="auto" w:fill="F7F9FB"/>
            <w:vAlign w:val="center"/>
          </w:tcPr>
          <w:p>
            <w:pPr>
              <w:keepNext w:val="0"/>
              <w:spacing w:after="0"/>
            </w:pPr>
            <w:r>
              <w:rPr>
                <w:rFonts w:ascii="Calibri" w:hAnsi="Calibri"/>
                <w:b w:val="0"/>
                <w:i w:val="0"/>
                <w:color w:val="222222"/>
                <w:sz w:val="20"/>
              </w:rPr>
              <w:t>Is the twin's distance from the real recordings the prior's range? A registered wider prior (D38)</w:t>
            </w:r>
          </w:p>
        </w:tc>
        <w:tc>
          <w:tcPr>
            <w:tcW w:type="dxa" w:w="2580"/>
            <w:shd w:val="clear" w:color="auto" w:fill="F7F9FB"/>
            <w:vAlign w:val="center"/>
          </w:tcPr>
          <w:p>
            <w:pPr>
              <w:keepNext w:val="0"/>
              <w:spacing w:after="0"/>
            </w:pPr>
            <w:r>
              <w:rPr>
                <w:rFonts w:ascii="Calibri" w:hAnsi="Calibri"/>
                <w:b w:val="0"/>
                <w:i w:val="0"/>
                <w:color w:val="222222"/>
                <w:sz w:val="20"/>
              </w:rPr>
              <w:t>2 of 3 registered predictions pass; widening the box where the posterior pointed barely moves the real recordings closer, so the gap is misspecification; the inverse model is not to be read on absolute real recordings</w:t>
            </w:r>
          </w:p>
        </w:tc>
        <w:tc>
          <w:tcPr>
            <w:tcW w:type="dxa" w:w="1175"/>
            <w:shd w:val="clear" w:color="auto" w:fill="F7F9FB"/>
            <w:vAlign w:val="center"/>
          </w:tcPr>
          <w:p>
            <w:pPr>
              <w:keepNext w:val="0"/>
              <w:spacing w:after="0"/>
            </w:pPr>
            <w:r>
              <w:rPr>
                <w:rFonts w:ascii="Consolas" w:hAnsi="Consolas"/>
                <w:b w:val="0"/>
                <w:i w:val="0"/>
                <w:color w:val="222222"/>
                <w:sz w:val="18"/>
              </w:rPr>
              <w:t>3c2e43e</w:t>
            </w:r>
            <w:r>
              <w:rPr>
                <w:rFonts w:ascii="Calibri" w:hAnsi="Calibri"/>
                <w:b w:val="0"/>
                <w:i w:val="0"/>
                <w:color w:val="222222"/>
                <w:sz w:val="20"/>
              </w:rPr>
              <w:t xml:space="preserve">, </w:t>
            </w:r>
            <w:r>
              <w:rPr>
                <w:rFonts w:ascii="Consolas" w:hAnsi="Consolas"/>
                <w:b w:val="0"/>
                <w:i w:val="0"/>
                <w:color w:val="222222"/>
                <w:sz w:val="18"/>
              </w:rPr>
              <w:t>c3a7d3a</w:t>
            </w:r>
            <w:r>
              <w:rPr>
                <w:rFonts w:ascii="Calibri" w:hAnsi="Calibri"/>
                <w:b w:val="0"/>
                <w:i w:val="0"/>
                <w:color w:val="222222"/>
                <w:sz w:val="20"/>
              </w:rPr>
              <w:t xml:space="preserve">, </w:t>
            </w:r>
            <w:r>
              <w:rPr>
                <w:rFonts w:ascii="Consolas" w:hAnsi="Consolas"/>
                <w:b w:val="0"/>
                <w:i w:val="0"/>
                <w:color w:val="222222"/>
                <w:sz w:val="18"/>
              </w:rPr>
              <w:t>44f78f1</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48 registered studies here made 239 predictions: 108 passed, 91 failed, 39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43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48. The depositors' burst detector, tested: it does not explain the rest of the gap as registered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the depositors' own adaptive burst detector (logISI) added to their stated settings, our burst duration and spikes per burst land on their scale (pooled ratios 0.96 and 1.00) but still rank recordings differently, and the human burst rate overshoots theirs; one of four registered predictions passes, so the detector does not account for the remaining gap, or our implementation differs from theirs.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a third definition option, off by default: </w:t>
      </w:r>
      <w:r>
        <w:rPr>
          <w:rFonts w:ascii="Consolas" w:hAnsi="Consolas"/>
          <w:b w:val="0"/>
          <w:i w:val="0"/>
          <w:color w:val="222222"/>
          <w:sz w:val="19"/>
        </w:rPr>
        <w:t>FeatureParams.burst_detector = "logisi"</w:t>
      </w:r>
      <w:r>
        <w:rPr>
          <w:rFonts w:ascii="Calibri" w:hAnsi="Calibri"/>
          <w:b w:val="0"/>
          <w:i w:val="0"/>
          <w:color w:val="222222"/>
          <w:sz w:val="21"/>
        </w:rPr>
        <w:t xml:space="preserve">, the adaptive detector of Pasquale et al. 2010 with the depositors' stated minimum of five spikes and merging of close bursts. At the default every feature value and method record is byte-identical (the golden-value tests pass). A new module, </w:t>
      </w:r>
      <w:r>
        <w:rPr>
          <w:rFonts w:ascii="Consolas" w:hAnsi="Consolas"/>
          <w:b w:val="0"/>
          <w:i w:val="0"/>
          <w:color w:val="222222"/>
          <w:sz w:val="19"/>
        </w:rPr>
        <w:t>src/neuromps/models/extractor_logisi.py</w:t>
      </w:r>
      <w:r>
        <w:rPr>
          <w:rFonts w:ascii="Calibri" w:hAnsi="Calibri"/>
          <w:b w:val="0"/>
          <w:i w:val="0"/>
          <w:color w:val="222222"/>
          <w:sz w:val="21"/>
        </w:rPr>
        <w:t xml:space="preserve">, runs inside the extractor-agreement stage: S4 is the ladder's S3 with logISI (defined in </w:t>
      </w:r>
      <w:r>
        <w:rPr>
          <w:rFonts w:ascii="Consolas" w:hAnsi="Consolas"/>
          <w:b w:val="0"/>
          <w:i w:val="0"/>
          <w:color w:val="222222"/>
          <w:sz w:val="19"/>
        </w:rPr>
        <w:t>extractor_ladder.py</w:t>
      </w:r>
      <w:r>
        <w:rPr>
          <w:rFonts w:ascii="Calibri" w:hAnsi="Calibri"/>
          <w:b w:val="0"/>
          <w:i w:val="0"/>
          <w:color w:val="222222"/>
          <w:sz w:val="21"/>
        </w:rPr>
        <w:t xml:space="preserve"> beside the ladder, outside its definition set). The registration (</w:t>
      </w:r>
      <w:r>
        <w:rPr>
          <w:rFonts w:ascii="Consolas" w:hAnsi="Consolas"/>
          <w:b w:val="0"/>
          <w:i w:val="0"/>
          <w:color w:val="222222"/>
          <w:sz w:val="19"/>
        </w:rPr>
        <w:t>preregistration/extractor_logisi.json</w:t>
      </w:r>
      <w:r>
        <w:rPr>
          <w:rFonts w:ascii="Calibri" w:hAnsi="Calibri"/>
          <w:b w:val="0"/>
          <w:i w:val="0"/>
          <w:color w:val="222222"/>
          <w:sz w:val="21"/>
        </w:rPr>
        <w:t>, decision D34) fixed four predictions and the uninterpretable rule; its implementation section was completed and committed alone (</w:t>
      </w:r>
      <w:r>
        <w:rPr>
          <w:rFonts w:ascii="Consolas" w:hAnsi="Consolas"/>
          <w:b w:val="0"/>
          <w:i w:val="0"/>
          <w:color w:val="222222"/>
          <w:sz w:val="19"/>
        </w:rPr>
        <w:t>9570a9f</w:t>
      </w:r>
      <w:r>
        <w:rPr>
          <w:rFonts w:ascii="Calibri" w:hAnsi="Calibri"/>
          <w:b w:val="0"/>
          <w:i w:val="0"/>
          <w:color w:val="222222"/>
          <w:sz w:val="21"/>
        </w:rPr>
        <w:t>) before the detector ran on any Kapucu recording.</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47 attributed what the settings ladder left (burst duration, spikes per burst, part of the hPSC burst rate) to the burst detector without a test; a measured attribution answers "why trust your extractor" better than an inferred one.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L1 </w:t>
      </w:r>
      <w:r>
        <w:rPr>
          <w:rFonts w:ascii="Consolas" w:hAnsi="Consolas"/>
          <w:b w:val="0"/>
          <w:i w:val="0"/>
          <w:color w:val="222222"/>
          <w:sz w:val="19"/>
        </w:rPr>
        <w:t>fail</w:t>
      </w:r>
      <w:r>
        <w:rPr>
          <w:rFonts w:ascii="Calibri" w:hAnsi="Calibri"/>
          <w:b w:val="0"/>
          <w:i w:val="0"/>
          <w:color w:val="222222"/>
          <w:sz w:val="21"/>
        </w:rPr>
        <w:t>: pooled burst duration ratio 0.9611 is in its band, but rho 0.8347 is below 0.9 (S3: 0.8167).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L2 </w:t>
      </w:r>
      <w:r>
        <w:rPr>
          <w:rFonts w:ascii="Consolas" w:hAnsi="Consolas"/>
          <w:b w:val="0"/>
          <w:i w:val="0"/>
          <w:color w:val="222222"/>
          <w:sz w:val="19"/>
        </w:rPr>
        <w:t>fail</w:t>
      </w:r>
      <w:r>
        <w:rPr>
          <w:rFonts w:ascii="Calibri" w:hAnsi="Calibri"/>
          <w:b w:val="0"/>
          <w:i w:val="0"/>
          <w:color w:val="222222"/>
          <w:sz w:val="21"/>
        </w:rPr>
        <w:t>: pooled spikes per burst ratio 0.9986 is in its band, but rho 0.9467 is below 0.95 (S3: 0.9443).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L3 </w:t>
      </w:r>
      <w:r>
        <w:rPr>
          <w:rFonts w:ascii="Consolas" w:hAnsi="Consolas"/>
          <w:b w:val="0"/>
          <w:i w:val="0"/>
          <w:color w:val="222222"/>
          <w:sz w:val="19"/>
        </w:rPr>
        <w:t>uninterpretable</w:t>
      </w:r>
      <w:r>
        <w:rPr>
          <w:rFonts w:ascii="Calibri" w:hAnsi="Calibri"/>
          <w:b w:val="0"/>
          <w:i w:val="0"/>
          <w:color w:val="222222"/>
          <w:sz w:val="21"/>
        </w:rPr>
        <w:t>: the fallback covers a share of 0.515 of the hPSC active electrode-recordings, more than the registered half; the ratios, 1.0847 (hPSC_MEA1) and 1.1438 (hPSC_MEA2), lie above the band, where S3 lay below it.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L4 </w:t>
      </w:r>
      <w:r>
        <w:rPr>
          <w:rFonts w:ascii="Consolas" w:hAnsi="Consolas"/>
          <w:b w:val="0"/>
          <w:i w:val="0"/>
          <w:color w:val="222222"/>
          <w:sz w:val="19"/>
        </w:rPr>
        <w:t>pass</w:t>
      </w:r>
      <w:r>
        <w:rPr>
          <w:rFonts w:ascii="Calibri" w:hAnsi="Calibri"/>
          <w:b w:val="0"/>
          <w:i w:val="0"/>
          <w:color w:val="222222"/>
          <w:sz w:val="21"/>
        </w:rPr>
        <w:t>: on the rat plate burst rate 0.9816 and burst duration 0.9825, up from 0.7705 at S3.</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assumption check: fallback shares 0.4982 (hPSC_MEA1), 0.5321 (hPSC_MEA2) and 0.2313 (Rat_MEA1); median valid thresholds 7.08 ms, 8.91 ms and 281.84 ms. A share of 0.2786 and 0.2133 of the valid hPSC thresholds are below a millisecond, where a peak of near-coincident spikes is taken as the intraburst peak; this share was added to the output after the quick run showed such thresholds, and is descriptive.</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as the registration named it: from S3 to S4 the burst rate changes by more than a tenth in a share of 0.8273 (hPSC_MEA1) and 0.7632 (hPSC_MEA2) of recordings, the rat burst duration in 0.8723.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ladder's numbers and the published agreement are unchanged (every other key of </w:t>
      </w:r>
      <w:r>
        <w:rPr>
          <w:rFonts w:ascii="Consolas" w:hAnsi="Consolas"/>
          <w:b w:val="0"/>
          <w:i w:val="0"/>
          <w:color w:val="222222"/>
          <w:sz w:val="19"/>
        </w:rPr>
        <w:t>extractor_agreement</w:t>
      </w:r>
      <w:r>
        <w:rPr>
          <w:rFonts w:ascii="Calibri" w:hAnsi="Calibri"/>
          <w:b w:val="0"/>
          <w:i w:val="0"/>
          <w:color w:val="222222"/>
          <w:sz w:val="21"/>
        </w:rPr>
        <w:t xml:space="preserve"> is identical to the previous run). The registration counts in §21 and entry 43 rise by this study's four predictions. The depositors' analysis scripts, shared on G-Node GIN, were not read; they are the next check if the attribution matters.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("The detector, tested"); decision D34; </w:t>
      </w:r>
      <w:r>
        <w:rPr>
          <w:rFonts w:ascii="Consolas" w:hAnsi="Consolas"/>
          <w:b w:val="0"/>
          <w:i w:val="0"/>
          <w:color w:val="222222"/>
          <w:sz w:val="19"/>
        </w:rPr>
        <w:t>outputs/figures/extractor_logisi_real.png</w:t>
      </w:r>
      <w:r>
        <w:rPr>
          <w:rFonts w:ascii="Calibri" w:hAnsi="Calibri"/>
          <w:b w:val="0"/>
          <w:i w:val="0"/>
          <w:color w:val="222222"/>
          <w:sz w:val="21"/>
        </w:rPr>
        <w:t xml:space="preserve">, </w:t>
      </w:r>
      <w:r>
        <w:rPr>
          <w:rFonts w:ascii="Consolas" w:hAnsi="Consolas"/>
          <w:b w:val="0"/>
          <w:i w:val="0"/>
          <w:color w:val="222222"/>
          <w:sz w:val="19"/>
        </w:rPr>
        <w:t>outputs/extractor_logisi_REAL.json</w:t>
      </w:r>
      <w:r>
        <w:rPr>
          <w:rFonts w:ascii="Calibri" w:hAnsi="Calibri"/>
          <w:b w:val="0"/>
          <w:i w:val="0"/>
          <w:color w:val="222222"/>
          <w:sz w:val="21"/>
        </w:rPr>
        <w:t xml:space="preserve"> (with every electrode's threshold),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tests/test_extractor_logisi.py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50. Early network bursting does not predict how a human iPSC well settles, on independent plates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one 48-well plate, human iPSC wells with more network bursting in the first five minutes kept falling (post hoc rho −0.73); registered and retested on 144 recordings from the lab's developmental plates, the relation is gone (rho −0.06, interval −0.23 to 0.09), so a baseline network readout cannot yet be used to sort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replication (</w:t>
      </w:r>
      <w:r>
        <w:rPr>
          <w:rFonts w:ascii="Consolas" w:hAnsi="Consolas"/>
          <w:b w:val="0"/>
          <w:i w:val="0"/>
          <w:color w:val="222222"/>
          <w:sz w:val="19"/>
        </w:rPr>
        <w:t>src/neuromps/models/hpsc_network_state.py</w:t>
      </w:r>
      <w:r>
        <w:rPr>
          <w:rFonts w:ascii="Calibri" w:hAnsi="Calibri"/>
          <w:b w:val="0"/>
          <w:i w:val="0"/>
          <w:color w:val="222222"/>
          <w:sz w:val="21"/>
        </w:rPr>
        <w:t xml:space="preserve">, </w:t>
      </w:r>
      <w:r>
        <w:rPr>
          <w:rFonts w:ascii="Consolas" w:hAnsi="Consolas"/>
          <w:b w:val="0"/>
          <w:i w:val="0"/>
          <w:color w:val="222222"/>
          <w:sz w:val="19"/>
        </w:rPr>
        <w:t>preregistration/hpsc_network_state.json</w:t>
      </w:r>
      <w:r>
        <w:rPr>
          <w:rFonts w:ascii="Calibri" w:hAnsi="Calibri"/>
          <w:b w:val="0"/>
          <w:i w:val="0"/>
          <w:color w:val="222222"/>
          <w:sz w:val="21"/>
        </w:rPr>
        <w:t>, decision D36, report §36, "Registered replication") of a post hoc observation on entry 49's human wells. On D32's replication pool (the 12-well developmental plates, its usable untreated recordings), each 10-minute recording is cut into six windows; the first window's network-burst rate, synchrony and firing rate (the shared extractor) are set against the slope of the fixed-electrode log2 firing rate over the last five windows.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If early network state predicted settling, a lab could stratify human wells by it at baseline; a relation found by looking at one plate needed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N1 fails: the human interval does not lie below 0. N2 passes (rat rho −0.06, −0.28 to 0.20), which with N1 failing means neither species shows the relation. N3 fails (rho(mfr0) − rho(nb0) 0.02).</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recording was scored; nb0 was zero in 44% of human recordings (registered limit 80%). Post hoc, over the human recordings with an early network burst, rho is −0.17, still with an interval reaching 0.</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age check: the human partial rho on DIV is −0.39, so the age flag is not raised; the per-DIV median, −0.06, does not agree, and human early bursting falls steeply with age. Neither is a registered test of a within-age relation.</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D36; </w:t>
      </w:r>
      <w:r>
        <w:rPr>
          <w:rFonts w:ascii="Consolas" w:hAnsi="Consolas"/>
          <w:b w:val="0"/>
          <w:i w:val="0"/>
          <w:color w:val="222222"/>
          <w:sz w:val="19"/>
        </w:rPr>
        <w:t>outputs/figures/hpsc_network_state_real.png</w:t>
      </w:r>
      <w:r>
        <w:rPr>
          <w:rFonts w:ascii="Calibri" w:hAnsi="Calibri"/>
          <w:b w:val="0"/>
          <w:i w:val="0"/>
          <w:color w:val="222222"/>
          <w:sz w:val="21"/>
        </w:rPr>
        <w:t xml:space="preserve">, </w:t>
      </w:r>
      <w:r>
        <w:rPr>
          <w:rFonts w:ascii="Consolas" w:hAnsi="Consolas"/>
          <w:b w:val="0"/>
          <w:i w:val="0"/>
          <w:color w:val="222222"/>
          <w:sz w:val="19"/>
        </w:rPr>
        <w:t>outputs/hpsc_network_state_REAL.json</w:t>
      </w:r>
      <w:r>
        <w:rPr>
          <w:rFonts w:ascii="Calibri" w:hAnsi="Calibri"/>
          <w:b w:val="0"/>
          <w:i w:val="0"/>
          <w:color w:val="222222"/>
          <w:sz w:val="21"/>
        </w:rPr>
        <w:t xml:space="preserve"> (with the per-recording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xml:space="preserve">; tests </w:t>
      </w:r>
      <w:r>
        <w:rPr>
          <w:rFonts w:ascii="Consolas" w:hAnsi="Consolas"/>
          <w:b w:val="0"/>
          <w:i w:val="0"/>
          <w:color w:val="222222"/>
          <w:sz w:val="19"/>
        </w:rPr>
        <w:t>tests/test_hpsc_network_state.py</w:t>
      </w:r>
      <w:r>
        <w:rPr>
          <w:rFonts w:ascii="Calibri" w:hAnsi="Calibri"/>
          <w:b w:val="0"/>
          <w:i w:val="0"/>
          <w:color w:val="222222"/>
          <w:sz w:val="21"/>
        </w:rPr>
        <w:t>.</w:t>
      </w:r>
    </w:p>
    <w:p>
      <w:pPr>
        <w:keepNext/>
        <w:spacing w:before="240" w:after="60"/>
      </w:pPr>
      <w:r>
        <w:rPr>
          <w:rFonts w:ascii="Calibri" w:hAnsi="Calibri"/>
          <w:b/>
          <w:i w:val="0"/>
          <w:color w:val="1F4E79"/>
          <w:sz w:val="23"/>
        </w:rPr>
        <w:t>51. Our features under another laboratory's definitions, and where they translate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spike-time record in the asset now also carries its features under the Kapucu 2022 depositors' stated definitions, from the same extractor; on their plates, three of seven features are the same number under both, three differ by a factor that depends on the culture (firing rate 1.1017 rat, 1.3902 human), and burst rate cannot be converted.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registry of named definition sets, </w:t>
      </w:r>
      <w:r>
        <w:rPr>
          <w:rFonts w:ascii="Consolas" w:hAnsi="Consolas"/>
          <w:b w:val="0"/>
          <w:i w:val="0"/>
          <w:color w:val="222222"/>
          <w:sz w:val="19"/>
        </w:rPr>
        <w:t>src/neuromps/features/definitions.py</w:t>
      </w:r>
      <w:r>
        <w:rPr>
          <w:rFonts w:ascii="Calibri" w:hAnsi="Calibri"/>
          <w:b w:val="0"/>
          <w:i w:val="0"/>
          <w:color w:val="222222"/>
          <w:sz w:val="21"/>
        </w:rPr>
        <w:t xml:space="preserve">: </w:t>
      </w:r>
      <w:r>
        <w:rPr>
          <w:rFonts w:ascii="Consolas" w:hAnsi="Consolas"/>
          <w:b w:val="0"/>
          <w:i w:val="0"/>
          <w:color w:val="222222"/>
          <w:sz w:val="19"/>
        </w:rPr>
        <w:t>neuromps</w:t>
      </w:r>
      <w:r>
        <w:rPr>
          <w:rFonts w:ascii="Calibri" w:hAnsi="Calibri"/>
          <w:b w:val="0"/>
          <w:i w:val="0"/>
          <w:color w:val="222222"/>
          <w:sz w:val="21"/>
        </w:rPr>
        <w:t xml:space="preserve"> (reference, the defaults the asset and the twin use), </w:t>
      </w:r>
      <w:r>
        <w:rPr>
          <w:rFonts w:ascii="Consolas" w:hAnsi="Consolas"/>
          <w:b w:val="0"/>
          <w:i w:val="0"/>
          <w:color w:val="222222"/>
          <w:sz w:val="19"/>
        </w:rPr>
        <w:t>kapucu2022</w:t>
      </w:r>
      <w:r>
        <w:rPr>
          <w:rFonts w:ascii="Calibri" w:hAnsi="Calibri"/>
          <w:b w:val="0"/>
          <w:i w:val="0"/>
          <w:color w:val="222222"/>
          <w:sz w:val="21"/>
        </w:rPr>
        <w:t xml:space="preserve"> (validated, the settings ladder's S3) and </w:t>
      </w:r>
      <w:r>
        <w:rPr>
          <w:rFonts w:ascii="Consolas" w:hAnsi="Consolas"/>
          <w:b w:val="0"/>
          <w:i w:val="0"/>
          <w:color w:val="222222"/>
          <w:sz w:val="19"/>
        </w:rPr>
        <w:t>kapucu2022_logisi</w:t>
      </w:r>
      <w:r>
        <w:rPr>
          <w:rFonts w:ascii="Calibri" w:hAnsi="Calibri"/>
          <w:b w:val="0"/>
          <w:i w:val="0"/>
          <w:color w:val="222222"/>
          <w:sz w:val="21"/>
        </w:rPr>
        <w:t xml:space="preserve"> (experimental, S4; used for no claim). Each is a bundle of </w:t>
      </w:r>
      <w:r>
        <w:rPr>
          <w:rFonts w:ascii="Consolas" w:hAnsi="Consolas"/>
          <w:b w:val="0"/>
          <w:i w:val="0"/>
          <w:color w:val="222222"/>
          <w:sz w:val="19"/>
        </w:rPr>
        <w:t>FeatureParams</w:t>
      </w:r>
      <w:r>
        <w:rPr>
          <w:rFonts w:ascii="Calibri" w:hAnsi="Calibri"/>
          <w:b w:val="0"/>
          <w:i w:val="0"/>
          <w:color w:val="222222"/>
          <w:sz w:val="21"/>
        </w:rPr>
        <w:t xml:space="preserve"> options plus whether a deposit's noisy electrodes are dropped, so </w:t>
      </w:r>
      <w:r>
        <w:rPr>
          <w:rFonts w:ascii="Consolas" w:hAnsi="Consolas"/>
          <w:b w:val="0"/>
          <w:i w:val="0"/>
          <w:color w:val="222222"/>
          <w:sz w:val="19"/>
        </w:rPr>
        <w:t>features/mea.py</w:t>
      </w:r>
      <w:r>
        <w:rPr>
          <w:rFonts w:ascii="Calibri" w:hAnsi="Calibri"/>
          <w:b w:val="0"/>
          <w:i w:val="0"/>
          <w:color w:val="222222"/>
          <w:sz w:val="21"/>
        </w:rPr>
        <w:t xml:space="preserve"> stays the one extractor. The ladder and the logISI study now take S3 and S4 from the registry; the definitions are equal to the old ones. A new stage in the models step (</w:t>
      </w:r>
      <w:r>
        <w:rPr>
          <w:rFonts w:ascii="Consolas" w:hAnsi="Consolas"/>
          <w:b w:val="0"/>
          <w:i w:val="0"/>
          <w:color w:val="222222"/>
          <w:sz w:val="19"/>
        </w:rPr>
        <w:t>src/neuromps/models/feature_definitions.py</w:t>
      </w:r>
      <w:r>
        <w:rPr>
          <w:rFonts w:ascii="Calibri" w:hAnsi="Calibri"/>
          <w:b w:val="0"/>
          <w:i w:val="0"/>
          <w:color w:val="222222"/>
          <w:sz w:val="21"/>
        </w:rPr>
        <w:t>, after the extractor agreement) re-reads each spike-time record with the ETL modules' own loaders (</w:t>
      </w:r>
      <w:r>
        <w:rPr>
          <w:rFonts w:ascii="Consolas" w:hAnsi="Consolas"/>
          <w:b w:val="0"/>
          <w:i w:val="0"/>
          <w:color w:val="222222"/>
          <w:sz w:val="19"/>
        </w:rPr>
        <w:t>src/neuromps/etl/spike_trains.py</w:t>
      </w:r>
      <w:r>
        <w:rPr>
          <w:rFonts w:ascii="Calibri" w:hAnsi="Calibri"/>
          <w:b w:val="0"/>
          <w:i w:val="0"/>
          <w:color w:val="222222"/>
          <w:sz w:val="21"/>
        </w:rPr>
        <w:t xml:space="preserve">), writes </w:t>
      </w:r>
      <w:r>
        <w:rPr>
          <w:rFonts w:ascii="Consolas" w:hAnsi="Consolas"/>
          <w:b w:val="0"/>
          <w:i w:val="0"/>
          <w:color w:val="222222"/>
          <w:sz w:val="19"/>
        </w:rPr>
        <w:t>data/processed/features_by_definition.parquet</w:t>
      </w:r>
      <w:r>
        <w:rPr>
          <w:rFonts w:ascii="Calibri" w:hAnsi="Calibri"/>
          <w:b w:val="0"/>
          <w:i w:val="0"/>
          <w:color w:val="222222"/>
          <w:sz w:val="21"/>
        </w:rPr>
        <w:t xml:space="preserve"> (record id, source, definition, feature, value) and generates </w:t>
      </w:r>
      <w:r>
        <w:rPr>
          <w:rFonts w:ascii="Consolas" w:hAnsi="Consolas"/>
          <w:b w:val="0"/>
          <w:i w:val="0"/>
          <w:color w:val="222222"/>
          <w:sz w:val="19"/>
        </w:rPr>
        <w:t>outputs/tables/feature_definitions.md</w:t>
      </w:r>
      <w:r>
        <w:rPr>
          <w:rFonts w:ascii="Calibri" w:hAnsi="Calibri"/>
          <w:b w:val="0"/>
          <w:i w:val="0"/>
          <w:color w:val="222222"/>
          <w:sz w:val="21"/>
        </w:rPr>
        <w:t xml:space="preserve">. Decision D37; report §3, "Named definition sets"; </w:t>
      </w:r>
      <w:r>
        <w:rPr>
          <w:rFonts w:ascii="Consolas" w:hAnsi="Consolas"/>
          <w:b w:val="0"/>
          <w:i w:val="0"/>
          <w:color w:val="222222"/>
          <w:sz w:val="19"/>
        </w:rPr>
        <w:t>schema/STANDARD.md</w:t>
      </w:r>
      <w:r>
        <w:rPr>
          <w:rFonts w:ascii="Calibri" w:hAnsi="Calibri"/>
          <w:b w:val="0"/>
          <w:i w:val="0"/>
          <w:color w:val="222222"/>
          <w:sz w:val="21"/>
        </w:rPr>
        <w:t xml:space="preserve"> §4.4.</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D33 recorded this as the future option: a laboratory reading our numbers beside its own needs to know where a translation is supported by evidence, and the evidence (the ladder and the logISI test) was only in a metrics file.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sidecar holds 1,512 records under every set (40,824 rows). Its </w:t>
      </w:r>
      <w:r>
        <w:rPr>
          <w:rFonts w:ascii="Consolas" w:hAnsi="Consolas"/>
          <w:b w:val="0"/>
          <w:i w:val="0"/>
          <w:color w:val="222222"/>
          <w:sz w:val="19"/>
        </w:rPr>
        <w:t>neuromps</w:t>
      </w:r>
      <w:r>
        <w:rPr>
          <w:rFonts w:ascii="Calibri" w:hAnsi="Calibri"/>
          <w:b w:val="0"/>
          <w:i w:val="0"/>
          <w:color w:val="222222"/>
          <w:sz w:val="21"/>
        </w:rPr>
        <w:t xml:space="preserve"> rows equal the asset in all 13,608 values; on the developmental plates the </w:t>
      </w:r>
      <w:r>
        <w:rPr>
          <w:rFonts w:ascii="Consolas" w:hAnsi="Consolas"/>
          <w:b w:val="0"/>
          <w:i w:val="0"/>
          <w:color w:val="222222"/>
          <w:sz w:val="19"/>
        </w:rPr>
        <w:t>kapucu2022</w:t>
      </w:r>
      <w:r>
        <w:rPr>
          <w:rFonts w:ascii="Calibri" w:hAnsi="Calibri"/>
          <w:b w:val="0"/>
          <w:i w:val="0"/>
          <w:color w:val="222222"/>
          <w:sz w:val="21"/>
        </w:rPr>
        <w:t xml:space="preserve"> ratios against the depositors equal the ladder's S3 numbers in 28 of 28 comparisons (all checks: true).</w:t>
      </w:r>
    </w:p>
    <w:p>
      <w:pPr>
        <w:spacing w:after="120"/>
        <w:ind w:left="432" w:hanging="259"/>
      </w:pPr>
      <w:r>
        <w:rPr>
          <w:rFonts w:ascii="Calibri" w:hAnsi="Calibri"/>
          <w:b w:val="0"/>
          <w:i w:val="0"/>
          <w:color w:val="222222"/>
          <w:sz w:val="21"/>
        </w:rPr>
        <w:t>•</w:t>
        <w:tab/>
      </w:r>
      <w:r>
        <w:rPr>
          <w:rFonts w:ascii="Consolas" w:hAnsi="Consolas"/>
          <w:b w:val="0"/>
          <w:i w:val="0"/>
          <w:color w:val="222222"/>
          <w:sz w:val="19"/>
        </w:rPr>
        <w:t>kapucu2022</w:t>
      </w:r>
      <w:r>
        <w:rPr>
          <w:rFonts w:ascii="Calibri" w:hAnsi="Calibri"/>
          <w:b w:val="0"/>
          <w:i w:val="0"/>
          <w:color w:val="222222"/>
          <w:sz w:val="21"/>
        </w:rPr>
        <w:t xml:space="preserve"> against ours, on 336 recordings: share of spikes in bursts, spikes per burst and burst duration are the same number (ratio 1.0132 for the first); active electrodes, firing rate and STTC are a scale factor (0.734, 1.3264 and 1.315); burst rate has no conversion (ratio 2.0584, rank agreement 0.9299).</w:t>
      </w:r>
    </w:p>
    <w:p>
      <w:pPr>
        <w:spacing w:after="120"/>
        <w:ind w:left="432" w:hanging="259"/>
      </w:pPr>
      <w:r>
        <w:rPr>
          <w:rFonts w:ascii="Calibri" w:hAnsi="Calibri"/>
          <w:b w:val="0"/>
          <w:i w:val="0"/>
          <w:color w:val="222222"/>
          <w:sz w:val="21"/>
        </w:rPr>
        <w:t>•</w:t>
        <w:tab/>
      </w:r>
      <w:r>
        <w:rPr>
          <w:rFonts w:ascii="Calibri" w:hAnsi="Calibri"/>
          <w:b w:val="0"/>
          <w:i w:val="0"/>
          <w:color w:val="222222"/>
          <w:sz w:val="21"/>
        </w:rPr>
        <w:t>The factors differ by plate, so they are properties of these cultures, not constants of the definitions: active electrodes 0.9008 on the rat plate against 0.6958 on hPSC_MEA2.</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A same number between two of our sets is not agreement with the depositors: burst duration is unchanged by the switch, and </w:t>
      </w:r>
      <w:r>
        <w:rPr>
          <w:rFonts w:ascii="Consolas" w:hAnsi="Consolas"/>
          <w:b w:val="0"/>
          <w:i w:val="0"/>
          <w:color w:val="222222"/>
          <w:sz w:val="19"/>
        </w:rPr>
        <w:t>kapucu2022</w:t>
      </w:r>
      <w:r>
        <w:rPr>
          <w:rFonts w:ascii="Calibri" w:hAnsi="Calibri"/>
          <w:b w:val="0"/>
          <w:i w:val="0"/>
          <w:color w:val="222222"/>
          <w:sz w:val="21"/>
        </w:rPr>
        <w:t xml:space="preserve"> sits at 0.8208 of their value.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Not a registered study, so the registration counts (§21, entry 43) do not change. No record of </w:t>
      </w:r>
      <w:r>
        <w:rPr>
          <w:rFonts w:ascii="Consolas" w:hAnsi="Consolas"/>
          <w:b w:val="0"/>
          <w:i w:val="0"/>
          <w:color w:val="222222"/>
          <w:sz w:val="19"/>
        </w:rPr>
        <w:t>neuromps.parquet</w:t>
      </w:r>
      <w:r>
        <w:rPr>
          <w:rFonts w:ascii="Calibri" w:hAnsi="Calibri"/>
          <w:b w:val="0"/>
          <w:i w:val="0"/>
          <w:color w:val="222222"/>
          <w:sz w:val="21"/>
        </w:rPr>
        <w:t xml:space="preserve">, no method block, no twin target and no earlier key of </w:t>
      </w:r>
      <w:r>
        <w:rPr>
          <w:rFonts w:ascii="Consolas" w:hAnsi="Consolas"/>
          <w:b w:val="0"/>
          <w:i w:val="0"/>
          <w:color w:val="222222"/>
          <w:sz w:val="19"/>
        </w:rPr>
        <w:t>outputs/metrics.json</w:t>
      </w:r>
      <w:r>
        <w:rPr>
          <w:rFonts w:ascii="Calibri" w:hAnsi="Calibri"/>
          <w:b w:val="0"/>
          <w:i w:val="0"/>
          <w:color w:val="222222"/>
          <w:sz w:val="21"/>
        </w:rPr>
        <w:t xml:space="preserve"> changes; the stage adds the key </w:t>
      </w:r>
      <w:r>
        <w:rPr>
          <w:rFonts w:ascii="Consolas" w:hAnsi="Consolas"/>
          <w:b w:val="0"/>
          <w:i w:val="0"/>
          <w:color w:val="222222"/>
          <w:sz w:val="19"/>
        </w:rPr>
        <w:t>feature_definitions</w:t>
      </w:r>
      <w:r>
        <w:rPr>
          <w:rFonts w:ascii="Calibri" w:hAnsi="Calibri"/>
          <w:b w:val="0"/>
          <w:i w:val="0"/>
          <w:color w:val="222222"/>
          <w:sz w:val="21"/>
        </w:rPr>
        <w:t xml:space="preserve"> and costs a few seconds on the quick tier, which has no developmental-plate spike files and so skips the translation.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("Named definition sets"); decision D37; </w:t>
      </w:r>
      <w:r>
        <w:rPr>
          <w:rFonts w:ascii="Consolas" w:hAnsi="Consolas"/>
          <w:b w:val="0"/>
          <w:i w:val="0"/>
          <w:color w:val="222222"/>
          <w:sz w:val="19"/>
        </w:rPr>
        <w:t>schema/STANDARD.md</w:t>
      </w:r>
      <w:r>
        <w:rPr>
          <w:rFonts w:ascii="Calibri" w:hAnsi="Calibri"/>
          <w:b w:val="0"/>
          <w:i w:val="0"/>
          <w:color w:val="222222"/>
          <w:sz w:val="21"/>
        </w:rPr>
        <w:t xml:space="preserve"> §4.4; </w:t>
      </w:r>
      <w:r>
        <w:rPr>
          <w:rFonts w:ascii="Consolas" w:hAnsi="Consolas"/>
          <w:b w:val="0"/>
          <w:i w:val="0"/>
          <w:color w:val="222222"/>
          <w:sz w:val="19"/>
        </w:rPr>
        <w:t>data/processed/features_by_definition.parquet</w:t>
      </w:r>
      <w:r>
        <w:rPr>
          <w:rFonts w:ascii="Calibri" w:hAnsi="Calibri"/>
          <w:b w:val="0"/>
          <w:i w:val="0"/>
          <w:color w:val="222222"/>
          <w:sz w:val="21"/>
        </w:rPr>
        <w:t xml:space="preserve">; </w:t>
      </w:r>
      <w:r>
        <w:rPr>
          <w:rFonts w:ascii="Consolas" w:hAnsi="Consolas"/>
          <w:b w:val="0"/>
          <w:i w:val="0"/>
          <w:color w:val="222222"/>
          <w:sz w:val="19"/>
        </w:rPr>
        <w:t>outputs/tables/feature_definitions.md</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feature_definitions</w:t>
      </w:r>
      <w:r>
        <w:rPr>
          <w:rFonts w:ascii="Calibri" w:hAnsi="Calibri"/>
          <w:b w:val="0"/>
          <w:i w:val="0"/>
          <w:color w:val="222222"/>
          <w:sz w:val="21"/>
        </w:rPr>
        <w:t xml:space="preserve">; tests </w:t>
      </w:r>
      <w:r>
        <w:rPr>
          <w:rFonts w:ascii="Consolas" w:hAnsi="Consolas"/>
          <w:b w:val="0"/>
          <w:i w:val="0"/>
          <w:color w:val="222222"/>
          <w:sz w:val="19"/>
        </w:rPr>
        <w:t>tests/test_feature_definitions.py</w:t>
      </w:r>
      <w:r>
        <w:rPr>
          <w:rFonts w:ascii="Calibri" w:hAnsi="Calibri"/>
          <w:b w:val="0"/>
          <w:i w:val="0"/>
          <w:color w:val="222222"/>
          <w:sz w:val="21"/>
        </w:rPr>
        <w:t xml:space="preserve">, </w:t>
      </w:r>
      <w:r>
        <w:rPr>
          <w:rFonts w:ascii="Consolas" w:hAnsi="Consolas"/>
          <w:b w:val="0"/>
          <w:i w:val="0"/>
          <w:color w:val="222222"/>
          <w:sz w:val="19"/>
        </w:rPr>
        <w:t>tests/test_definition_sidecar.py</w:t>
      </w:r>
      <w:r>
        <w:rPr>
          <w:rFonts w:ascii="Calibri" w:hAnsi="Calibri"/>
          <w:b w:val="0"/>
          <w:i w:val="0"/>
          <w:color w:val="222222"/>
          <w:sz w:val="21"/>
        </w:rPr>
        <w:t xml:space="preserve">, </w:t>
      </w:r>
      <w:r>
        <w:rPr>
          <w:rFonts w:ascii="Consolas" w:hAnsi="Consolas"/>
          <w:b w:val="0"/>
          <w:i w:val="0"/>
          <w:color w:val="222222"/>
          <w:sz w:val="19"/>
        </w:rPr>
        <w:t>tests/test_feature_translation.py</w:t>
      </w:r>
      <w:r>
        <w:rPr>
          <w:rFonts w:ascii="Calibri" w:hAnsi="Calibri"/>
          <w:b w:val="0"/>
          <w:i w:val="0"/>
          <w:color w:val="222222"/>
          <w:sz w:val="21"/>
        </w:rPr>
        <w:t>.</w:t>
      </w:r>
    </w:p>
    <w:p>
      <w:pPr>
        <w:keepNext/>
        <w:spacing w:before="240" w:after="60"/>
      </w:pPr>
      <w:r>
        <w:rPr>
          <w:rFonts w:ascii="Calibri" w:hAnsi="Calibri"/>
          <w:b/>
          <w:i w:val="0"/>
          <w:color w:val="1F4E79"/>
          <w:sz w:val="23"/>
        </w:rPr>
        <w:t>53. A wider prior does not bring the twin to the real recordings: the gap is the model</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Widening the twin's prior where its posterior pointed moves the median real recording only from 2.43 to 2.211 units from its nearest simulation (registered target: half); the twin does not produce these recordings, so its inverse model is not to be read on them, under either prior.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45 (</w:t>
      </w:r>
      <w:r>
        <w:rPr>
          <w:rFonts w:ascii="Consolas" w:hAnsi="Consolas"/>
          <w:b w:val="0"/>
          <w:i w:val="0"/>
          <w:color w:val="222222"/>
          <w:sz w:val="19"/>
        </w:rPr>
        <w:t>src/neuromps/twin/prior_reach.py</w:t>
      </w:r>
      <w:r>
        <w:rPr>
          <w:rFonts w:ascii="Calibri" w:hAnsi="Calibri"/>
          <w:b w:val="0"/>
          <w:i w:val="0"/>
          <w:color w:val="222222"/>
          <w:sz w:val="21"/>
        </w:rPr>
        <w:t xml:space="preserve">, </w:t>
      </w:r>
      <w:r>
        <w:rPr>
          <w:rFonts w:ascii="Consolas" w:hAnsi="Consolas"/>
          <w:b w:val="0"/>
          <w:i w:val="0"/>
          <w:color w:val="222222"/>
          <w:sz w:val="19"/>
        </w:rPr>
        <w:t>src/neuromps/twin/prior_reach_run.py</w:t>
      </w:r>
      <w:r>
        <w:rPr>
          <w:rFonts w:ascii="Calibri" w:hAnsi="Calibri"/>
          <w:b w:val="0"/>
          <w:i w:val="0"/>
          <w:color w:val="222222"/>
          <w:sz w:val="21"/>
        </w:rPr>
        <w:t xml:space="preserve">, </w:t>
      </w:r>
      <w:r>
        <w:rPr>
          <w:rFonts w:ascii="Consolas" w:hAnsi="Consolas"/>
          <w:b w:val="0"/>
          <w:i w:val="0"/>
          <w:color w:val="222222"/>
          <w:sz w:val="19"/>
        </w:rPr>
        <w:t>preregistration/twin_prior_reach.json</w:t>
      </w:r>
      <w:r>
        <w:rPr>
          <w:rFonts w:ascii="Calibri" w:hAnsi="Calibri"/>
          <w:b w:val="0"/>
          <w:i w:val="0"/>
          <w:color w:val="222222"/>
          <w:sz w:val="21"/>
        </w:rPr>
        <w:t xml:space="preserve">, decision D38, report §16, "A registered follow-up"). A diagnostic on the round-1 pool, declared as seen, located the gap in four summaries (the chambers' rate ratio, the coupling lag, the two active-electrode counts) and showed the round-1 posterior pushing past the </w:t>
      </w:r>
      <w:r>
        <w:rPr>
          <w:rFonts w:ascii="Consolas" w:hAnsi="Consolas"/>
          <w:b w:val="0"/>
          <w:i w:val="0"/>
          <w:color w:val="222222"/>
          <w:sz w:val="19"/>
        </w:rPr>
        <w:t>threshold_scale</w:t>
      </w:r>
      <w:r>
        <w:rPr>
          <w:rFonts w:ascii="Calibri" w:hAnsi="Calibri"/>
          <w:b w:val="0"/>
          <w:i w:val="0"/>
          <w:color w:val="222222"/>
          <w:sz w:val="21"/>
        </w:rPr>
        <w:t xml:space="preserve"> and </w:t>
      </w:r>
      <w:r>
        <w:rPr>
          <w:rFonts w:ascii="Consolas" w:hAnsi="Consolas"/>
          <w:b w:val="0"/>
          <w:i w:val="0"/>
          <w:color w:val="222222"/>
          <w:sz w:val="19"/>
        </w:rPr>
        <w:t>log10_forward_ratio</w:t>
      </w:r>
      <w:r>
        <w:rPr>
          <w:rFonts w:ascii="Calibri" w:hAnsi="Calibri"/>
          <w:b w:val="0"/>
          <w:i w:val="0"/>
          <w:color w:val="222222"/>
          <w:sz w:val="21"/>
        </w:rPr>
        <w:t xml:space="preserve"> bounds for the real recordings. The registered box widens those two and </w:t>
      </w:r>
      <w:r>
        <w:rPr>
          <w:rFonts w:ascii="Consolas" w:hAnsi="Consolas"/>
          <w:b w:val="0"/>
          <w:i w:val="0"/>
          <w:color w:val="222222"/>
          <w:sz w:val="19"/>
        </w:rPr>
        <w:t>ampa_scale</w:t>
      </w:r>
      <w:r>
        <w:rPr>
          <w:rFonts w:ascii="Calibri" w:hAnsi="Calibri"/>
          <w:b w:val="0"/>
          <w:i w:val="0"/>
          <w:color w:val="222222"/>
          <w:sz w:val="21"/>
        </w:rPr>
        <w:t xml:space="preserve"> and keeps the other two; 3,000 fresh simulations (600 held out) were run from it, all before the registered cut-off, and every distance is read on the round-1 pool's scale at equal pool sizes. </w:t>
      </w:r>
      <w:r>
        <w:rPr>
          <w:rFonts w:ascii="Consolas" w:hAnsi="Consolas"/>
          <w:b w:val="0"/>
          <w:i w:val="0"/>
          <w:color w:val="222222"/>
          <w:sz w:val="19"/>
        </w:rPr>
        <w:t>neuromps.twin.inference</w:t>
      </w:r>
      <w:r>
        <w:rPr>
          <w:rFonts w:ascii="Calibri" w:hAnsi="Calibri"/>
          <w:b w:val="0"/>
          <w:i w:val="0"/>
          <w:color w:val="222222"/>
          <w:sz w:val="21"/>
        </w:rPr>
        <w:t xml:space="preserve"> now takes an optional prior box (unchanged when none is given), and </w:t>
      </w:r>
      <w:r>
        <w:rPr>
          <w:rFonts w:ascii="Consolas" w:hAnsi="Consolas"/>
          <w:b w:val="0"/>
          <w:i w:val="0"/>
          <w:color w:val="222222"/>
          <w:sz w:val="19"/>
        </w:rPr>
        <w:t>run_all.py</w:t>
      </w:r>
      <w:r>
        <w:rPr>
          <w:rFonts w:ascii="Calibri" w:hAnsi="Calibri"/>
          <w:b w:val="0"/>
          <w:i w:val="0"/>
          <w:color w:val="222222"/>
          <w:sz w:val="21"/>
        </w:rPr>
        <w:t xml:space="preserve"> gains a full-tier step; the quick tier only re-scores the committed record.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45 found the real recordings far from every simulation; whether that is the prior's range or something the twin cannot produce decides whether a wider prior or a different model is the next step.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R1 fails: the ratio of median distances is 0.91 (registered pass at 0.5 or below), and the verdict holds on the new pool's own scale (0.876) and on the pooled one. The chambers' rate ratio still carries a share of 0.2998 of what remains.</w:t>
      </w:r>
    </w:p>
    <w:p>
      <w:pPr>
        <w:spacing w:after="120"/>
        <w:ind w:left="432" w:hanging="259"/>
      </w:pPr>
      <w:r>
        <w:rPr>
          <w:rFonts w:ascii="Calibri" w:hAnsi="Calibri"/>
          <w:b w:val="0"/>
          <w:i w:val="0"/>
          <w:color w:val="222222"/>
          <w:sz w:val="21"/>
        </w:rPr>
        <w:t>•</w:t>
        <w:tab/>
      </w:r>
      <w:r>
        <w:rPr>
          <w:rFonts w:ascii="Calibri" w:hAnsi="Calibri"/>
          <w:b w:val="0"/>
          <w:i w:val="0"/>
          <w:color w:val="222222"/>
          <w:sz w:val="21"/>
        </w:rPr>
        <w:t>R2 passes: the new pool keeps a near neighbour for a share of 0.8233 of the round-1 held-out simulations.</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R3 passes: one flow on the new pool is calibrated for </w:t>
      </w:r>
      <w:r>
        <w:rPr>
          <w:rFonts w:ascii="Consolas" w:hAnsi="Consolas"/>
          <w:b w:val="0"/>
          <w:i w:val="0"/>
          <w:color w:val="222222"/>
          <w:sz w:val="19"/>
        </w:rPr>
        <w:t>threshold_scale</w:t>
      </w:r>
      <w:r>
        <w:rPr>
          <w:rFonts w:ascii="Calibri" w:hAnsi="Calibri"/>
          <w:b w:val="0"/>
          <w:i w:val="0"/>
          <w:color w:val="222222"/>
          <w:sz w:val="21"/>
        </w:rPr>
        <w:t xml:space="preserve"> on the 200 held-out simulations nearest the real recordings (p = 0.2682); on the same simulations it fails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cache, whose summary-code hash moved with two off-by-default extractor options (entry 47), reproduces exactly (6 of 6 rows), so both pools come from one simulator.</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45's record (</w:t>
      </w:r>
      <w:r>
        <w:rPr>
          <w:rFonts w:ascii="Consolas" w:hAnsi="Consolas"/>
          <w:b w:val="0"/>
          <w:i w:val="0"/>
          <w:color w:val="222222"/>
          <w:sz w:val="19"/>
        </w:rPr>
        <w:t>twin_hd14b_recalibration</w:t>
      </w:r>
      <w:r>
        <w:rPr>
          <w:rFonts w:ascii="Calibri" w:hAnsi="Calibri"/>
          <w:b w:val="0"/>
          <w:i w:val="0"/>
          <w:color w:val="222222"/>
          <w:sz w:val="21"/>
        </w:rPr>
        <w:t>) is untouched. §18's support-rejection row now says the gap is misspecification, not the prior's range. The registration counts in §21 and entry 43 rise by this study's three predictions, one registration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decision D38; </w:t>
      </w:r>
      <w:r>
        <w:rPr>
          <w:rFonts w:ascii="Consolas" w:hAnsi="Consolas"/>
          <w:b w:val="0"/>
          <w:i w:val="0"/>
          <w:color w:val="222222"/>
          <w:sz w:val="19"/>
        </w:rPr>
        <w:t>outputs/twin/prior_reach_simulated.png</w:t>
      </w:r>
      <w:r>
        <w:rPr>
          <w:rFonts w:ascii="Calibri" w:hAnsi="Calibri"/>
          <w:b w:val="0"/>
          <w:i w:val="0"/>
          <w:color w:val="222222"/>
          <w:sz w:val="21"/>
        </w:rPr>
        <w:t xml:space="preserve">, </w:t>
      </w:r>
      <w:r>
        <w:rPr>
          <w:rFonts w:ascii="Consolas" w:hAnsi="Consolas"/>
          <w:b w:val="0"/>
          <w:i w:val="0"/>
          <w:color w:val="222222"/>
          <w:sz w:val="19"/>
        </w:rPr>
        <w:t>outputs/twin/prior_reach_SIMULATED.json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twin_prior_reach</w:t>
      </w:r>
      <w:r>
        <w:rPr>
          <w:rFonts w:ascii="Calibri" w:hAnsi="Calibri"/>
          <w:b w:val="0"/>
          <w:i w:val="0"/>
          <w:color w:val="222222"/>
          <w:sz w:val="21"/>
        </w:rPr>
        <w:t xml:space="preserve">; tests </w:t>
      </w:r>
      <w:r>
        <w:rPr>
          <w:rFonts w:ascii="Consolas" w:hAnsi="Consolas"/>
          <w:b w:val="0"/>
          <w:i w:val="0"/>
          <w:color w:val="222222"/>
          <w:sz w:val="19"/>
        </w:rPr>
        <w:t>tests/test_twin_prior_reach.py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