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
        <w:gridCol w:w="1729"/>
        <w:gridCol w:w="2562"/>
        <w:gridCol w:w="2459"/>
        <w:gridCol w:w="1426"/>
      </w:tblGrid>
      <w:tr>
        <w:trPr>
          <w:cantSplit/>
          <w:tblHeader/>
        </w:trPr>
        <w:tc>
          <w:tcPr>
            <w:tcW w:type="dxa" w:w="319"/>
            <w:shd w:val="clear" w:color="auto" w:fill="1F4E79"/>
            <w:vAlign w:val="center"/>
          </w:tcPr>
          <w:p>
            <w:pPr>
              <w:keepNext/>
              <w:spacing w:after="0"/>
              <w:jc w:val="center"/>
            </w:pPr>
            <w:r>
              <w:rPr>
                <w:rFonts w:ascii="Calibri" w:hAnsi="Calibri"/>
                <w:b/>
                <w:i w:val="0"/>
                <w:color w:val="FFFFFF"/>
                <w:sz w:val="20"/>
              </w:rPr>
              <w:t>#</w:t>
            </w:r>
          </w:p>
        </w:tc>
        <w:tc>
          <w:tcPr>
            <w:tcW w:type="dxa" w:w="1729"/>
            <w:shd w:val="clear" w:color="auto" w:fill="1F4E79"/>
            <w:vAlign w:val="center"/>
          </w:tcPr>
          <w:p>
            <w:pPr>
              <w:keepNext/>
              <w:spacing w:after="0"/>
              <w:jc w:val="center"/>
            </w:pPr>
            <w:r>
              <w:rPr>
                <w:rFonts w:ascii="Calibri" w:hAnsi="Calibri"/>
                <w:b/>
                <w:i w:val="0"/>
                <w:color w:val="FFFFFF"/>
                <w:sz w:val="20"/>
              </w:rPr>
              <w:t>Date</w:t>
            </w:r>
          </w:p>
        </w:tc>
        <w:tc>
          <w:tcPr>
            <w:tcW w:type="dxa" w:w="2562"/>
            <w:shd w:val="clear" w:color="auto" w:fill="1F4E79"/>
            <w:vAlign w:val="center"/>
          </w:tcPr>
          <w:p>
            <w:pPr>
              <w:keepNext/>
              <w:spacing w:after="0"/>
            </w:pPr>
            <w:r>
              <w:rPr>
                <w:rFonts w:ascii="Calibri" w:hAnsi="Calibri"/>
                <w:b/>
                <w:i w:val="0"/>
                <w:color w:val="FFFFFF"/>
                <w:sz w:val="20"/>
              </w:rPr>
              <w:t>Change</w:t>
            </w:r>
          </w:p>
        </w:tc>
        <w:tc>
          <w:tcPr>
            <w:tcW w:type="dxa" w:w="2459"/>
            <w:shd w:val="clear" w:color="auto" w:fill="1F4E79"/>
            <w:vAlign w:val="center"/>
          </w:tcPr>
          <w:p>
            <w:pPr>
              <w:keepNext/>
              <w:spacing w:after="0"/>
            </w:pPr>
            <w:r>
              <w:rPr>
                <w:rFonts w:ascii="Calibri" w:hAnsi="Calibri"/>
                <w:b/>
                <w:i w:val="0"/>
                <w:color w:val="FFFFFF"/>
                <w:sz w:val="20"/>
              </w:rPr>
              <w:t>Effect on results</w:t>
            </w:r>
          </w:p>
        </w:tc>
        <w:tc>
          <w:tcPr>
            <w:tcW w:type="dxa" w:w="1426"/>
            <w:shd w:val="clear" w:color="auto" w:fill="1F4E79"/>
            <w:vAlign w:val="center"/>
          </w:tcPr>
          <w:p>
            <w:pPr>
              <w:keepNext/>
              <w:spacing w:after="0"/>
            </w:pPr>
            <w:r>
              <w:rPr>
                <w:rFonts w:ascii="Calibri" w:hAnsi="Calibri"/>
                <w:b/>
                <w:i w:val="0"/>
                <w:color w:val="FFFFFF"/>
                <w:sz w:val="20"/>
              </w:rPr>
              <w:t>Commits</w:t>
            </w:r>
          </w:p>
        </w:tc>
      </w:tr>
      <w:tr>
        <w:trPr>
          <w:cantSplit/>
        </w:trPr>
        <w:tc>
          <w:tcPr>
            <w:tcW w:type="dxa" w:w="319"/>
            <w:shd w:val="clear" w:color="auto" w:fill="FFFFFF"/>
            <w:vAlign w:val="center"/>
          </w:tcPr>
          <w:p>
            <w:pPr>
              <w:keepNext/>
              <w:spacing w:after="0"/>
              <w:jc w:val="center"/>
            </w:pPr>
            <w:r>
              <w:rPr>
                <w:rFonts w:ascii="Calibri" w:hAnsi="Calibri"/>
                <w:b/>
                <w:i w:val="0"/>
                <w:color w:val="222222"/>
                <w:sz w:val="20"/>
              </w:rPr>
              <w:t>1</w:t>
            </w:r>
          </w:p>
        </w:tc>
        <w:tc>
          <w:tcPr>
            <w:tcW w:type="dxa" w:w="1729"/>
            <w:shd w:val="clear" w:color="auto" w:fill="FFFFFF"/>
            <w:vAlign w:val="center"/>
          </w:tcPr>
          <w:p>
            <w:pPr>
              <w:keepNext/>
              <w:spacing w:after="0"/>
              <w:jc w:val="center"/>
            </w:pPr>
            <w:r>
              <w:rPr>
                <w:rFonts w:ascii="Calibri" w:hAnsi="Calibri"/>
                <w:b w:val="0"/>
                <w:i w:val="0"/>
                <w:color w:val="222222"/>
                <w:sz w:val="20"/>
              </w:rPr>
              <w:t>2026-10-10</w:t>
            </w:r>
          </w:p>
        </w:tc>
        <w:tc>
          <w:tcPr>
            <w:tcW w:type="dxa" w:w="2562"/>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459"/>
            <w:shd w:val="clear" w:color="auto" w:fill="FFFFFF"/>
            <w:vAlign w:val="center"/>
          </w:tcPr>
          <w:p>
            <w:pPr>
              <w:keepNext/>
              <w:spacing w:after="0"/>
            </w:pPr>
            <w:r>
              <w:rPr>
                <w:rFonts w:ascii="Calibri" w:hAnsi="Calibri"/>
                <w:b w:val="0"/>
                <w:i w:val="0"/>
                <w:color w:val="222222"/>
                <w:sz w:val="20"/>
              </w:rPr>
              <w:t>none (no number or claim changed)</w:t>
            </w:r>
          </w:p>
        </w:tc>
        <w:tc>
          <w:tcPr>
            <w:tcW w:type="dxa" w:w="1426"/>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319"/>
            <w:shd w:val="clear" w:color="auto" w:fill="F7F9FB"/>
            <w:vAlign w:val="center"/>
          </w:tcPr>
          <w:p>
            <w:pPr>
              <w:keepNext/>
              <w:spacing w:after="0"/>
              <w:jc w:val="center"/>
            </w:pPr>
            <w:r>
              <w:rPr>
                <w:rFonts w:ascii="Calibri" w:hAnsi="Calibri"/>
                <w:b/>
                <w:i w:val="0"/>
                <w:color w:val="222222"/>
                <w:sz w:val="20"/>
              </w:rPr>
              <w:t>2</w:t>
            </w:r>
          </w:p>
        </w:tc>
        <w:tc>
          <w:tcPr>
            <w:tcW w:type="dxa" w:w="1729"/>
            <w:shd w:val="clear" w:color="auto" w:fill="F7F9FB"/>
            <w:vAlign w:val="center"/>
          </w:tcPr>
          <w:p>
            <w:pPr>
              <w:keepNext/>
              <w:spacing w:after="0"/>
              <w:jc w:val="center"/>
            </w:pPr>
            <w:r>
              <w:rPr>
                <w:rFonts w:ascii="Calibri" w:hAnsi="Calibri"/>
                <w:b w:val="0"/>
                <w:i w:val="0"/>
                <w:color w:val="222222"/>
                <w:sz w:val="20"/>
              </w:rPr>
              <w:t>2026-10-11</w:t>
            </w:r>
          </w:p>
        </w:tc>
        <w:tc>
          <w:tcPr>
            <w:tcW w:type="dxa" w:w="2562"/>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459"/>
            <w:shd w:val="clear" w:color="auto" w:fill="F7F9FB"/>
            <w:vAlign w:val="center"/>
          </w:tcPr>
          <w:p>
            <w:pPr>
              <w:keepNext/>
              <w:spacing w:after="0"/>
            </w:pPr>
            <w:r>
              <w:rPr>
                <w:rFonts w:ascii="Calibri" w:hAnsi="Calibri"/>
                <w:b w:val="0"/>
                <w:i w:val="0"/>
                <w:color w:val="222222"/>
                <w:sz w:val="20"/>
              </w:rPr>
              <w:t>the dose conclusion reverses</w:t>
            </w:r>
          </w:p>
        </w:tc>
        <w:tc>
          <w:tcPr>
            <w:tcW w:type="dxa" w:w="1426"/>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319"/>
            <w:shd w:val="clear" w:color="auto" w:fill="FFFFFF"/>
            <w:vAlign w:val="center"/>
          </w:tcPr>
          <w:p>
            <w:pPr>
              <w:keepNext/>
              <w:spacing w:after="0"/>
              <w:jc w:val="center"/>
            </w:pPr>
            <w:r>
              <w:rPr>
                <w:rFonts w:ascii="Calibri" w:hAnsi="Calibri"/>
                <w:b/>
                <w:i w:val="0"/>
                <w:color w:val="222222"/>
                <w:sz w:val="20"/>
              </w:rPr>
              <w:t>3</w:t>
            </w:r>
          </w:p>
        </w:tc>
        <w:tc>
          <w:tcPr>
            <w:tcW w:type="dxa" w:w="1729"/>
            <w:shd w:val="clear" w:color="auto" w:fill="FFFFFF"/>
            <w:vAlign w:val="center"/>
          </w:tcPr>
          <w:p>
            <w:pPr>
              <w:keepNext/>
              <w:spacing w:after="0"/>
              <w:jc w:val="center"/>
            </w:pPr>
            <w:r>
              <w:rPr>
                <w:rFonts w:ascii="Calibri" w:hAnsi="Calibri"/>
                <w:b w:val="0"/>
                <w:i w:val="0"/>
                <w:color w:val="222222"/>
                <w:sz w:val="20"/>
              </w:rPr>
              <w:t>2026-10-22</w:t>
            </w:r>
          </w:p>
        </w:tc>
        <w:tc>
          <w:tcPr>
            <w:tcW w:type="dxa" w:w="2562"/>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459"/>
            <w:shd w:val="clear" w:color="auto" w:fill="FFFFFF"/>
            <w:vAlign w:val="center"/>
          </w:tcPr>
          <w:p>
            <w:pPr>
              <w:keepNext/>
              <w:spacing w:after="0"/>
            </w:pPr>
            <w:r>
              <w:rPr>
                <w:rFonts w:ascii="Calibri" w:hAnsi="Calibri"/>
                <w:b w:val="0"/>
                <w:i w:val="0"/>
                <w:color w:val="222222"/>
                <w:sz w:val="20"/>
              </w:rPr>
              <w:t>none; access only</w:t>
            </w:r>
          </w:p>
        </w:tc>
        <w:tc>
          <w:tcPr>
            <w:tcW w:type="dxa" w:w="1426"/>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319"/>
            <w:shd w:val="clear" w:color="auto" w:fill="F7F9FB"/>
            <w:vAlign w:val="center"/>
          </w:tcPr>
          <w:p>
            <w:pPr>
              <w:keepNext/>
              <w:spacing w:after="0"/>
              <w:jc w:val="center"/>
            </w:pPr>
            <w:r>
              <w:rPr>
                <w:rFonts w:ascii="Calibri" w:hAnsi="Calibri"/>
                <w:b/>
                <w:i w:val="0"/>
                <w:color w:val="222222"/>
                <w:sz w:val="20"/>
              </w:rPr>
              <w:t>4</w:t>
            </w:r>
          </w:p>
        </w:tc>
        <w:tc>
          <w:tcPr>
            <w:tcW w:type="dxa" w:w="1729"/>
            <w:shd w:val="clear" w:color="auto" w:fill="F7F9FB"/>
            <w:vAlign w:val="center"/>
          </w:tcPr>
          <w:p>
            <w:pPr>
              <w:keepNext/>
              <w:spacing w:after="0"/>
              <w:jc w:val="center"/>
            </w:pPr>
            <w:r>
              <w:rPr>
                <w:rFonts w:ascii="Calibri" w:hAnsi="Calibri"/>
                <w:b w:val="0"/>
                <w:i w:val="0"/>
                <w:color w:val="222222"/>
                <w:sz w:val="20"/>
              </w:rPr>
              <w:t>2026-10-22/23</w:t>
            </w:r>
          </w:p>
        </w:tc>
        <w:tc>
          <w:tcPr>
            <w:tcW w:type="dxa" w:w="2562"/>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459"/>
            <w:shd w:val="clear" w:color="auto" w:fill="F7F9FB"/>
            <w:vAlign w:val="center"/>
          </w:tcPr>
          <w:p>
            <w:pPr>
              <w:keepNext/>
              <w:spacing w:after="0"/>
            </w:pPr>
            <w:r>
              <w:rPr>
                <w:rFonts w:ascii="Calibri" w:hAnsi="Calibri"/>
                <w:b w:val="0"/>
                <w:i w:val="0"/>
                <w:color w:val="222222"/>
                <w:sz w:val="20"/>
              </w:rPr>
              <w:t>new results, pre-registered</w:t>
            </w:r>
          </w:p>
        </w:tc>
        <w:tc>
          <w:tcPr>
            <w:tcW w:type="dxa" w:w="1426"/>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319"/>
            <w:shd w:val="clear" w:color="auto" w:fill="FFFFFF"/>
            <w:vAlign w:val="center"/>
          </w:tcPr>
          <w:p>
            <w:pPr>
              <w:keepNext/>
              <w:spacing w:after="0"/>
              <w:jc w:val="center"/>
            </w:pPr>
            <w:r>
              <w:rPr>
                <w:rFonts w:ascii="Calibri" w:hAnsi="Calibri"/>
                <w:b/>
                <w:i w:val="0"/>
                <w:color w:val="222222"/>
                <w:sz w:val="20"/>
              </w:rPr>
              <w:t>5</w:t>
            </w:r>
          </w:p>
        </w:tc>
        <w:tc>
          <w:tcPr>
            <w:tcW w:type="dxa" w:w="1729"/>
            <w:shd w:val="clear" w:color="auto" w:fill="FFFFFF"/>
            <w:vAlign w:val="center"/>
          </w:tcPr>
          <w:p>
            <w:pPr>
              <w:keepNext/>
              <w:spacing w:after="0"/>
              <w:jc w:val="center"/>
            </w:pPr>
            <w:r>
              <w:rPr>
                <w:rFonts w:ascii="Calibri" w:hAnsi="Calibri"/>
                <w:b w:val="0"/>
                <w:i w:val="0"/>
                <w:color w:val="222222"/>
                <w:sz w:val="20"/>
              </w:rPr>
              <w:t>2026-10-24</w:t>
            </w:r>
          </w:p>
        </w:tc>
        <w:tc>
          <w:tcPr>
            <w:tcW w:type="dxa" w:w="2562"/>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459"/>
            <w:shd w:val="clear" w:color="auto" w:fill="FFFFFF"/>
            <w:vAlign w:val="center"/>
          </w:tcPr>
          <w:p>
            <w:pPr>
              <w:keepNext/>
              <w:spacing w:after="0"/>
            </w:pPr>
            <w:r>
              <w:rPr>
                <w:rFonts w:ascii="Calibri" w:hAnsi="Calibri"/>
                <w:b w:val="0"/>
                <w:i w:val="0"/>
                <w:color w:val="222222"/>
                <w:sz w:val="20"/>
              </w:rPr>
              <w:t>none; structure only</w:t>
            </w:r>
          </w:p>
        </w:tc>
        <w:tc>
          <w:tcPr>
            <w:tcW w:type="dxa" w:w="1426"/>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319"/>
            <w:shd w:val="clear" w:color="auto" w:fill="F7F9FB"/>
            <w:vAlign w:val="center"/>
          </w:tcPr>
          <w:p>
            <w:pPr>
              <w:keepNext/>
              <w:spacing w:after="0"/>
              <w:jc w:val="center"/>
            </w:pPr>
            <w:r>
              <w:rPr>
                <w:rFonts w:ascii="Calibri" w:hAnsi="Calibri"/>
                <w:b/>
                <w:i w:val="0"/>
                <w:color w:val="222222"/>
                <w:sz w:val="20"/>
              </w:rPr>
              <w:t>6</w:t>
            </w:r>
          </w:p>
        </w:tc>
        <w:tc>
          <w:tcPr>
            <w:tcW w:type="dxa" w:w="1729"/>
            <w:shd w:val="clear" w:color="auto" w:fill="F7F9FB"/>
            <w:vAlign w:val="center"/>
          </w:tcPr>
          <w:p>
            <w:pPr>
              <w:keepNext/>
              <w:spacing w:after="0"/>
              <w:jc w:val="center"/>
            </w:pPr>
            <w:r>
              <w:rPr>
                <w:rFonts w:ascii="Calibri" w:hAnsi="Calibri"/>
                <w:b w:val="0"/>
                <w:i w:val="0"/>
                <w:color w:val="222222"/>
                <w:sz w:val="20"/>
              </w:rPr>
              <w:t>2026-10-24</w:t>
            </w:r>
          </w:p>
        </w:tc>
        <w:tc>
          <w:tcPr>
            <w:tcW w:type="dxa" w:w="2562"/>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459"/>
            <w:shd w:val="clear" w:color="auto" w:fill="F7F9FB"/>
            <w:vAlign w:val="center"/>
          </w:tcPr>
          <w:p>
            <w:pPr>
              <w:keepNext/>
              <w:spacing w:after="0"/>
            </w:pPr>
            <w:r>
              <w:rPr>
                <w:rFonts w:ascii="Calibri" w:hAnsi="Calibri"/>
                <w:b w:val="0"/>
                <w:i w:val="0"/>
                <w:color w:val="222222"/>
                <w:sz w:val="20"/>
              </w:rPr>
              <w:t>new comparison (descriptive)</w:t>
            </w:r>
          </w:p>
        </w:tc>
        <w:tc>
          <w:tcPr>
            <w:tcW w:type="dxa" w:w="1426"/>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319"/>
            <w:shd w:val="clear" w:color="auto" w:fill="FFFFFF"/>
            <w:vAlign w:val="center"/>
          </w:tcPr>
          <w:p>
            <w:pPr>
              <w:keepNext/>
              <w:spacing w:after="0"/>
              <w:jc w:val="center"/>
            </w:pPr>
            <w:r>
              <w:rPr>
                <w:rFonts w:ascii="Calibri" w:hAnsi="Calibri"/>
                <w:b/>
                <w:i w:val="0"/>
                <w:color w:val="222222"/>
                <w:sz w:val="20"/>
              </w:rPr>
              <w:t>7</w:t>
            </w:r>
          </w:p>
        </w:tc>
        <w:tc>
          <w:tcPr>
            <w:tcW w:type="dxa" w:w="1729"/>
            <w:shd w:val="clear" w:color="auto" w:fill="FFFFFF"/>
            <w:vAlign w:val="center"/>
          </w:tcPr>
          <w:p>
            <w:pPr>
              <w:keepNext/>
              <w:spacing w:after="0"/>
              <w:jc w:val="center"/>
            </w:pPr>
            <w:r>
              <w:rPr>
                <w:rFonts w:ascii="Calibri" w:hAnsi="Calibri"/>
                <w:b w:val="0"/>
                <w:i w:val="0"/>
                <w:color w:val="222222"/>
                <w:sz w:val="20"/>
              </w:rPr>
              <w:t>2026-10-24</w:t>
            </w:r>
          </w:p>
        </w:tc>
        <w:tc>
          <w:tcPr>
            <w:tcW w:type="dxa" w:w="2562"/>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459"/>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426"/>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319"/>
            <w:shd w:val="clear" w:color="auto" w:fill="F7F9FB"/>
            <w:vAlign w:val="center"/>
          </w:tcPr>
          <w:p>
            <w:pPr>
              <w:keepNext/>
              <w:spacing w:after="0"/>
              <w:jc w:val="center"/>
            </w:pPr>
            <w:r>
              <w:rPr>
                <w:rFonts w:ascii="Calibri" w:hAnsi="Calibri"/>
                <w:b/>
                <w:i w:val="0"/>
                <w:color w:val="222222"/>
                <w:sz w:val="20"/>
              </w:rPr>
              <w:t>8</w:t>
            </w:r>
          </w:p>
        </w:tc>
        <w:tc>
          <w:tcPr>
            <w:tcW w:type="dxa" w:w="1729"/>
            <w:shd w:val="clear" w:color="auto" w:fill="F7F9FB"/>
            <w:vAlign w:val="center"/>
          </w:tcPr>
          <w:p>
            <w:pPr>
              <w:keepNext/>
              <w:spacing w:after="0"/>
              <w:jc w:val="center"/>
            </w:pPr>
            <w:r>
              <w:rPr>
                <w:rFonts w:ascii="Calibri" w:hAnsi="Calibri"/>
                <w:b w:val="0"/>
                <w:i w:val="0"/>
                <w:color w:val="222222"/>
                <w:sz w:val="20"/>
              </w:rPr>
              <w:t>2026-10-24</w:t>
            </w:r>
          </w:p>
        </w:tc>
        <w:tc>
          <w:tcPr>
            <w:tcW w:type="dxa" w:w="2562"/>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459"/>
            <w:shd w:val="clear" w:color="auto" w:fill="F7F9FB"/>
            <w:vAlign w:val="center"/>
          </w:tcPr>
          <w:p>
            <w:pPr>
              <w:keepNext/>
              <w:spacing w:after="0"/>
            </w:pPr>
            <w:r>
              <w:rPr>
                <w:rFonts w:ascii="Calibri" w:hAnsi="Calibri"/>
                <w:b w:val="0"/>
                <w:i w:val="0"/>
                <w:color w:val="222222"/>
                <w:sz w:val="20"/>
              </w:rPr>
              <w:t>1 of 3 registered predictions pass</w:t>
            </w:r>
          </w:p>
        </w:tc>
        <w:tc>
          <w:tcPr>
            <w:tcW w:type="dxa" w:w="1426"/>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319"/>
            <w:shd w:val="clear" w:color="auto" w:fill="FFFFFF"/>
            <w:vAlign w:val="center"/>
          </w:tcPr>
          <w:p>
            <w:pPr>
              <w:keepNext w:val="0"/>
              <w:spacing w:after="0"/>
              <w:jc w:val="center"/>
            </w:pPr>
            <w:r>
              <w:rPr>
                <w:rFonts w:ascii="Calibri" w:hAnsi="Calibri"/>
                <w:b/>
                <w:i w:val="0"/>
                <w:color w:val="222222"/>
                <w:sz w:val="20"/>
              </w:rPr>
              <w:t>9</w:t>
            </w:r>
          </w:p>
        </w:tc>
        <w:tc>
          <w:tcPr>
            <w:tcW w:type="dxa" w:w="1729"/>
            <w:shd w:val="clear" w:color="auto" w:fill="FFFFFF"/>
            <w:vAlign w:val="center"/>
          </w:tcPr>
          <w:p>
            <w:pPr>
              <w:keepNext w:val="0"/>
              <w:spacing w:after="0"/>
              <w:jc w:val="center"/>
            </w:pPr>
            <w:r>
              <w:rPr>
                <w:rFonts w:ascii="Calibri" w:hAnsi="Calibri"/>
                <w:b w:val="0"/>
                <w:i w:val="0"/>
                <w:color w:val="222222"/>
                <w:sz w:val="20"/>
              </w:rPr>
              <w:t>2026-10-24</w:t>
            </w:r>
          </w:p>
        </w:tc>
        <w:tc>
          <w:tcPr>
            <w:tcW w:type="dxa" w:w="2562"/>
            <w:shd w:val="clear" w:color="auto" w:fill="FFFFFF"/>
            <w:vAlign w:val="center"/>
          </w:tcPr>
          <w:p>
            <w:pPr>
              <w:keepNext w:val="0"/>
              <w:spacing w:after="0"/>
            </w:pPr>
            <w:r>
              <w:rPr>
                <w:rFonts w:ascii="Calibri" w:hAnsi="Calibri"/>
                <w:b w:val="0"/>
                <w:i w:val="0"/>
                <w:color w:val="222222"/>
                <w:sz w:val="20"/>
              </w:rPr>
              <w:t>Electrodes on the fly brain's output tract against a planar array</w:t>
            </w:r>
          </w:p>
        </w:tc>
        <w:tc>
          <w:tcPr>
            <w:tcW w:type="dxa" w:w="2459"/>
            <w:shd w:val="clear" w:color="auto" w:fill="FFFFFF"/>
            <w:vAlign w:val="center"/>
          </w:tcPr>
          <w:p>
            <w:pPr>
              <w:keepNext w:val="0"/>
              <w:spacing w:after="0"/>
            </w:pPr>
            <w:r>
              <w:rPr>
                <w:rFonts w:ascii="Calibri" w:hAnsi="Calibri"/>
                <w:b w:val="0"/>
                <w:i w:val="0"/>
                <w:color w:val="222222"/>
                <w:sz w:val="20"/>
              </w:rPr>
              <w:t>4 of 4 registered predictions pass</w:t>
            </w:r>
          </w:p>
        </w:tc>
        <w:tc>
          <w:tcPr>
            <w:tcW w:type="dxa" w:w="1426"/>
            <w:shd w:val="clear" w:color="auto" w:fill="FFFFFF"/>
            <w:vAlign w:val="center"/>
          </w:tcPr>
          <w:p>
            <w:pPr>
              <w:keepNext w:val="0"/>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diagnosis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842"/>
        <w:gridCol w:w="3019"/>
        <w:gridCol w:w="1635"/>
      </w:tblGrid>
      <w:tr>
        <w:trPr>
          <w:cantSplit/>
          <w:tblHeader/>
        </w:trPr>
        <w:tc>
          <w:tcPr>
            <w:tcW w:type="dxa" w:w="3842"/>
            <w:shd w:val="clear" w:color="auto" w:fill="1F4E79"/>
            <w:vAlign w:val="center"/>
          </w:tcPr>
          <w:p>
            <w:pPr>
              <w:keepNext/>
              <w:spacing w:after="0"/>
            </w:pPr>
            <w:r>
              <w:rPr>
                <w:rFonts w:ascii="Calibri" w:hAnsi="Calibri"/>
                <w:b/>
                <w:i w:val="0"/>
                <w:color w:val="FFFFFF"/>
                <w:sz w:val="20"/>
              </w:rPr>
              <w:t>Item</w:t>
            </w:r>
          </w:p>
        </w:tc>
        <w:tc>
          <w:tcPr>
            <w:tcW w:type="dxa" w:w="3019"/>
            <w:shd w:val="clear" w:color="auto" w:fill="1F4E79"/>
            <w:vAlign w:val="center"/>
          </w:tcPr>
          <w:p>
            <w:pPr>
              <w:keepNext/>
              <w:spacing w:after="0"/>
            </w:pPr>
            <w:r>
              <w:rPr>
                <w:rFonts w:ascii="Calibri" w:hAnsi="Calibri"/>
                <w:b/>
                <w:i w:val="0"/>
                <w:color w:val="FFFFFF"/>
                <w:sz w:val="20"/>
              </w:rPr>
              <w:t>Status</w:t>
            </w:r>
          </w:p>
        </w:tc>
        <w:tc>
          <w:tcPr>
            <w:tcW w:type="dxa" w:w="1635"/>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3842"/>
            <w:shd w:val="clear" w:color="auto" w:fill="FFFFFF"/>
            <w:vAlign w:val="center"/>
          </w:tcPr>
          <w:p>
            <w:pPr>
              <w:keepNext/>
              <w:spacing w:after="0"/>
            </w:pPr>
            <w:r>
              <w:rPr>
                <w:rFonts w:ascii="Calibri" w:hAnsi="Calibri"/>
                <w:b/>
                <w:i w:val="0"/>
                <w:color w:val="222222"/>
                <w:sz w:val="20"/>
              </w:rPr>
              <w:t>Synaptic depression under GABA-A block</w:t>
            </w:r>
          </w:p>
        </w:tc>
        <w:tc>
          <w:tcPr>
            <w:tcW w:type="dxa" w:w="3019"/>
            <w:shd w:val="clear" w:color="auto" w:fill="FFFFFF"/>
            <w:vAlign w:val="center"/>
          </w:tcPr>
          <w:p>
            <w:pPr>
              <w:keepNext/>
              <w:spacing w:after="0"/>
            </w:pPr>
            <w:r>
              <w:rPr>
                <w:rFonts w:ascii="Calibri" w:hAnsi="Calibri"/>
                <w:b w:val="0"/>
                <w:i w:val="0"/>
                <w:color w:val="222222"/>
                <w:sz w:val="20"/>
              </w:rPr>
              <w:t>done, entry 7 (failed as registered)</w:t>
            </w:r>
          </w:p>
        </w:tc>
        <w:tc>
          <w:tcPr>
            <w:tcW w:type="dxa" w:w="1635"/>
            <w:shd w:val="clear" w:color="auto" w:fill="FFFFFF"/>
            <w:vAlign w:val="center"/>
          </w:tcPr>
          <w:p>
            <w:pPr>
              <w:keepNext/>
              <w:spacing w:after="0"/>
            </w:pPr>
            <w:r>
              <w:rPr>
                <w:rFonts w:ascii="Calibri" w:hAnsi="Calibri"/>
                <w:b w:val="0"/>
                <w:i w:val="0"/>
                <w:color w:val="222222"/>
                <w:sz w:val="20"/>
              </w:rPr>
              <w:t>yes</w:t>
            </w:r>
          </w:p>
        </w:tc>
      </w:tr>
      <w:tr>
        <w:trPr>
          <w:cantSplit/>
        </w:trPr>
        <w:tc>
          <w:tcPr>
            <w:tcW w:type="dxa" w:w="3842"/>
            <w:shd w:val="clear" w:color="auto" w:fill="F7F9FB"/>
            <w:vAlign w:val="center"/>
          </w:tcPr>
          <w:p>
            <w:pPr>
              <w:keepNext/>
              <w:spacing w:after="0"/>
            </w:pPr>
            <w:r>
              <w:rPr>
                <w:rFonts w:ascii="Calibri" w:hAnsi="Calibri"/>
                <w:b/>
                <w:i w:val="0"/>
                <w:color w:val="222222"/>
                <w:sz w:val="20"/>
              </w:rPr>
              <w:t>ToxCast potency bridge</w:t>
            </w:r>
          </w:p>
        </w:tc>
        <w:tc>
          <w:tcPr>
            <w:tcW w:type="dxa" w:w="3019"/>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635"/>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3842"/>
            <w:shd w:val="clear" w:color="auto" w:fill="FFFFFF"/>
            <w:vAlign w:val="center"/>
          </w:tcPr>
          <w:p>
            <w:pPr>
              <w:keepNext/>
              <w:spacing w:after="0"/>
            </w:pPr>
            <w:r>
              <w:rPr>
                <w:rFonts w:ascii="Calibri" w:hAnsi="Calibri"/>
                <w:b/>
                <w:i w:val="0"/>
                <w:color w:val="222222"/>
                <w:sz w:val="20"/>
              </w:rPr>
              <w:t>Output-tract electrode</w:t>
            </w:r>
          </w:p>
        </w:tc>
        <w:tc>
          <w:tcPr>
            <w:tcW w:type="dxa" w:w="3019"/>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635"/>
            <w:shd w:val="clear" w:color="auto" w:fill="FFFFFF"/>
            <w:vAlign w:val="center"/>
          </w:tcPr>
          <w:p>
            <w:pPr>
              <w:keepNext/>
              <w:spacing w:after="0"/>
            </w:pPr>
            <w:r>
              <w:rPr>
                <w:rFonts w:ascii="Calibri" w:hAnsi="Calibri"/>
                <w:b w:val="0"/>
                <w:i w:val="0"/>
                <w:color w:val="222222"/>
                <w:sz w:val="20"/>
              </w:rPr>
              <w:t>yes</w:t>
            </w:r>
          </w:p>
        </w:tc>
      </w:tr>
      <w:tr>
        <w:trPr>
          <w:cantSplit/>
        </w:trPr>
        <w:tc>
          <w:tcPr>
            <w:tcW w:type="dxa" w:w="3842"/>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3019"/>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635"/>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3842"/>
            <w:shd w:val="clear" w:color="auto" w:fill="FFFFFF"/>
            <w:vAlign w:val="center"/>
          </w:tcPr>
          <w:p>
            <w:pPr>
              <w:keepNext/>
              <w:spacing w:after="0"/>
            </w:pPr>
            <w:r>
              <w:rPr>
                <w:rFonts w:ascii="Calibri" w:hAnsi="Calibri"/>
                <w:b/>
                <w:i w:val="0"/>
                <w:color w:val="222222"/>
                <w:sz w:val="20"/>
              </w:rPr>
              <w:t>Twin posteriors as classifier features</w:t>
            </w:r>
          </w:p>
        </w:tc>
        <w:tc>
          <w:tcPr>
            <w:tcW w:type="dxa" w:w="3019"/>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635"/>
            <w:shd w:val="clear" w:color="auto" w:fill="FFFFFF"/>
            <w:vAlign w:val="center"/>
          </w:tcPr>
          <w:p>
            <w:pPr>
              <w:keepNext/>
              <w:spacing w:after="0"/>
            </w:pPr>
            <w:r>
              <w:rPr>
                <w:rFonts w:ascii="Calibri" w:hAnsi="Calibri"/>
                <w:b w:val="0"/>
                <w:i w:val="0"/>
                <w:color w:val="222222"/>
                <w:sz w:val="20"/>
              </w:rPr>
              <w:t>yes</w:t>
            </w:r>
          </w:p>
        </w:tc>
      </w:tr>
      <w:tr>
        <w:trPr>
          <w:cantSplit/>
        </w:trPr>
        <w:tc>
          <w:tcPr>
            <w:tcW w:type="dxa" w:w="3842"/>
            <w:shd w:val="clear" w:color="auto" w:fill="F7F9FB"/>
            <w:vAlign w:val="center"/>
          </w:tcPr>
          <w:p>
            <w:pPr>
              <w:keepNext w:val="0"/>
              <w:spacing w:after="0"/>
            </w:pPr>
            <w:r>
              <w:rPr>
                <w:rFonts w:ascii="Calibri" w:hAnsi="Calibri"/>
                <w:b/>
                <w:i w:val="0"/>
                <w:color w:val="222222"/>
                <w:sz w:val="20"/>
              </w:rPr>
              <w:t>Random-graph-to-connectome blend for organoids; embodied fly</w:t>
            </w:r>
          </w:p>
        </w:tc>
        <w:tc>
          <w:tcPr>
            <w:tcW w:type="dxa" w:w="3019"/>
            <w:shd w:val="clear" w:color="auto" w:fill="F7F9FB"/>
            <w:vAlign w:val="center"/>
          </w:tcPr>
          <w:p>
            <w:pPr>
              <w:keepNext w:val="0"/>
              <w:spacing w:after="0"/>
            </w:pPr>
            <w:r>
              <w:rPr>
                <w:rFonts w:ascii="Calibri" w:hAnsi="Calibri"/>
                <w:b w:val="0"/>
                <w:i w:val="0"/>
                <w:color w:val="222222"/>
                <w:sz w:val="20"/>
              </w:rPr>
              <w:t>dropped</w:t>
            </w:r>
          </w:p>
        </w:tc>
        <w:tc>
          <w:tcPr>
            <w:tcW w:type="dxa" w:w="1635"/>
            <w:shd w:val="clear" w:color="auto" w:fill="F7F9FB"/>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last two were dropped: grafting fly wiring onto a model of a mammalian cortical culture has no biological basis, and organoid–monolayer differences have many confounds, so a match would prove nothing; an embodied (physics-simulated) fly is weeks of work for a question the behaviour neurons already answer.</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