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43 studies made 223 registered predictions, of which 99 passed, 85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42 registrations, 38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3" name="Picture 23"/>
            <wp:cNvGraphicFramePr>
              <a:graphicFrameLocks noChangeAspect="1"/>
            </wp:cNvGraphicFramePr>
            <a:graphic>
              <a:graphicData uri="http://schemas.openxmlformats.org/drawingml/2006/picture">
                <pic:pic>
                  <pic:nvPicPr>
                    <pic:cNvPr id="0" name="twin_toxcast_dose_response.png"/>
                    <pic:cNvPicPr/>
                  </pic:nvPicPr>
                  <pic:blipFill>
                    <a:blip r:embed="rId35"/>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4" name="Picture 24"/>
            <wp:cNvGraphicFramePr>
              <a:graphicFrameLocks noChangeAspect="1"/>
            </wp:cNvGraphicFramePr>
            <a:graphic>
              <a:graphicData uri="http://schemas.openxmlformats.org/drawingml/2006/picture">
                <pic:pic>
                  <pic:nvPicPr>
                    <pic:cNvPr id="0" name="hd14_posterior_ranks_simulated.png"/>
                    <pic:cNvPicPr/>
                  </pic:nvPicPr>
                  <pic:blipFill>
                    <a:blip r:embed="rId3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5" name="Picture 25"/>
            <wp:cNvGraphicFramePr>
              <a:graphicFrameLocks noChangeAspect="1"/>
            </wp:cNvGraphicFramePr>
            <a:graphic>
              <a:graphicData uri="http://schemas.openxmlformats.org/drawingml/2006/picture">
                <pic:pic>
                  <pic:nvPicPr>
                    <pic:cNvPr id="0" name="hd14b_recalibration_simulated.png"/>
                    <pic:cNvPicPr/>
                  </pic:nvPicPr>
                  <pic:blipFill>
                    <a:blip r:embed="rId37"/>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6" name="Picture 26"/>
            <wp:cNvGraphicFramePr>
              <a:graphicFrameLocks noChangeAspect="1"/>
            </wp:cNvGraphicFramePr>
            <a:graphic>
              <a:graphicData uri="http://schemas.openxmlformats.org/drawingml/2006/picture">
                <pic:pic>
                  <pic:nvPicPr>
                    <pic:cNvPr id="0" name="microchannel_asymmetry_real.png"/>
                    <pic:cNvPicPr/>
                  </pic:nvPicPr>
                  <pic:blipFill>
                    <a:blip r:embed="rId38"/>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