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90"/>
        <w:gridCol w:w="6706"/>
      </w:tblGrid>
      <w:tr>
        <w:trPr>
          <w:cantSplit/>
        </w:trPr>
        <w:tc>
          <w:tcPr>
            <w:tcW w:type="dxa" w:w="1790"/>
            <w:shd w:val="clear" w:color="auto" w:fill="FFFFFF"/>
            <w:vAlign w:val="center"/>
          </w:tcPr>
          <w:p>
            <w:pPr>
              <w:keepNext/>
              <w:spacing w:after="0"/>
            </w:pPr>
            <w:r>
              <w:rPr>
                <w:rFonts w:ascii="Calibri" w:hAnsi="Calibri"/>
                <w:b/>
                <w:i w:val="0"/>
                <w:color w:val="222222"/>
                <w:sz w:val="20"/>
              </w:rPr>
              <w:t>Code and demo</w:t>
            </w:r>
          </w:p>
        </w:tc>
        <w:tc>
          <w:tcPr>
            <w:tcW w:type="dxa" w:w="6706"/>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790"/>
            <w:shd w:val="clear" w:color="auto" w:fill="F7F9FB"/>
            <w:vAlign w:val="center"/>
          </w:tcPr>
          <w:p>
            <w:pPr>
              <w:keepNext/>
              <w:spacing w:after="0"/>
            </w:pPr>
            <w:r>
              <w:rPr>
                <w:rFonts w:ascii="Calibri" w:hAnsi="Calibri"/>
                <w:b/>
                <w:i w:val="0"/>
                <w:color w:val="222222"/>
                <w:sz w:val="20"/>
              </w:rPr>
              <w:t>Video</w:t>
            </w:r>
          </w:p>
        </w:tc>
        <w:tc>
          <w:tcPr>
            <w:tcW w:type="dxa" w:w="6706"/>
            <w:shd w:val="clear" w:color="auto" w:fill="F7F9FB"/>
            <w:vAlign w:val="center"/>
          </w:tcPr>
          <w:p>
            <w:pPr>
              <w:keepNext/>
              <w:spacing w:after="0"/>
            </w:pPr>
            <w:r>
              <w:rPr>
                <w:rFonts w:ascii="Calibri" w:hAnsi="Calibri"/>
                <w:b w:val="0"/>
                <w:i w:val="0"/>
                <w:color w:val="222222"/>
                <w:sz w:val="20"/>
              </w:rPr>
              <w:t>https://www.youtube.com/watch?v=WnnD-oSFdcI, a walkthrough of the project and the demo</w:t>
            </w:r>
          </w:p>
        </w:tc>
      </w:tr>
      <w:tr>
        <w:trPr>
          <w:cantSplit/>
        </w:trPr>
        <w:tc>
          <w:tcPr>
            <w:tcW w:type="dxa" w:w="1790"/>
            <w:shd w:val="clear" w:color="auto" w:fill="FFFFFF"/>
            <w:vAlign w:val="center"/>
          </w:tcPr>
          <w:p>
            <w:pPr>
              <w:keepNext/>
              <w:spacing w:after="0"/>
            </w:pPr>
            <w:r>
              <w:rPr>
                <w:rFonts w:ascii="Calibri" w:hAnsi="Calibri"/>
                <w:b/>
                <w:i w:val="0"/>
                <w:color w:val="222222"/>
                <w:sz w:val="20"/>
              </w:rPr>
              <w:t>Verification harness</w:t>
            </w:r>
          </w:p>
        </w:tc>
        <w:tc>
          <w:tcPr>
            <w:tcW w:type="dxa" w:w="6706"/>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790"/>
            <w:shd w:val="clear" w:color="auto" w:fill="F7F9FB"/>
            <w:vAlign w:val="center"/>
          </w:tcPr>
          <w:p>
            <w:pPr>
              <w:keepNext/>
              <w:spacing w:after="0"/>
            </w:pPr>
            <w:r>
              <w:rPr>
                <w:rFonts w:ascii="Calibri" w:hAnsi="Calibri"/>
                <w:b/>
                <w:i w:val="0"/>
                <w:color w:val="222222"/>
                <w:sz w:val="20"/>
              </w:rPr>
              <w:t>Audit discipline</w:t>
            </w:r>
          </w:p>
        </w:tc>
        <w:tc>
          <w:tcPr>
            <w:tcW w:type="dxa" w:w="6706"/>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790"/>
            <w:shd w:val="clear" w:color="auto" w:fill="FFFFFF"/>
            <w:vAlign w:val="center"/>
          </w:tcPr>
          <w:p>
            <w:pPr>
              <w:keepNext w:val="0"/>
              <w:spacing w:after="0"/>
            </w:pPr>
            <w:r>
              <w:rPr>
                <w:rFonts w:ascii="Calibri" w:hAnsi="Calibri"/>
                <w:b/>
                <w:i w:val="0"/>
                <w:color w:val="222222"/>
                <w:sz w:val="20"/>
              </w:rPr>
              <w:t>Regulatory position</w:t>
            </w:r>
          </w:p>
        </w:tc>
        <w:tc>
          <w:tcPr>
            <w:tcW w:type="dxa" w:w="6706"/>
            <w:shd w:val="clear" w:color="auto" w:fill="FFFFFF"/>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 and after the first round we added a fifth.</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When we ran the depositors' own meaRtools pipeline on the same recordings, it disagreed with ours by more than a factor of two on burst rate (§3) — exactly the kind of divergence the asset exists to remove.</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"axon diode".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Nine of our findings set firm boundaries, and §18 pairs each with what we would do instead. For example, chamber-level readouts cannot tell which way axons are firing without electrodes inside the microchannels (0.3854 against 0.5 chance), and the twin's inverse model misses a bicuculline dose trend that two burst-rate features carry. In §20 we turn these findings into recommendations for chip designers, assay developers and analysis pipelines.</w:t>
      </w:r>
    </w:p>
    <w:p>
      <w:pPr>
        <w:spacing w:after="120"/>
        <w:ind w:left="432" w:hanging="259"/>
      </w:pPr>
      <w:r>
        <w:rPr>
          <w:rFonts w:ascii="Calibri" w:hAnsi="Calibri"/>
          <w:b w:val="0"/>
          <w:i w:val="0"/>
          <w:color w:val="222222"/>
          <w:sz w:val="21"/>
        </w:rPr>
        <w:t>•</w:t>
        <w:tab/>
      </w:r>
      <w:r>
        <w:rPr>
          <w:rFonts w:ascii="Calibri" w:hAnsi="Calibri"/>
          <w:b/>
          <w:i w:val="0"/>
          <w:color w:val="156082"/>
          <w:sz w:val="21"/>
        </w:rPr>
        <w:t>From chip to animal (Act VII, added after the first round).</w:t>
      </w:r>
      <w:r>
        <w:rPr>
          <w:rFonts w:ascii="Calibri" w:hAnsi="Calibri"/>
          <w:b w:val="0"/>
          <w:i w:val="0"/>
          <w:color w:val="222222"/>
          <w:sz w:val="21"/>
        </w:rPr>
        <w:t xml:space="preserve"> We applied the twin's drug knobs to a simulated whole adult fly brain built from its mapped wiring, and read it both as a chip and through the neurons that drive feeding and grooming, with every prediction registered before the runs. The chip's firing rate ranks drugs by how much they disrupt behaviour (Spearman 0.863), but in every drug family behaviour failed at a lower dose than the chip flagged; GABA block had moved firing rate by only 0.149 log2 when the brain's bitter gate on feeding had already broken. Electrodes on the brain's output tract, the fly's counterpart of a chip's microchannels, caught it in time where a planar array did not. A second, male connectome replicates the behaviour and ranking results, and read at its motor neurons the chip is never earlier than motor output.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spacing w:after="0"/>
            </w:pPr>
            <w:r>
              <w:rPr>
                <w:rFonts w:ascii="Calibri" w:hAnsi="Calibri"/>
                <w:b/>
                <w:i w:val="0"/>
                <w:color w:val="222222"/>
                <w:sz w:val="20"/>
              </w:rPr>
              <w:t>ACT VII: From chip to animal (after round 1)</w:t>
            </w:r>
          </w:p>
        </w:tc>
        <w:tc>
          <w:tcPr>
            <w:tcW w:type="dxa" w:w="5437"/>
            <w:shd w:val="clear" w:color="auto" w:fill="FFFFFF"/>
            <w:vAlign w:val="center"/>
          </w:tcPr>
          <w:p>
            <w:pPr>
              <w:keepNext/>
              <w:spacing w:after="0"/>
            </w:pPr>
            <w:r>
              <w:rPr>
                <w:rFonts w:ascii="Calibri" w:hAnsi="Calibri"/>
                <w:b w:val="0"/>
                <w:i w:val="0"/>
                <w:color w:val="222222"/>
                <w:sz w:val="20"/>
              </w:rPr>
              <w:t>23. The question a chip cannot answer on its own</w:t>
            </w:r>
          </w:p>
          <w:p>
            <w:pPr>
              <w:keepNext/>
              <w:spacing w:after="0"/>
            </w:pPr>
            <w:r>
              <w:rPr>
                <w:rFonts w:ascii="Calibri" w:hAnsi="Calibri"/>
                <w:b w:val="0"/>
                <w:i w:val="0"/>
                <w:color w:val="222222"/>
                <w:sz w:val="20"/>
              </w:rPr>
              <w:t>24. The chip ranks drugs correctly and raises the alarm late</w:t>
            </w:r>
          </w:p>
          <w:p>
            <w:pPr>
              <w:keepNext/>
              <w:spacing w:after="0"/>
            </w:pPr>
            <w:r>
              <w:rPr>
                <w:rFonts w:ascii="Calibri" w:hAnsi="Calibri"/>
                <w:b w:val="0"/>
                <w:i w:val="0"/>
                <w:color w:val="222222"/>
                <w:sz w:val="20"/>
              </w:rPr>
              <w:t>25. Direction between regions, and a second brain</w:t>
            </w:r>
          </w:p>
          <w:p>
            <w:pPr>
              <w:keepNext/>
              <w:spacing w:after="0"/>
            </w:pPr>
            <w:r>
              <w:rPr>
                <w:rFonts w:ascii="Calibri" w:hAnsi="Calibri"/>
                <w:b w:val="0"/>
                <w:i w:val="0"/>
                <w:color w:val="222222"/>
                <w:sz w:val="20"/>
              </w:rPr>
              <w:t>26. What the fly study does not show</w:t>
            </w:r>
          </w:p>
        </w:tc>
      </w:tr>
      <w:tr>
        <w:trPr>
          <w:cantSplit/>
        </w:trPr>
        <w:tc>
          <w:tcPr>
            <w:tcW w:type="dxa" w:w="3059"/>
            <w:shd w:val="clear" w:color="auto" w:fill="F7F9FB"/>
            <w:vAlign w:val="center"/>
          </w:tcPr>
          <w:p>
            <w:pPr>
              <w:keepNext/>
              <w:spacing w:after="0"/>
            </w:pPr>
            <w:r>
              <w:rPr>
                <w:rFonts w:ascii="Calibri" w:hAnsi="Calibri"/>
                <w:b/>
                <w:i w:val="0"/>
                <w:color w:val="222222"/>
                <w:sz w:val="20"/>
              </w:rPr>
              <w:t>ACT VIII: The embodied fly (after round 1)</w:t>
            </w:r>
          </w:p>
        </w:tc>
        <w:tc>
          <w:tcPr>
            <w:tcW w:type="dxa" w:w="5437"/>
            <w:shd w:val="clear" w:color="auto" w:fill="F7F9FB"/>
            <w:vAlign w:val="center"/>
          </w:tcPr>
          <w:p>
            <w:pPr>
              <w:keepNext/>
              <w:spacing w:after="0"/>
            </w:pPr>
            <w:r>
              <w:rPr>
                <w:rFonts w:ascii="Calibri" w:hAnsi="Calibri"/>
                <w:b w:val="0"/>
                <w:i w:val="0"/>
                <w:color w:val="222222"/>
                <w:sz w:val="20"/>
              </w:rPr>
              <w:t>27. A body for the simulated fly</w:t>
            </w:r>
          </w:p>
          <w:p>
            <w:pPr>
              <w:keepNext/>
              <w:spacing w:after="0"/>
            </w:pPr>
            <w:r>
              <w:rPr>
                <w:rFonts w:ascii="Calibri" w:hAnsi="Calibri"/>
                <w:b w:val="0"/>
                <w:i w:val="0"/>
                <w:color w:val="222222"/>
                <w:sz w:val="20"/>
              </w:rPr>
              <w:t>28. Walking: what the wiring does and does not do</w:t>
            </w:r>
          </w:p>
          <w:p>
            <w:pPr>
              <w:keepNext/>
              <w:spacing w:after="0"/>
            </w:pPr>
            <w:r>
              <w:rPr>
                <w:rFonts w:ascii="Calibri" w:hAnsi="Calibri"/>
                <w:b w:val="0"/>
                <w:i w:val="0"/>
                <w:color w:val="222222"/>
                <w:sz w:val="20"/>
              </w:rPr>
              <w:t>29. Closing the loop</w:t>
            </w:r>
          </w:p>
          <w:p>
            <w:pPr>
              <w:keepNext/>
              <w:spacing w:after="0"/>
            </w:pPr>
            <w:r>
              <w:rPr>
                <w:rFonts w:ascii="Calibri" w:hAnsi="Calibri"/>
                <w:b w:val="0"/>
                <w:i w:val="0"/>
                <w:color w:val="222222"/>
                <w:sz w:val="20"/>
              </w:rPr>
              <w:t>30. Drugs in the loop: the chip is late at every level</w:t>
            </w:r>
          </w:p>
          <w:p>
            <w:pPr>
              <w:keepNext/>
              <w:spacing w:after="0"/>
            </w:pPr>
            <w:r>
              <w:rPr>
                <w:rFonts w:ascii="Calibri" w:hAnsi="Calibri"/>
                <w:b w:val="0"/>
                <w:i w:val="0"/>
                <w:color w:val="222222"/>
                <w:sz w:val="20"/>
              </w:rPr>
              <w:t>31. What the embodied fly does not show</w:t>
            </w:r>
          </w:p>
        </w:tc>
      </w:tr>
      <w:tr>
        <w:trPr>
          <w:cantSplit/>
        </w:trPr>
        <w:tc>
          <w:tcPr>
            <w:tcW w:type="dxa" w:w="3059"/>
            <w:shd w:val="clear" w:color="auto" w:fill="FFFFFF"/>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FFFFF"/>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depositors' own meaRtools output, REAL recordings. Rank agreement on the horizontal axis, ratio of values on the vertical. Only </w:t>
      </w:r>
      <w:r>
        <w:rPr>
          <w:rFonts w:ascii="Consolas" w:hAnsi="Consolas"/>
          <w:b w:val="0"/>
          <w:i/>
          <w:color w:val="222222"/>
          <w:sz w:val="15"/>
        </w:rPr>
        <w:t>pct_spikes_in_bursts</w:t>
      </w:r>
      <w:r>
        <w:rPr>
          <w:rFonts w:ascii="Calibri" w:hAnsi="Calibri"/>
          <w:b w:val="0"/>
          <w:i/>
          <w:color w:val="222222"/>
          <w:sz w:val="17"/>
        </w:rPr>
        <w:t xml:space="preserve"> lands on equality; burst rate differs twofold from definitional choice alone.</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3" name="Picture 3"/>
            <wp:cNvGraphicFramePr>
              <a:graphicFrameLocks noChangeAspect="1"/>
            </wp:cNvGraphicFramePr>
            <a:graphic>
              <a:graphicData uri="http://schemas.openxmlformats.org/drawingml/2006/picture">
                <pic:pic>
                  <pic:nvPicPr>
                    <pic:cNvPr id="0" name="mechanism_classifier_real.png"/>
                    <pic:cNvPicPr/>
                  </pic:nvPicPr>
                  <pic:blipFill>
                    <a:blip r:embed="rId15"/>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4" name="Picture 4"/>
            <wp:cNvGraphicFramePr>
              <a:graphicFrameLocks noChangeAspect="1"/>
            </wp:cNvGraphicFramePr>
            <a:graphic>
              <a:graphicData uri="http://schemas.openxmlformats.org/drawingml/2006/picture">
                <pic:pic>
                  <pic:nvPicPr>
                    <pic:cNvPr id="0" name="mechanism_confusion.png"/>
                    <pic:cNvPicPr/>
                  </pic:nvPicPr>
                  <pic:blipFill>
                    <a:blip r:embed="rId16"/>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Detection does not track dose.</w:t>
      </w:r>
      <w:r>
        <w:rPr>
          <w:rFonts w:ascii="Calibri" w:hAnsi="Calibri"/>
          <w:b w:val="0"/>
          <w:i w:val="0"/>
          <w:color w:val="222222"/>
          <w:sz w:val="21"/>
        </w:rPr>
        <w:t xml:space="preserve"> Within the bicuculline series, detection probability shows no relationship with dose: Spearman ρ = −0.059, p = 0.189. Mechanism and dose are different questions, and this model only answers the first. The recordings do carry a dose signal, as §18 shows; a classifier built to tell mechanisms apart does not read it.</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3290925" cy="2728165"/>
            <wp:docPr id="5" name="Picture 5"/>
            <wp:cNvGraphicFramePr>
              <a:graphicFrameLocks noChangeAspect="1"/>
            </wp:cNvGraphicFramePr>
            <a:graphic>
              <a:graphicData uri="http://schemas.openxmlformats.org/drawingml/2006/picture">
                <pic:pic>
                  <pic:nvPicPr>
                    <pic:cNvPr id="0" name="species_shift.png"/>
                    <pic:cNvPicPr/>
                  </pic:nvPicPr>
                  <pic:blipFill>
                    <a:blip r:embed="rId17"/>
                    <a:stretch>
                      <a:fillRect/>
                    </a:stretch>
                  </pic:blipFill>
                  <pic:spPr>
                    <a:xfrm>
                      <a:off x="0" y="0"/>
                      <a:ext cx="3290925" cy="2728165"/>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4046220" cy="3181789"/>
            <wp:docPr id="6" name="Picture 6"/>
            <wp:cNvGraphicFramePr>
              <a:graphicFrameLocks noChangeAspect="1"/>
            </wp:cNvGraphicFramePr>
            <a:graphic>
              <a:graphicData uri="http://schemas.openxmlformats.org/drawingml/2006/picture">
                <pic:pic>
                  <pic:nvPicPr>
                    <pic:cNvPr id="0" name="baseline_species_comparison.png"/>
                    <pic:cNvPicPr/>
                  </pic:nvPicPr>
                  <pic:blipFill>
                    <a:blip r:embed="rId18"/>
                    <a:stretch>
                      <a:fillRect/>
                    </a:stretch>
                  </pic:blipFill>
                  <pic:spPr>
                    <a:xfrm>
                      <a:off x="0" y="0"/>
                      <a:ext cx="4046220" cy="3181789"/>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891826"/>
            <wp:docPr id="7" name="Picture 7"/>
            <wp:cNvGraphicFramePr>
              <a:graphicFrameLocks noChangeAspect="1"/>
            </wp:cNvGraphicFramePr>
            <a:graphic>
              <a:graphicData uri="http://schemas.openxmlformats.org/drawingml/2006/picture">
                <pic:pic>
                  <pic:nvPicPr>
                    <pic:cNvPr id="0" name="platform_contrast_gabaa_antagonist.png"/>
                    <pic:cNvPicPr/>
                  </pic:nvPicPr>
                  <pic:blipFill>
                    <a:blip r:embed="rId19"/>
                    <a:stretch>
                      <a:fillRect/>
                    </a:stretch>
                  </pic:blipFill>
                  <pic:spPr>
                    <a:xfrm>
                      <a:off x="0" y="0"/>
                      <a:ext cx="3129076" cy="1891826"/>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8" name="Picture 8"/>
            <wp:cNvGraphicFramePr>
              <a:graphicFrameLocks noChangeAspect="1"/>
            </wp:cNvGraphicFramePr>
            <a:graphic>
              <a:graphicData uri="http://schemas.openxmlformats.org/drawingml/2006/picture">
                <pic:pic>
                  <pic:nvPicPr>
                    <pic:cNvPr id="0" name="twin_architecture_simulated.png"/>
                    <pic:cNvPicPr/>
                  </pic:nvPicPr>
                  <pic:blipFill>
                    <a:blip r:embed="rId20"/>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The SIMULATED two-compartment twin: two chambers of model neurons, a one-way axon diode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3129076" cy="1846833"/>
            <wp:docPr id="9" name="Picture 9"/>
            <wp:cNvGraphicFramePr>
              <a:graphicFrameLocks noChangeAspect="1"/>
            </wp:cNvGraphicFramePr>
            <a:graphic>
              <a:graphicData uri="http://schemas.openxmlformats.org/drawingml/2006/picture">
                <pic:pic>
                  <pic:nvPicPr>
                    <pic:cNvPr id="0" name="hd12_calibration_simulated.png"/>
                    <pic:cNvPicPr/>
                  </pic:nvPicPr>
                  <pic:blipFill>
                    <a:blip r:embed="rId21"/>
                    <a:stretch>
                      <a:fillRect/>
                    </a:stretch>
                  </pic:blipFill>
                  <pic:spPr>
                    <a:xfrm>
                      <a:off x="0" y="0"/>
                      <a:ext cx="3129076" cy="1846833"/>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3183026" cy="1570780"/>
            <wp:docPr id="10" name="Picture 10"/>
            <wp:cNvGraphicFramePr>
              <a:graphicFrameLocks noChangeAspect="1"/>
            </wp:cNvGraphicFramePr>
            <a:graphic>
              <a:graphicData uri="http://schemas.openxmlformats.org/drawingml/2006/picture">
                <pic:pic>
                  <pic:nvPicPr>
                    <pic:cNvPr id="0" name="hd13_drug_knob_validation_simulated.png"/>
                    <pic:cNvPicPr/>
                  </pic:nvPicPr>
                  <pic:blipFill>
                    <a:blip r:embed="rId22"/>
                    <a:stretch>
                      <a:fillRect/>
                    </a:stretch>
                  </pic:blipFill>
                  <pic:spPr>
                    <a:xfrm>
                      <a:off x="0" y="0"/>
                      <a:ext cx="3183026" cy="1570780"/>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w:t>
      </w:r>
    </w:p>
    <w:p>
      <w:pPr>
        <w:spacing w:after="120"/>
      </w:pPr>
      <w:r>
        <w:rPr>
          <w:rFonts w:ascii="Calibri" w:hAnsi="Calibri"/>
          <w:b/>
          <w:i w:val="0"/>
          <w:color w:val="156082"/>
          <w:sz w:val="21"/>
        </w:rPr>
        <w:t>The twin as a source of labelled training data (added after the first round).</w:t>
      </w:r>
      <w:r>
        <w:rPr>
          <w:rFonts w:ascii="Calibri" w:hAnsi="Calibri"/>
          <w:b w:val="0"/>
          <w:i w:val="0"/>
          <w:color w:val="222222"/>
          <w:sz w:val="21"/>
        </w:rPr>
        <w:t xml:space="preserve"> Directions are one test; recognition is a harder one. We simulated pairs for the five mechanism classes the twin has a knob for (one chip recorded twice, once with the knob moved; 30 pairs per class), trained the §5 classifier on those alone, and applied it to the 73 real Kapucu pairs. Registered before the pairs were simulated (</w:t>
      </w:r>
      <w:r>
        <w:rPr>
          <w:rFonts w:ascii="Consolas" w:hAnsi="Consolas"/>
          <w:b w:val="0"/>
          <w:i w:val="0"/>
          <w:color w:val="222222"/>
          <w:sz w:val="19"/>
        </w:rPr>
        <w:t>preregistration/twin_prior_classifier.json</w:t>
      </w:r>
      <w:r>
        <w:rPr>
          <w:rFonts w:ascii="Calibri" w:hAnsi="Calibri"/>
          <w:b w:val="0"/>
          <w:i w:val="0"/>
          <w:color w:val="222222"/>
          <w:sz w:val="21"/>
        </w:rPr>
        <w:t>), it reaches a balanced accuracy of 0.41 (95% interval 0.2808 to 0.5072, culture bootstrap) where chance is one in six, without seeing a single real label. It never recognises a sodium-channel blocker, and the reason is size, not direction: the twin's threshold range moves firing by −3.273 log2 and silences most electrodes, where the real blockers move it by −0.795 with every electrode still active. As a prior for the classifier trained on real pairs, the simulated pairs add nothing: balanced accuracy goes from 0.537 to 0.53, and the conformal sets do not shrink. Two of the three registered predictions failed. The twin can stand in for labels where there are none; where real labels exist, it does not improve on them.</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keepNext/>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before="120" w:after="40"/>
        <w:jc w:val="center"/>
      </w:pPr>
      <w:r>
        <w:drawing>
          <wp:inline xmlns:a="http://schemas.openxmlformats.org/drawingml/2006/main" xmlns:pic="http://schemas.openxmlformats.org/drawingml/2006/picture">
            <wp:extent cx="3021177" cy="2135490"/>
            <wp:docPr id="11" name="Picture 11"/>
            <wp:cNvGraphicFramePr>
              <a:graphicFrameLocks noChangeAspect="1"/>
            </wp:cNvGraphicFramePr>
            <a:graphic>
              <a:graphicData uri="http://schemas.openxmlformats.org/drawingml/2006/picture">
                <pic:pic>
                  <pic:nvPicPr>
                    <pic:cNvPr id="0" name="compartment_lag_by_device_type.png"/>
                    <pic:cNvPicPr/>
                  </pic:nvPicPr>
                  <pic:blipFill>
                    <a:blip r:embed="rId23"/>
                    <a:stretch>
                      <a:fillRect/>
                    </a:stretch>
                  </pic:blipFill>
                  <pic:spPr>
                    <a:xfrm>
                      <a:off x="0" y="0"/>
                      <a:ext cx="3021177" cy="2135490"/>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2" name="Picture 12"/>
            <wp:cNvGraphicFramePr>
              <a:graphicFrameLocks noChangeAspect="1"/>
            </wp:cNvGraphicFramePr>
            <a:graphic>
              <a:graphicData uri="http://schemas.openxmlformats.org/drawingml/2006/picture">
                <pic:pic>
                  <pic:nvPicPr>
                    <pic:cNvPr id="0" name="axonal_flow_vs_chamber.png"/>
                    <pic:cNvPicPr/>
                  </pic:nvPicPr>
                  <pic:blipFill>
                    <a:blip r:embed="rId24"/>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3" name="Picture 13"/>
            <wp:cNvGraphicFramePr>
              <a:graphicFrameLocks noChangeAspect="1"/>
            </wp:cNvGraphicFramePr>
            <a:graphic>
              <a:graphicData uri="http://schemas.openxmlformats.org/drawingml/2006/picture">
                <pic:pic>
                  <pic:nvPicPr>
                    <pic:cNvPr id="0" name="inference_network_simulated.png"/>
                    <pic:cNvPicPr/>
                  </pic:nvPicPr>
                  <pic:blipFill>
                    <a:blip r:embed="rId25"/>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Appendix G shows the full rank histograms.</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0.8928, using 24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Regress firing rate out of the features, inside each training fold, and the cheapest configuration doubles to 48 electrodes per compartment. Twenty-four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8"/>
        <w:gridCol w:w="2343"/>
        <w:gridCol w:w="2603"/>
        <w:gridCol w:w="3242"/>
      </w:tblGrid>
      <w:tr>
        <w:trPr>
          <w:cantSplit/>
          <w:tblHeader/>
        </w:trPr>
        <w:tc>
          <w:tcPr>
            <w:tcW w:type="dxa" w:w="308"/>
            <w:shd w:val="clear" w:color="auto" w:fill="1F4E79"/>
            <w:vAlign w:val="center"/>
          </w:tcPr>
          <w:p>
            <w:pPr>
              <w:keepNext/>
              <w:spacing w:after="0"/>
              <w:jc w:val="center"/>
            </w:pPr>
            <w:r>
              <w:rPr>
                <w:rFonts w:ascii="Calibri" w:hAnsi="Calibri"/>
                <w:b/>
                <w:i w:val="0"/>
                <w:color w:val="FFFFFF"/>
                <w:sz w:val="20"/>
              </w:rPr>
              <w:t>#</w:t>
            </w:r>
          </w:p>
        </w:tc>
        <w:tc>
          <w:tcPr>
            <w:tcW w:type="dxa" w:w="2343"/>
            <w:shd w:val="clear" w:color="auto" w:fill="1F4E79"/>
            <w:vAlign w:val="center"/>
          </w:tcPr>
          <w:p>
            <w:pPr>
              <w:keepNext/>
              <w:spacing w:after="0"/>
            </w:pPr>
            <w:r>
              <w:rPr>
                <w:rFonts w:ascii="Calibri" w:hAnsi="Calibri"/>
                <w:b/>
                <w:i w:val="0"/>
                <w:color w:val="FFFFFF"/>
                <w:sz w:val="20"/>
              </w:rPr>
              <w:t>finding</w:t>
            </w:r>
          </w:p>
        </w:tc>
        <w:tc>
          <w:tcPr>
            <w:tcW w:type="dxa" w:w="2603"/>
            <w:shd w:val="clear" w:color="auto" w:fill="1F4E79"/>
            <w:vAlign w:val="center"/>
          </w:tcPr>
          <w:p>
            <w:pPr>
              <w:keepNext/>
              <w:spacing w:after="0"/>
            </w:pPr>
            <w:r>
              <w:rPr>
                <w:rFonts w:ascii="Calibri" w:hAnsi="Calibri"/>
                <w:b/>
                <w:i w:val="0"/>
                <w:color w:val="FFFFFF"/>
                <w:sz w:val="20"/>
              </w:rPr>
              <w:t>evidence</w:t>
            </w:r>
          </w:p>
        </w:tc>
        <w:tc>
          <w:tcPr>
            <w:tcW w:type="dxa" w:w="3242"/>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1</w:t>
            </w:r>
          </w:p>
        </w:tc>
        <w:tc>
          <w:tcPr>
            <w:tcW w:type="dxa" w:w="2343"/>
            <w:shd w:val="clear" w:color="auto" w:fill="FFFFFF"/>
            <w:vAlign w:val="center"/>
          </w:tcPr>
          <w:p>
            <w:pPr>
              <w:keepNext/>
              <w:spacing w:after="0"/>
            </w:pPr>
            <w:r>
              <w:rPr>
                <w:rFonts w:ascii="Calibri" w:hAnsi="Calibri"/>
                <w:b w:val="0"/>
                <w:i w:val="0"/>
                <w:color w:val="222222"/>
                <w:sz w:val="20"/>
              </w:rPr>
              <w:t>the twin misses a dose trend the features carry</w:t>
            </w:r>
          </w:p>
        </w:tc>
        <w:tc>
          <w:tcPr>
            <w:tcW w:type="dxa" w:w="2603"/>
            <w:shd w:val="clear" w:color="auto" w:fill="FFFFFF"/>
            <w:vAlign w:val="center"/>
          </w:tcPr>
          <w:p>
            <w:pPr>
              <w:keepNext/>
              <w:spacing w:after="0"/>
            </w:pPr>
            <w:r>
              <w:rPr>
                <w:rFonts w:ascii="Calibri" w:hAnsi="Calibri"/>
                <w:b w:val="0"/>
                <w:i w:val="0"/>
                <w:color w:val="222222"/>
                <w:sz w:val="20"/>
              </w:rPr>
              <w:t>2 of 7 features fall with dose; inferred inhibition does not (ρ = −0.121)</w:t>
            </w:r>
          </w:p>
        </w:tc>
        <w:tc>
          <w:tcPr>
            <w:tcW w:type="dxa" w:w="3242"/>
            <w:shd w:val="clear" w:color="auto" w:fill="FFFFFF"/>
            <w:vAlign w:val="center"/>
          </w:tcPr>
          <w:p>
            <w:pPr>
              <w:keepNext/>
              <w:spacing w:after="0"/>
            </w:pPr>
            <w:r>
              <w:rPr>
                <w:rFonts w:ascii="Calibri" w:hAnsi="Calibri"/>
                <w:b w:val="0"/>
                <w:i w:val="0"/>
                <w:color w:val="222222"/>
                <w:sz w:val="20"/>
              </w:rPr>
              <w:t>read dose from burst rates against each device's own baseline; do not use the twin's dose inference until it recovers that trend</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2</w:t>
            </w:r>
          </w:p>
        </w:tc>
        <w:tc>
          <w:tcPr>
            <w:tcW w:type="dxa" w:w="2343"/>
            <w:shd w:val="clear" w:color="auto" w:fill="F7F9FB"/>
            <w:vAlign w:val="center"/>
          </w:tcPr>
          <w:p>
            <w:pPr>
              <w:keepNext/>
              <w:spacing w:after="0"/>
            </w:pPr>
            <w:r>
              <w:rPr>
                <w:rFonts w:ascii="Calibri" w:hAnsi="Calibri"/>
                <w:b w:val="0"/>
                <w:i w:val="0"/>
                <w:color w:val="222222"/>
                <w:sz w:val="20"/>
              </w:rPr>
              <w:t>chamber readouts miss direction</w:t>
            </w:r>
          </w:p>
        </w:tc>
        <w:tc>
          <w:tcPr>
            <w:tcW w:type="dxa" w:w="2603"/>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242"/>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3</w:t>
            </w:r>
          </w:p>
        </w:tc>
        <w:tc>
          <w:tcPr>
            <w:tcW w:type="dxa" w:w="2343"/>
            <w:shd w:val="clear" w:color="auto" w:fill="FFFFFF"/>
            <w:vAlign w:val="center"/>
          </w:tcPr>
          <w:p>
            <w:pPr>
              <w:keepNext/>
              <w:spacing w:after="0"/>
            </w:pPr>
            <w:r>
              <w:rPr>
                <w:rFonts w:ascii="Calibri" w:hAnsi="Calibri"/>
                <w:b w:val="0"/>
                <w:i w:val="0"/>
                <w:color w:val="222222"/>
                <w:sz w:val="20"/>
              </w:rPr>
              <w:t>no cross-laboratory transfer</w:t>
            </w:r>
          </w:p>
        </w:tc>
        <w:tc>
          <w:tcPr>
            <w:tcW w:type="dxa" w:w="2603"/>
            <w:shd w:val="clear" w:color="auto" w:fill="FFFFFF"/>
            <w:vAlign w:val="center"/>
          </w:tcPr>
          <w:p>
            <w:pPr>
              <w:keepNext/>
              <w:spacing w:after="0"/>
            </w:pPr>
            <w:r>
              <w:rPr>
                <w:rFonts w:ascii="Calibri" w:hAnsi="Calibri"/>
                <w:b w:val="0"/>
                <w:i w:val="0"/>
                <w:color w:val="222222"/>
                <w:sz w:val="20"/>
              </w:rPr>
              <w:t>0.3482 against 0.3333 chance</w:t>
            </w:r>
          </w:p>
        </w:tc>
        <w:tc>
          <w:tcPr>
            <w:tcW w:type="dxa" w:w="3242"/>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4</w:t>
            </w:r>
          </w:p>
        </w:tc>
        <w:tc>
          <w:tcPr>
            <w:tcW w:type="dxa" w:w="2343"/>
            <w:shd w:val="clear" w:color="auto" w:fill="F7F9FB"/>
            <w:vAlign w:val="center"/>
          </w:tcPr>
          <w:p>
            <w:pPr>
              <w:keepNext/>
              <w:spacing w:after="0"/>
            </w:pPr>
            <w:r>
              <w:rPr>
                <w:rFonts w:ascii="Calibri" w:hAnsi="Calibri"/>
                <w:b w:val="0"/>
                <w:i w:val="0"/>
                <w:color w:val="222222"/>
                <w:sz w:val="20"/>
              </w:rPr>
              <w:t>domain adaptation backfires</w:t>
            </w:r>
          </w:p>
        </w:tc>
        <w:tc>
          <w:tcPr>
            <w:tcW w:type="dxa" w:w="2603"/>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242"/>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5</w:t>
            </w:r>
          </w:p>
        </w:tc>
        <w:tc>
          <w:tcPr>
            <w:tcW w:type="dxa" w:w="2343"/>
            <w:shd w:val="clear" w:color="auto" w:fill="FFFFFF"/>
            <w:vAlign w:val="center"/>
          </w:tcPr>
          <w:p>
            <w:pPr>
              <w:keepNext/>
              <w:spacing w:after="0"/>
            </w:pPr>
            <w:r>
              <w:rPr>
                <w:rFonts w:ascii="Calibri" w:hAnsi="Calibri"/>
                <w:b w:val="0"/>
                <w:i w:val="0"/>
                <w:color w:val="222222"/>
                <w:sz w:val="20"/>
              </w:rPr>
              <w:t>synchrony was an artifact</w:t>
            </w:r>
          </w:p>
        </w:tc>
        <w:tc>
          <w:tcPr>
            <w:tcW w:type="dxa" w:w="2603"/>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242"/>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6</w:t>
            </w:r>
          </w:p>
        </w:tc>
        <w:tc>
          <w:tcPr>
            <w:tcW w:type="dxa" w:w="2343"/>
            <w:shd w:val="clear" w:color="auto" w:fill="F7F9FB"/>
            <w:vAlign w:val="center"/>
          </w:tcPr>
          <w:p>
            <w:pPr>
              <w:keepNext/>
              <w:spacing w:after="0"/>
            </w:pPr>
            <w:r>
              <w:rPr>
                <w:rFonts w:ascii="Calibri" w:hAnsi="Calibri"/>
                <w:b w:val="0"/>
                <w:i w:val="0"/>
                <w:color w:val="222222"/>
                <w:sz w:val="20"/>
              </w:rPr>
              <w:t>posterior over-confidence</w:t>
            </w:r>
          </w:p>
        </w:tc>
        <w:tc>
          <w:tcPr>
            <w:tcW w:type="dxa" w:w="2603"/>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w:t>
            </w:r>
          </w:p>
        </w:tc>
        <w:tc>
          <w:tcPr>
            <w:tcW w:type="dxa" w:w="3242"/>
            <w:shd w:val="clear" w:color="auto" w:fill="F7F9FB"/>
            <w:vAlign w:val="center"/>
          </w:tcPr>
          <w:p>
            <w:pPr>
              <w:keepNext/>
              <w:spacing w:after="0"/>
            </w:pPr>
            <w:r>
              <w:rPr>
                <w:rFonts w:ascii="Calibri" w:hAnsi="Calibri"/>
                <w:b w:val="0"/>
                <w:i w:val="0"/>
                <w:color w:val="222222"/>
                <w:sz w:val="20"/>
              </w:rPr>
              <w:t>check rank uniformity before quoting an interval; quote only parameters that pass</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7</w:t>
            </w:r>
          </w:p>
        </w:tc>
        <w:tc>
          <w:tcPr>
            <w:tcW w:type="dxa" w:w="2343"/>
            <w:shd w:val="clear" w:color="auto" w:fill="FFFFFF"/>
            <w:vAlign w:val="center"/>
          </w:tcPr>
          <w:p>
            <w:pPr>
              <w:keepNext/>
              <w:spacing w:after="0"/>
            </w:pPr>
            <w:r>
              <w:rPr>
                <w:rFonts w:ascii="Calibri" w:hAnsi="Calibri"/>
                <w:b w:val="0"/>
                <w:i w:val="0"/>
                <w:color w:val="222222"/>
                <w:sz w:val="20"/>
              </w:rPr>
              <w:t>baseline read as drug effect</w:t>
            </w:r>
          </w:p>
        </w:tc>
        <w:tc>
          <w:tcPr>
            <w:tcW w:type="dxa" w:w="2603"/>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242"/>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8</w:t>
            </w:r>
          </w:p>
        </w:tc>
        <w:tc>
          <w:tcPr>
            <w:tcW w:type="dxa" w:w="2343"/>
            <w:shd w:val="clear" w:color="auto" w:fill="F7F9FB"/>
            <w:vAlign w:val="center"/>
          </w:tcPr>
          <w:p>
            <w:pPr>
              <w:keepNext/>
              <w:spacing w:after="0"/>
            </w:pPr>
            <w:r>
              <w:rPr>
                <w:rFonts w:ascii="Calibri" w:hAnsi="Calibri"/>
                <w:b w:val="0"/>
                <w:i w:val="0"/>
                <w:color w:val="222222"/>
                <w:sz w:val="20"/>
              </w:rPr>
              <w:t>support rejection</w:t>
            </w:r>
          </w:p>
        </w:tc>
        <w:tc>
          <w:tcPr>
            <w:tcW w:type="dxa" w:w="2603"/>
            <w:shd w:val="clear" w:color="auto" w:fill="F7F9FB"/>
            <w:vAlign w:val="center"/>
          </w:tcPr>
          <w:p>
            <w:pPr>
              <w:keepNext/>
              <w:spacing w:after="0"/>
            </w:pPr>
            <w:r>
              <w:rPr>
                <w:rFonts w:ascii="Calibri" w:hAnsi="Calibri"/>
                <w:b w:val="0"/>
                <w:i w:val="0"/>
                <w:color w:val="222222"/>
                <w:sz w:val="20"/>
              </w:rPr>
              <w:t>the calibrated twin cannot sample 9 of 113 real recordings</w:t>
            </w:r>
          </w:p>
        </w:tc>
        <w:tc>
          <w:tcPr>
            <w:tcW w:type="dxa" w:w="3242"/>
            <w:shd w:val="clear" w:color="auto" w:fill="F7F9FB"/>
            <w:vAlign w:val="center"/>
          </w:tcPr>
          <w:p>
            <w:pPr>
              <w:keepNext/>
              <w:spacing w:after="0"/>
            </w:pPr>
            <w:r>
              <w:rPr>
                <w:rFonts w:ascii="Calibri" w:hAnsi="Calibri"/>
                <w:b w:val="0"/>
                <w:i w:val="0"/>
                <w:color w:val="222222"/>
                <w:sz w:val="20"/>
              </w:rPr>
              <w:t>treat a refusal as an out-of-distribution flag and send the recording to a person</w:t>
            </w:r>
          </w:p>
        </w:tc>
      </w:tr>
      <w:tr>
        <w:trPr>
          <w:cantSplit/>
        </w:trPr>
        <w:tc>
          <w:tcPr>
            <w:tcW w:type="dxa" w:w="308"/>
            <w:shd w:val="clear" w:color="auto" w:fill="FFFFFF"/>
            <w:vAlign w:val="center"/>
          </w:tcPr>
          <w:p>
            <w:pPr>
              <w:keepNext w:val="0"/>
              <w:spacing w:after="0"/>
              <w:jc w:val="center"/>
            </w:pPr>
            <w:r>
              <w:rPr>
                <w:rFonts w:ascii="Calibri" w:hAnsi="Calibri"/>
                <w:b/>
                <w:i w:val="0"/>
                <w:color w:val="222222"/>
                <w:sz w:val="20"/>
              </w:rPr>
              <w:t>9</w:t>
            </w:r>
          </w:p>
        </w:tc>
        <w:tc>
          <w:tcPr>
            <w:tcW w:type="dxa" w:w="2343"/>
            <w:shd w:val="clear" w:color="auto" w:fill="FFFFFF"/>
            <w:vAlign w:val="center"/>
          </w:tcPr>
          <w:p>
            <w:pPr>
              <w:keepNext w:val="0"/>
              <w:spacing w:after="0"/>
            </w:pPr>
            <w:r>
              <w:rPr>
                <w:rFonts w:ascii="Calibri" w:hAnsi="Calibri"/>
                <w:b w:val="0"/>
                <w:i w:val="0"/>
                <w:color w:val="222222"/>
                <w:sz w:val="20"/>
              </w:rPr>
              <w:t>vesicle depletion does not explain the GABA-A reversal (added after the first round)</w:t>
            </w:r>
          </w:p>
        </w:tc>
        <w:tc>
          <w:tcPr>
            <w:tcW w:type="dxa" w:w="2603"/>
            <w:shd w:val="clear" w:color="auto" w:fill="FFFFFF"/>
            <w:vAlign w:val="center"/>
          </w:tcPr>
          <w:p>
            <w:pPr>
              <w:keepNext w:val="0"/>
              <w:spacing w:after="0"/>
            </w:pPr>
            <w:r>
              <w:rPr>
                <w:rFonts w:ascii="Calibri" w:hAnsi="Calibri"/>
                <w:b w:val="0"/>
                <w:i w:val="0"/>
                <w:color w:val="222222"/>
                <w:sz w:val="20"/>
              </w:rPr>
              <w:t>under strong GABA-A block the twin's firing rate rises by 2.389 log2; with depletion, by at least 0.8687; on real chips it changes by −0.335</w:t>
            </w:r>
          </w:p>
        </w:tc>
        <w:tc>
          <w:tcPr>
            <w:tcW w:type="dxa" w:w="3242"/>
            <w:shd w:val="clear" w:color="auto" w:fill="FFFFFF"/>
            <w:vAlign w:val="center"/>
          </w:tcPr>
          <w:p>
            <w:pPr>
              <w:keepNext w:val="0"/>
              <w:spacing w:after="0"/>
            </w:pPr>
            <w:r>
              <w:rPr>
                <w:rFonts w:ascii="Calibri" w:hAnsi="Calibri"/>
                <w:b w:val="0"/>
                <w:i w:val="0"/>
                <w:color w:val="222222"/>
                <w:sz w:val="20"/>
              </w:rPr>
              <w:t>do not read the twin's firing-rate direction under disinhibition as the culture's; look for the missing mechanism elsewhere (recalibrating with depression, depolarization block)</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So we asked whether the signal is in the features at all: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2 of the 7 do: burst rate (ρ = −0.58) and network burst rate (ρ = −0.60) fall with dose. After subtracting each device's own baseline, the same 2 do, in both cases after a Holm correction for testing seven features at once. The signal is there, and the twin's posterior does not recover it, so the inverse model is the part to fix. An earlier version of this analysis ranked doses without their units, which put the two lowest doses, recorded in nM, among the highest, and concluded the opposite. Another entry in this challenge, NeuroChip Twin, found the trend; tracing that disagreement found our error.</w:t>
      </w:r>
    </w:p>
    <w:p>
      <w:pPr>
        <w:keepNext/>
        <w:spacing w:after="120"/>
      </w:pPr>
      <w:r>
        <w:rPr>
          <w:rFonts w:ascii="Calibri" w:hAnsi="Calibri"/>
          <w:b/>
          <w:i w:val="0"/>
          <w:color w:val="156082"/>
          <w:sz w:val="21"/>
        </w:rPr>
        <w:t>On the ninth.</w:t>
      </w:r>
      <w:r>
        <w:rPr>
          <w:rFonts w:ascii="Calibri" w:hAnsi="Calibri"/>
          <w:b w:val="0"/>
          <w:i w:val="0"/>
          <w:color w:val="222222"/>
          <w:sz w:val="21"/>
        </w:rPr>
        <w:t xml:space="preserve"> A reviewer of the first round suggested that the twin raises firing rate under GABA-A block, where real chips lower it, because it lacks presynaptic vesicle depletion: in a dense culture, disinhibited bursts should exhaust the excitatory synapses and silence the network between them. It is a good hypothesis and the twin can test it, so we registered the test before running it (</w:t>
      </w:r>
      <w:r>
        <w:rPr>
          <w:rFonts w:ascii="Consolas" w:hAnsi="Consolas"/>
          <w:b w:val="0"/>
          <w:i w:val="0"/>
          <w:color w:val="222222"/>
          <w:sz w:val="19"/>
        </w:rPr>
        <w:t>preregistration/twin_depression_under_block.json</w:t>
      </w:r>
      <w:r>
        <w:rPr>
          <w:rFonts w:ascii="Calibri" w:hAnsi="Calibri"/>
          <w:b w:val="0"/>
          <w:i w:val="0"/>
          <w:color w:val="222222"/>
          <w:sz w:val="21"/>
        </w:rPr>
        <w:t>). We ran the four drug knobs and a five-step GABA-A dose series under each of the 7 depression settings of §13's earlier check. Depletion shrinks the rise, the more so the stronger it is, but in none of them does firing rate fall (0 settings), and in none do both burst rates fall with dose, as they do on real chips. The weights were not recalibrated with depression in place, so this does not rule the mechanism out; it does rule out depletion added to the present twin as the explanation.</w:t>
      </w:r>
    </w:p>
    <w:p>
      <w:pPr>
        <w:keepNext/>
        <w:spacing w:before="120" w:after="40"/>
        <w:jc w:val="center"/>
      </w:pPr>
      <w:r>
        <w:drawing>
          <wp:inline xmlns:a="http://schemas.openxmlformats.org/drawingml/2006/main" xmlns:pic="http://schemas.openxmlformats.org/drawingml/2006/picture">
            <wp:extent cx="3884371" cy="2141311"/>
            <wp:docPr id="14" name="Picture 14"/>
            <wp:cNvGraphicFramePr>
              <a:graphicFrameLocks noChangeAspect="1"/>
            </wp:cNvGraphicFramePr>
            <a:graphic>
              <a:graphicData uri="http://schemas.openxmlformats.org/drawingml/2006/picture">
                <pic:pic>
                  <pic:nvPicPr>
                    <pic:cNvPr id="0" name="depression_under_block_simulated.png"/>
                    <pic:cNvPicPr/>
                  </pic:nvPicPr>
                  <pic:blipFill>
                    <a:blip r:embed="rId26"/>
                    <a:stretch>
                      <a:fillRect/>
                    </a:stretch>
                  </pic:blipFill>
                  <pic:spPr>
                    <a:xfrm>
                      <a:off x="0" y="0"/>
                      <a:ext cx="3884371" cy="2141311"/>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Firing-rate change under strong GABA-A block in the SIMULATED twin, per vesicle-depletion setting, against the REAL median change on GABA-A antagonist pairs. Depletion shrinks the rise; no setting reverses it.</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 twin does not track dose.</w:t>
      </w:r>
      <w:r>
        <w:rPr>
          <w:rFonts w:ascii="Calibri" w:hAnsi="Calibri"/>
          <w:b w:val="0"/>
          <w:i w:val="0"/>
          <w:color w:val="222222"/>
          <w:sz w:val="21"/>
        </w:rPr>
        <w:t xml:space="preserve"> Burst rates fall with bicuculline dose, but the twin's inferred inhibition does not, so its dose inference is not usable yet.</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five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(24 electrodes per compartment,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spacing w:after="120"/>
      </w:pPr>
      <w:r>
        <w:rPr>
          <w:rFonts w:ascii="Calibri" w:hAnsi="Calibri"/>
          <w:b/>
          <w:i w:val="0"/>
          <w:color w:val="156082"/>
          <w:sz w:val="21"/>
        </w:rPr>
        <w:t>5. Sensitivity targets for an assay, set by a mapped brain (Act VII, added after the first round).</w:t>
      </w:r>
      <w:r>
        <w:rPr>
          <w:rFonts w:ascii="Calibri" w:hAnsi="Calibri"/>
          <w:b w:val="0"/>
          <w:i w:val="0"/>
          <w:color w:val="222222"/>
          <w:sz w:val="21"/>
        </w:rPr>
        <w:t xml:space="preserve"> An MEA assay is useful only if it flags a compound before the compound disturbs what a nervous system does. On a simulated fly brain, behaviour failed while the chip's firing rate had moved by as little as 0.149 log2 under GABA block. Two consequences follow for assay design, both from simulation and both to be checked on real tissue. First, measure each readout's untreated variation and state it: an assay meant to catch disinhibition in time needs firing-rate noise below that level, which the best real controls in our asset only just reach. Second, read a screen's hit threshold for what it can miss: the EPA's acute MEA screen calls a firing-rate hit only beyond a change of about −1.784 log2, 5.87 times the largest firing-rate change at which the fly's behaviour had already failed. That threshold is a reasonable guard against false hits; it is not evidence that a compound below it leaves circuits untouched. Third, where to record matters as much as how precisely: in the same simulation, electrodes on the brain's output tract caught GABA block in time where a planar array did not (§24), the same advice §15 gives from real devices: instrument the channels.</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69"/>
        <w:gridCol w:w="4799"/>
        <w:gridCol w:w="2128"/>
      </w:tblGrid>
      <w:tr>
        <w:trPr>
          <w:cantSplit/>
          <w:tblHeader/>
        </w:trPr>
        <w:tc>
          <w:tcPr>
            <w:tcW w:type="dxa" w:w="1569"/>
            <w:shd w:val="clear" w:color="auto" w:fill="1F4E79"/>
            <w:vAlign w:val="center"/>
          </w:tcPr>
          <w:p>
            <w:pPr>
              <w:keepNext/>
              <w:spacing w:after="0"/>
            </w:pPr>
            <w:r>
              <w:rPr>
                <w:rFonts w:ascii="Calibri" w:hAnsi="Calibri"/>
                <w:b/>
                <w:i w:val="0"/>
                <w:color w:val="FFFFFF"/>
                <w:sz w:val="20"/>
              </w:rPr>
              <w:t>step</w:t>
            </w:r>
          </w:p>
        </w:tc>
        <w:tc>
          <w:tcPr>
            <w:tcW w:type="dxa" w:w="4799"/>
            <w:shd w:val="clear" w:color="auto" w:fill="1F4E79"/>
            <w:vAlign w:val="center"/>
          </w:tcPr>
          <w:p>
            <w:pPr>
              <w:keepNext/>
              <w:spacing w:after="0"/>
            </w:pPr>
            <w:r>
              <w:rPr>
                <w:rFonts w:ascii="Calibri" w:hAnsi="Calibri"/>
                <w:b/>
                <w:i w:val="0"/>
                <w:color w:val="FFFFFF"/>
                <w:sz w:val="20"/>
              </w:rPr>
              <w:t>command</w:t>
            </w:r>
          </w:p>
        </w:tc>
        <w:tc>
          <w:tcPr>
            <w:tcW w:type="dxa" w:w="2128"/>
            <w:shd w:val="clear" w:color="auto" w:fill="1F4E79"/>
            <w:vAlign w:val="center"/>
          </w:tcPr>
          <w:p>
            <w:pPr>
              <w:keepNext/>
              <w:spacing w:after="0"/>
            </w:pPr>
            <w:r>
              <w:rPr>
                <w:rFonts w:ascii="Calibri" w:hAnsi="Calibri"/>
                <w:b/>
                <w:i w:val="0"/>
                <w:color w:val="FFFFFF"/>
                <w:sz w:val="20"/>
              </w:rPr>
              <w:t>what it does</w:t>
            </w:r>
          </w:p>
        </w:tc>
      </w:tr>
      <w:tr>
        <w:trPr>
          <w:cantSplit/>
        </w:trPr>
        <w:tc>
          <w:tcPr>
            <w:tcW w:type="dxa" w:w="1569"/>
            <w:shd w:val="clear" w:color="auto" w:fill="FFFFFF"/>
            <w:vAlign w:val="center"/>
          </w:tcPr>
          <w:p>
            <w:pPr>
              <w:keepNext/>
              <w:spacing w:after="0"/>
            </w:pPr>
            <w:r>
              <w:rPr>
                <w:rFonts w:ascii="Calibri" w:hAnsi="Calibri"/>
                <w:b/>
                <w:i w:val="0"/>
                <w:color w:val="222222"/>
                <w:sz w:val="20"/>
              </w:rPr>
              <w:t>1. get the code</w:t>
            </w:r>
          </w:p>
        </w:tc>
        <w:tc>
          <w:tcPr>
            <w:tcW w:type="dxa" w:w="4799"/>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128"/>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569"/>
            <w:shd w:val="clear" w:color="auto" w:fill="F7F9FB"/>
            <w:vAlign w:val="center"/>
          </w:tcPr>
          <w:p>
            <w:pPr>
              <w:keepNext/>
              <w:spacing w:after="0"/>
            </w:pPr>
            <w:r>
              <w:rPr>
                <w:rFonts w:ascii="Calibri" w:hAnsi="Calibri"/>
                <w:b/>
                <w:i w:val="0"/>
                <w:color w:val="222222"/>
                <w:sz w:val="20"/>
              </w:rPr>
              <w:t>2. create the environment</w:t>
            </w:r>
          </w:p>
        </w:tc>
        <w:tc>
          <w:tcPr>
            <w:tcW w:type="dxa" w:w="4799"/>
            <w:shd w:val="clear" w:color="auto" w:fill="F7F9FB"/>
            <w:vAlign w:val="center"/>
          </w:tcPr>
          <w:p>
            <w:pPr>
              <w:keepNext/>
              <w:spacing w:after="0"/>
            </w:pPr>
            <w:r>
              <w:rPr>
                <w:rFonts w:ascii="Calibri" w:hAnsi="Calibri"/>
                <w:b w:val="0"/>
                <w:i w:val="0"/>
                <w:color w:val="222222"/>
                <w:sz w:val="20"/>
              </w:rPr>
              <w:t xml:space="preserve">install uv as the README shows, then </w:t>
            </w:r>
            <w:r>
              <w:rPr>
                <w:rFonts w:ascii="Consolas" w:hAnsi="Consolas"/>
                <w:b w:val="0"/>
                <w:i w:val="0"/>
                <w:color w:val="222222"/>
                <w:sz w:val="18"/>
              </w:rPr>
              <w:t>uv venv --python 3.11 .venv</w:t>
            </w:r>
          </w:p>
        </w:tc>
        <w:tc>
          <w:tcPr>
            <w:tcW w:type="dxa" w:w="2128"/>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569"/>
            <w:shd w:val="clear" w:color="auto" w:fill="FFFFFF"/>
            <w:vAlign w:val="center"/>
          </w:tcPr>
          <w:p>
            <w:pPr>
              <w:keepNext/>
              <w:spacing w:after="0"/>
            </w:pPr>
            <w:r>
              <w:rPr>
                <w:rFonts w:ascii="Calibri" w:hAnsi="Calibri"/>
                <w:b/>
                <w:i w:val="0"/>
                <w:color w:val="222222"/>
                <w:sz w:val="20"/>
              </w:rPr>
              <w:t>3. install</w:t>
            </w:r>
          </w:p>
        </w:tc>
        <w:tc>
          <w:tcPr>
            <w:tcW w:type="dxa" w:w="4799"/>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128"/>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569"/>
            <w:shd w:val="clear" w:color="auto" w:fill="F7F9FB"/>
            <w:vAlign w:val="center"/>
          </w:tcPr>
          <w:p>
            <w:pPr>
              <w:keepNext/>
              <w:spacing w:after="0"/>
            </w:pPr>
            <w:r>
              <w:rPr>
                <w:rFonts w:ascii="Calibri" w:hAnsi="Calibri"/>
                <w:b/>
                <w:i w:val="0"/>
                <w:color w:val="222222"/>
                <w:sz w:val="20"/>
              </w:rPr>
              <w:t>4. quick run</w:t>
            </w:r>
          </w:p>
        </w:tc>
        <w:tc>
          <w:tcPr>
            <w:tcW w:type="dxa" w:w="4799"/>
            <w:shd w:val="clear" w:color="auto" w:fill="F7F9FB"/>
            <w:vAlign w:val="center"/>
          </w:tcPr>
          <w:p>
            <w:pPr>
              <w:keepNext/>
              <w:spacing w:after="0"/>
            </w:pPr>
            <w:r>
              <w:rPr>
                <w:rFonts w:ascii="Consolas" w:hAnsi="Consolas"/>
                <w:b w:val="0"/>
                <w:i w:val="0"/>
                <w:color w:val="222222"/>
                <w:sz w:val="18"/>
              </w:rPr>
              <w:t>.venv/bin/python run_all.py --quick</w:t>
            </w:r>
          </w:p>
        </w:tc>
        <w:tc>
          <w:tcPr>
            <w:tcW w:type="dxa" w:w="2128"/>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569"/>
            <w:shd w:val="clear" w:color="auto" w:fill="FFFFFF"/>
            <w:vAlign w:val="center"/>
          </w:tcPr>
          <w:p>
            <w:pPr>
              <w:keepNext/>
              <w:spacing w:after="0"/>
            </w:pPr>
            <w:r>
              <w:rPr>
                <w:rFonts w:ascii="Calibri" w:hAnsi="Calibri"/>
                <w:b/>
                <w:i w:val="0"/>
                <w:color w:val="222222"/>
                <w:sz w:val="20"/>
              </w:rPr>
              <w:t>5. full run</w:t>
            </w:r>
          </w:p>
        </w:tc>
        <w:tc>
          <w:tcPr>
            <w:tcW w:type="dxa" w:w="4799"/>
            <w:shd w:val="clear" w:color="auto" w:fill="FFFFFF"/>
            <w:vAlign w:val="center"/>
          </w:tcPr>
          <w:p>
            <w:pPr>
              <w:keepNext/>
              <w:spacing w:after="0"/>
            </w:pPr>
            <w:r>
              <w:rPr>
                <w:rFonts w:ascii="Consolas" w:hAnsi="Consolas"/>
                <w:b w:val="0"/>
                <w:i w:val="0"/>
                <w:color w:val="222222"/>
                <w:sz w:val="18"/>
              </w:rPr>
              <w:t>.venv/bin/python run_all.py</w:t>
            </w:r>
          </w:p>
        </w:tc>
        <w:tc>
          <w:tcPr>
            <w:tcW w:type="dxa" w:w="2128"/>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569"/>
            <w:shd w:val="clear" w:color="auto" w:fill="F7F9FB"/>
            <w:vAlign w:val="center"/>
          </w:tcPr>
          <w:p>
            <w:pPr>
              <w:keepNext/>
              <w:spacing w:after="0"/>
            </w:pPr>
            <w:r>
              <w:rPr>
                <w:rFonts w:ascii="Calibri" w:hAnsi="Calibri"/>
                <w:b/>
                <w:i w:val="0"/>
                <w:color w:val="222222"/>
                <w:sz w:val="20"/>
              </w:rPr>
              <w:t>6. check the numbers</w:t>
            </w:r>
          </w:p>
        </w:tc>
        <w:tc>
          <w:tcPr>
            <w:tcW w:type="dxa" w:w="4799"/>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128"/>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569"/>
            <w:shd w:val="clear" w:color="auto" w:fill="FFFFFF"/>
            <w:vAlign w:val="center"/>
          </w:tcPr>
          <w:p>
            <w:pPr>
              <w:keepNext w:val="0"/>
              <w:spacing w:after="0"/>
            </w:pPr>
            <w:r>
              <w:rPr>
                <w:rFonts w:ascii="Calibri" w:hAnsi="Calibri"/>
                <w:b/>
                <w:i w:val="0"/>
                <w:color w:val="222222"/>
                <w:sz w:val="20"/>
              </w:rPr>
              <w:t>7. open the demo</w:t>
            </w:r>
          </w:p>
        </w:tc>
        <w:tc>
          <w:tcPr>
            <w:tcW w:type="dxa" w:w="4799"/>
            <w:shd w:val="clear" w:color="auto" w:fill="FFFFFF"/>
            <w:vAlign w:val="center"/>
          </w:tcPr>
          <w:p>
            <w:pPr>
              <w:keepNext w:val="0"/>
              <w:spacing w:after="0"/>
            </w:pPr>
            <w:r>
              <w:rPr>
                <w:rFonts w:ascii="Consolas" w:hAnsi="Consolas"/>
                <w:b w:val="0"/>
                <w:i w:val="0"/>
                <w:color w:val="222222"/>
                <w:sz w:val="18"/>
              </w:rPr>
              <w:t>.venv/bin/streamlit run app/app.py</w:t>
            </w:r>
          </w:p>
        </w:tc>
        <w:tc>
          <w:tcPr>
            <w:tcW w:type="dxa" w:w="2128"/>
            <w:shd w:val="clear" w:color="auto" w:fill="FFFFFF"/>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We ran these steps on a fresh clone, and every cited number reproduced exactly except ten that depend on the machine: the timings, and the counts and intervals from posterior sampling that stops at a time limit (§16). Provenance is guarded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pPr>
        <w:keepNext/>
        <w:spacing w:before="360" w:after="120"/>
      </w:pPr>
      <w:r>
        <w:rPr>
          <w:rFonts w:ascii="Calibri" w:hAnsi="Calibri"/>
          <w:b/>
          <w:i w:val="0"/>
          <w:color w:val="2F5597"/>
          <w:sz w:val="27"/>
        </w:rPr>
        <w:t>ACT VII: From chip to animal (after round 1)</w:t>
      </w:r>
    </w:p>
    <w:p>
      <w:pPr>
        <w:spacing w:after="120"/>
      </w:pPr>
      <w:r>
        <w:rPr>
          <w:rFonts w:ascii="Calibri" w:hAnsi="Calibri"/>
          <w:b w:val="0"/>
          <w:i/>
          <w:color w:val="222222"/>
          <w:sz w:val="21"/>
        </w:rPr>
        <w:t xml:space="preserve">Added after the first-round deadline; `report/POST_SUBMISSION_CHANGES.md` records every change since the submission. Every result in this act is from </w:t>
      </w:r>
      <w:r>
        <w:rPr>
          <w:rFonts w:ascii="Calibri" w:hAnsi="Calibri"/>
          <w:b w:val="0"/>
          <w:i/>
          <w:color w:val="222222"/>
          <w:sz w:val="21"/>
        </w:rPr>
        <w:t>simulation</w:t>
      </w:r>
      <w:r>
        <w:rPr>
          <w:rFonts w:ascii="Calibri" w:hAnsi="Calibri"/>
          <w:b w:val="0"/>
          <w:i/>
          <w:color w:val="222222"/>
          <w:sz w:val="21"/>
        </w:rPr>
        <w:t>, for research decision support; nothing in it is a claim about any compound's effect in any animal or person.</w:t>
      </w:r>
    </w:p>
    <w:p>
      <w:pPr>
        <w:keepNext/>
        <w:spacing w:before="240" w:after="60"/>
      </w:pPr>
      <w:r>
        <w:rPr>
          <w:rFonts w:ascii="Calibri" w:hAnsi="Calibri"/>
          <w:b/>
          <w:i w:val="0"/>
          <w:color w:val="1F4E79"/>
          <w:sz w:val="23"/>
        </w:rPr>
        <w:t>23. The question a chip cannot answer on its own</w:t>
      </w:r>
    </w:p>
    <w:p>
      <w:pPr>
        <w:spacing w:after="120"/>
      </w:pPr>
      <w:r>
        <w:rPr>
          <w:rFonts w:ascii="Calibri" w:hAnsi="Calibri"/>
          <w:b w:val="0"/>
          <w:i w:val="0"/>
          <w:color w:val="222222"/>
          <w:sz w:val="21"/>
        </w:rPr>
        <w:t xml:space="preserve">A neural chip reports what a drug does to a dish of neurons. The question an assay is used to answer is different: will the drug disturb what a nervous system </w:t>
      </w:r>
      <w:r>
        <w:rPr>
          <w:rFonts w:ascii="Calibri" w:hAnsi="Calibri"/>
          <w:b w:val="0"/>
          <w:i/>
          <w:color w:val="222222"/>
          <w:sz w:val="21"/>
        </w:rPr>
        <w:t>does</w:t>
      </w:r>
      <w:r>
        <w:rPr>
          <w:rFonts w:ascii="Calibri" w:hAnsi="Calibri"/>
          <w:b w:val="0"/>
          <w:i w:val="0"/>
          <w:color w:val="222222"/>
          <w:sz w:val="21"/>
        </w:rPr>
        <w:t>? No culture can answer that, and so no chip assay can be checked against it. A mapped brain lets us ask. The adult fly brain has been reconstructed synapse by synapse, and Shiu et al. (2024) turned that wiring diagram into a leaky integrate-and-fire model whose responses match the fly's own sensorimotor pathways.</w:t>
      </w:r>
    </w:p>
    <w:p>
      <w:pPr>
        <w:spacing w:after="120"/>
      </w:pPr>
      <w:r>
        <w:rPr>
          <w:rFonts w:ascii="Calibri" w:hAnsi="Calibri"/>
          <w:b w:val="0"/>
          <w:i w:val="0"/>
          <w:color w:val="222222"/>
          <w:sz w:val="21"/>
        </w:rPr>
        <w:t>We applied the twin's drug knobs to that model on the FlyWire connectome, 138,639 neurons joined by 15,091,983 connections, and read the same simulated brain two ways at once:</w:t>
      </w:r>
    </w:p>
    <w:p>
      <w:pPr>
        <w:spacing w:after="120"/>
        <w:ind w:left="432" w:hanging="259"/>
      </w:pPr>
      <w:r>
        <w:rPr>
          <w:rFonts w:ascii="Calibri" w:hAnsi="Calibri"/>
          <w:b w:val="0"/>
          <w:i w:val="0"/>
          <w:color w:val="222222"/>
          <w:sz w:val="21"/>
        </w:rPr>
        <w:t>•</w:t>
        <w:tab/>
      </w:r>
      <w:r>
        <w:rPr>
          <w:rFonts w:ascii="Calibri" w:hAnsi="Calibri"/>
          <w:b/>
          <w:i w:val="0"/>
          <w:color w:val="156082"/>
          <w:sz w:val="21"/>
        </w:rPr>
        <w:t>as a chip</w:t>
      </w:r>
      <w:r>
        <w:rPr>
          <w:rFonts w:ascii="Calibri" w:hAnsi="Calibri"/>
          <w:b w:val="0"/>
          <w:i w:val="0"/>
          <w:color w:val="222222"/>
          <w:sz w:val="21"/>
        </w:rPr>
        <w:t xml:space="preserve">: a virtual electrode array laid over the brain's regions, each electrode hearing one neuron, its recordings scored by </w:t>
      </w:r>
      <w:r>
        <w:rPr>
          <w:rFonts w:ascii="Consolas" w:hAnsi="Consolas"/>
          <w:b w:val="0"/>
          <w:i w:val="0"/>
          <w:color w:val="222222"/>
          <w:sz w:val="19"/>
        </w:rPr>
        <w:t>features/mea.py</w:t>
      </w:r>
      <w:r>
        <w:rPr>
          <w:rFonts w:ascii="Calibri" w:hAnsi="Calibri"/>
          <w:b w:val="0"/>
          <w:i w:val="0"/>
          <w:color w:val="222222"/>
          <w:sz w:val="21"/>
        </w:rPr>
        <w:t>, the extractor every real recording in the asset goes through;</w:t>
      </w:r>
    </w:p>
    <w:p>
      <w:pPr>
        <w:spacing w:after="120"/>
        <w:ind w:left="432" w:hanging="259"/>
      </w:pPr>
      <w:r>
        <w:rPr>
          <w:rFonts w:ascii="Calibri" w:hAnsi="Calibri"/>
          <w:b w:val="0"/>
          <w:i w:val="0"/>
          <w:color w:val="222222"/>
          <w:sz w:val="21"/>
        </w:rPr>
        <w:t>•</w:t>
        <w:tab/>
      </w:r>
      <w:r>
        <w:rPr>
          <w:rFonts w:ascii="Calibri" w:hAnsi="Calibri"/>
          <w:b/>
          <w:i w:val="0"/>
          <w:color w:val="156082"/>
          <w:sz w:val="21"/>
        </w:rPr>
        <w:t>as an animal</w:t>
      </w:r>
      <w:r>
        <w:rPr>
          <w:rFonts w:ascii="Calibri" w:hAnsi="Calibri"/>
          <w:b w:val="0"/>
          <w:i w:val="0"/>
          <w:color w:val="222222"/>
          <w:sz w:val="21"/>
        </w:rPr>
        <w:t>: the neurons the published model validated against behaviour. MN9, the proboscis motor neuron, under sugar drive (feeding) and again with bitter drive added (aversive gating); aBN1 under antennal mechanosensory drive (grooming); and how many descending neurons the sugar drive recruits (how selectively one stimulus reaches one output).</w:t>
      </w:r>
    </w:p>
    <w:p>
      <w:pPr>
        <w:spacing w:after="120"/>
      </w:pPr>
      <w:r>
        <w:rPr>
          <w:rFonts w:ascii="Calibri" w:hAnsi="Calibri"/>
          <w:b w:val="0"/>
          <w:i w:val="0"/>
          <w:color w:val="222222"/>
          <w:sz w:val="21"/>
        </w:rPr>
        <w:t>Five drug families were each run at four or five strengths: GABA block, block of the glutamate-gated chloride channel (GluCl), GABA potentiation, acetylcholine block and a raised spike threshold. In the fly, GABA and glutamate are the fast inhibitory transmitters and acetylcholine the fast excitatory one, so these are the fly's counterparts of the twin's GABA-A, AMPA and sodium-channel knobs (§14). Behaviour is summarised by a disruption index: the mean absolute log2 change of the four readouts.</w:t>
      </w:r>
    </w:p>
    <w:p>
      <w:pPr>
        <w:spacing w:after="120"/>
      </w:pPr>
      <w:r>
        <w:rPr>
          <w:rFonts w:ascii="Calibri" w:hAnsi="Calibri"/>
          <w:b/>
          <w:i w:val="0"/>
          <w:color w:val="156082"/>
          <w:sz w:val="21"/>
        </w:rPr>
        <w:t>How it was kept honest.</w:t>
      </w:r>
      <w:r>
        <w:rPr>
          <w:rFonts w:ascii="Calibri" w:hAnsi="Calibri"/>
          <w:b w:val="0"/>
          <w:i w:val="0"/>
          <w:color w:val="222222"/>
          <w:sz w:val="21"/>
        </w:rPr>
        <w:t xml:space="preserve"> The design, ten predictions and their pass/fail tests were committed before the simulations were run (</w:t>
      </w:r>
      <w:r>
        <w:rPr>
          <w:rFonts w:ascii="Consolas" w:hAnsi="Consolas"/>
          <w:b w:val="0"/>
          <w:i w:val="0"/>
          <w:color w:val="222222"/>
          <w:sz w:val="19"/>
        </w:rPr>
        <w:t>preregistration/fly_chip_to_animal.json</w:t>
      </w:r>
      <w:r>
        <w:rPr>
          <w:rFonts w:ascii="Calibri" w:hAnsi="Calibri"/>
          <w:b w:val="0"/>
          <w:i w:val="0"/>
          <w:color w:val="222222"/>
          <w:sz w:val="21"/>
        </w:rPr>
        <w:t xml:space="preserve">; its commit and checksum are in </w:t>
      </w:r>
      <w:r>
        <w:rPr>
          <w:rFonts w:ascii="Consolas" w:hAnsi="Consolas"/>
          <w:b w:val="0"/>
          <w:i w:val="0"/>
          <w:color w:val="222222"/>
          <w:sz w:val="19"/>
        </w:rPr>
        <w:t>fly_chip_to_animal.registration</w:t>
      </w:r>
      <w:r>
        <w:rPr>
          <w:rFonts w:ascii="Calibri" w:hAnsi="Calibri"/>
          <w:b w:val="0"/>
          <w:i w:val="0"/>
          <w:color w:val="222222"/>
          <w:sz w:val="21"/>
        </w:rPr>
        <w:t>), together with every exploratory result seen before registering. Two later addenda followed the same rule. The published neuron lists come from an older FlyWire release than the one we model, and a neuron's identifier changes when it is edited, so the code keeps only neurons whose identifier is unchanged and refuses any table that covers too few of the model's neurons; the two tables we use cover 0.9999 and 0.9964 of them. With the same code, sugar drives MN9 at 76.75 Hz on our release and 77.375 Hz on the paper's.</w:t>
      </w:r>
    </w:p>
    <w:p>
      <w:pPr>
        <w:keepNext/>
        <w:spacing w:before="240" w:after="60"/>
      </w:pPr>
      <w:r>
        <w:rPr>
          <w:rFonts w:ascii="Calibri" w:hAnsi="Calibri"/>
          <w:b/>
          <w:i w:val="0"/>
          <w:color w:val="1F4E79"/>
          <w:sz w:val="23"/>
        </w:rPr>
        <w:t>24. The chip ranks drugs correctly and raises the alarm late</w:t>
      </w:r>
    </w:p>
    <w:p>
      <w:pPr>
        <w:keepNext/>
        <w:spacing w:before="120" w:after="40"/>
        <w:jc w:val="center"/>
      </w:pPr>
      <w:r>
        <w:drawing>
          <wp:inline xmlns:a="http://schemas.openxmlformats.org/drawingml/2006/main" xmlns:pic="http://schemas.openxmlformats.org/drawingml/2006/picture">
            <wp:extent cx="5394960" cy="3245303"/>
            <wp:docPr id="15" name="Picture 15"/>
            <wp:cNvGraphicFramePr>
              <a:graphicFrameLocks noChangeAspect="1"/>
            </wp:cNvGraphicFramePr>
            <a:graphic>
              <a:graphicData uri="http://schemas.openxmlformats.org/drawingml/2006/picture">
                <pic:pic>
                  <pic:nvPicPr>
                    <pic:cNvPr id="0" name="fly_chip_to_animal_dose_SIMULATED.png"/>
                    <pic:cNvPicPr/>
                  </pic:nvPicPr>
                  <pic:blipFill>
                    <a:blip r:embed="rId27"/>
                    <a:stretch>
                      <a:fillRect/>
                    </a:stretch>
                  </pic:blipFill>
                  <pic:spPr>
                    <a:xfrm>
                      <a:off x="0" y="0"/>
                      <a:ext cx="5394960" cy="3245303"/>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Chip readouts and behaviour readouts of the SIMULATED fly brain against dose, one line per drug family. Top: the virtual array's firing-rate and synchrony changes, and MN9 under sugar drive. Bottom: MN9 with bitter drive added, aBN1 under antennal drive, and the disruption index.</w:t>
      </w:r>
    </w:p>
    <w:p>
      <w:pPr>
        <w:spacing w:after="120"/>
      </w:pPr>
      <w:r>
        <w:rPr>
          <w:rFonts w:ascii="Calibri" w:hAnsi="Calibri"/>
          <w:b/>
          <w:i w:val="0"/>
          <w:color w:val="156082"/>
          <w:sz w:val="21"/>
        </w:rPr>
        <w:t>Behaviour responds as the circuits predict.</w:t>
      </w:r>
      <w:r>
        <w:rPr>
          <w:rFonts w:ascii="Calibri" w:hAnsi="Calibri"/>
          <w:b w:val="0"/>
          <w:i w:val="0"/>
          <w:color w:val="222222"/>
          <w:sz w:val="21"/>
        </w:rPr>
        <w:t xml:space="preserve"> Blocking GABA releases feeding from bitter suppression (rank correlation with dose 1.0) and recruits ever more descending neurons (1.0): the brain loses its selectivity. Blocking acetylcholine silences the motor and grooming outputs.</w:t>
      </w:r>
    </w:p>
    <w:p>
      <w:pPr>
        <w:spacing w:after="120"/>
      </w:pPr>
      <w:r>
        <w:rPr>
          <w:rFonts w:ascii="Calibri" w:hAnsi="Calibri"/>
          <w:b/>
          <w:i w:val="0"/>
          <w:color w:val="156082"/>
          <w:sz w:val="21"/>
        </w:rPr>
        <w:t>The chip ranks drugs by their effect on behaviour.</w:t>
      </w:r>
      <w:r>
        <w:rPr>
          <w:rFonts w:ascii="Calibri" w:hAnsi="Calibri"/>
          <w:b w:val="0"/>
          <w:i w:val="0"/>
          <w:color w:val="222222"/>
          <w:sz w:val="21"/>
        </w:rPr>
        <w:t xml:space="preserve"> Across the 21 drug conditions, the change in the array's firing rate tracks the disruption index (Spearman 0.863). The fly array also agrees with real chips about which way each mechanism moves each feature as often as the chip twin does: 12 agreeing features against the twin's 12.</w:t>
      </w:r>
    </w:p>
    <w:p>
      <w:pPr>
        <w:keepNext/>
        <w:spacing w:after="120"/>
      </w:pPr>
      <w:r>
        <w:rPr>
          <w:rFonts w:ascii="Calibri" w:hAnsi="Calibri"/>
          <w:b/>
          <w:i w:val="0"/>
          <w:color w:val="156082"/>
          <w:sz w:val="21"/>
        </w:rPr>
        <w:t>But it is late: the registered prediction failed in every family.</w:t>
      </w:r>
      <w:r>
        <w:rPr>
          <w:rFonts w:ascii="Calibri" w:hAnsi="Calibri"/>
          <w:b w:val="0"/>
          <w:i w:val="0"/>
          <w:color w:val="222222"/>
          <w:sz w:val="21"/>
        </w:rPr>
        <w:t xml:space="preserve"> We predicted that, at the registered detection threshold, the chip would flag each drug at a dose no higher than the one that impairs behaviour. In all five families behaviour failed first. At the weakest GABA block, the bitter gate on feeding has already broken while the array's firing rate has barely moved. Dropping any one readout from the disruption index leaves the chip late in at least four of the five families, and the result replicates on fresh random seeds.</w:t>
      </w:r>
    </w:p>
    <w:p>
      <w:pPr>
        <w:keepNext/>
        <w:spacing w:before="120" w:after="40"/>
        <w:jc w:val="center"/>
      </w:pPr>
      <w:r>
        <w:drawing>
          <wp:inline xmlns:a="http://schemas.openxmlformats.org/drawingml/2006/main" xmlns:pic="http://schemas.openxmlformats.org/drawingml/2006/picture">
            <wp:extent cx="5394960" cy="1463647"/>
            <wp:docPr id="16" name="Picture 16"/>
            <wp:cNvGraphicFramePr>
              <a:graphicFrameLocks noChangeAspect="1"/>
            </wp:cNvGraphicFramePr>
            <a:graphic>
              <a:graphicData uri="http://schemas.openxmlformats.org/drawingml/2006/picture">
                <pic:pic>
                  <pic:nvPicPr>
                    <pic:cNvPr id="0" name="fly_sentinel_ladder_SIMULATED.png"/>
                    <pic:cNvPicPr/>
                  </pic:nvPicPr>
                  <pic:blipFill>
                    <a:blip r:embed="rId28"/>
                    <a:stretch>
                      <a:fillRect/>
                    </a:stretch>
                  </pic:blipFill>
                  <pic:spPr>
                    <a:xfrm>
                      <a:off x="0" y="0"/>
                      <a:ext cx="5394960" cy="1463647"/>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Which readout raises the alarm first, SIMULATED. For each drug family: the first dose that impairs behaviour (black), and the first at which the array's network-burst rate (green) and firing rate (orange) change by the registered threshold. Left: the sweep in which network-burst rate was picked out; middle and right: the two out-of-sample runs. Network-burst rate's early crossings are within untreated noise (see text).</w:t>
      </w:r>
    </w:p>
    <w:p>
      <w:pPr>
        <w:keepNext/>
        <w:spacing w:after="120"/>
      </w:pPr>
      <w:r>
        <w:rPr>
          <w:rFonts w:ascii="Calibri" w:hAnsi="Calibri"/>
          <w:b/>
          <w:i w:val="0"/>
          <w:color w:val="156082"/>
          <w:sz w:val="21"/>
        </w:rPr>
        <w:t>What a chip would need to catch it in time.</w:t>
      </w:r>
      <w:r>
        <w:rPr>
          <w:rFonts w:ascii="Calibri" w:hAnsi="Calibri"/>
          <w:b w:val="0"/>
          <w:i w:val="0"/>
          <w:color w:val="222222"/>
          <w:sz w:val="21"/>
        </w:rPr>
        <w:t xml:space="preserve"> The change in firing rate at the first dose that impairs behaviour is the precision a chip must reach to flag that drug before behaviour fails. This analysis is exploratory: it was done after the registered test failed.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66"/>
        <w:gridCol w:w="5330"/>
      </w:tblGrid>
      <w:tr>
        <w:trPr>
          <w:cantSplit/>
          <w:tblHeader/>
        </w:trPr>
        <w:tc>
          <w:tcPr>
            <w:tcW w:type="dxa" w:w="3166"/>
            <w:shd w:val="clear" w:color="auto" w:fill="1F4E79"/>
            <w:vAlign w:val="center"/>
          </w:tcPr>
          <w:p>
            <w:pPr>
              <w:keepNext/>
              <w:spacing w:after="0"/>
            </w:pPr>
            <w:r>
              <w:rPr>
                <w:rFonts w:ascii="Calibri" w:hAnsi="Calibri"/>
                <w:b/>
                <w:i w:val="0"/>
                <w:color w:val="FFFFFF"/>
                <w:sz w:val="20"/>
              </w:rPr>
              <w:t>Drug family</w:t>
            </w:r>
          </w:p>
        </w:tc>
        <w:tc>
          <w:tcPr>
            <w:tcW w:type="dxa" w:w="5330"/>
            <w:shd w:val="clear" w:color="auto" w:fill="1F4E79"/>
            <w:vAlign w:val="center"/>
          </w:tcPr>
          <w:p>
            <w:pPr>
              <w:keepNext/>
              <w:spacing w:after="0"/>
              <w:jc w:val="center"/>
            </w:pPr>
            <w:r>
              <w:rPr>
                <w:rFonts w:ascii="Calibri" w:hAnsi="Calibri"/>
                <w:b/>
                <w:i w:val="0"/>
                <w:color w:val="FFFFFF"/>
                <w:sz w:val="20"/>
              </w:rPr>
              <w:t>Firing-rate change at behavioural onset (log2)</w:t>
            </w:r>
          </w:p>
        </w:tc>
      </w:tr>
      <w:tr>
        <w:trPr>
          <w:cantSplit/>
        </w:trPr>
        <w:tc>
          <w:tcPr>
            <w:tcW w:type="dxa" w:w="3166"/>
            <w:shd w:val="clear" w:color="auto" w:fill="FFFFFF"/>
            <w:vAlign w:val="center"/>
          </w:tcPr>
          <w:p>
            <w:pPr>
              <w:keepNext/>
              <w:spacing w:after="0"/>
            </w:pPr>
            <w:r>
              <w:rPr>
                <w:rFonts w:ascii="Calibri" w:hAnsi="Calibri"/>
                <w:b/>
                <w:i w:val="0"/>
                <w:color w:val="222222"/>
                <w:sz w:val="20"/>
              </w:rPr>
              <w:t>GABA block</w:t>
            </w:r>
          </w:p>
        </w:tc>
        <w:tc>
          <w:tcPr>
            <w:tcW w:type="dxa" w:w="5330"/>
            <w:shd w:val="clear" w:color="auto" w:fill="FFFFFF"/>
            <w:vAlign w:val="center"/>
          </w:tcPr>
          <w:p>
            <w:pPr>
              <w:keepNext/>
              <w:spacing w:after="0"/>
              <w:jc w:val="center"/>
            </w:pPr>
            <w:r>
              <w:rPr>
                <w:rFonts w:ascii="Calibri" w:hAnsi="Calibri"/>
                <w:b w:val="0"/>
                <w:i w:val="0"/>
                <w:color w:val="222222"/>
                <w:sz w:val="20"/>
              </w:rPr>
              <w:t>0.149</w:t>
            </w:r>
          </w:p>
        </w:tc>
      </w:tr>
      <w:tr>
        <w:trPr>
          <w:cantSplit/>
        </w:trPr>
        <w:tc>
          <w:tcPr>
            <w:tcW w:type="dxa" w:w="3166"/>
            <w:shd w:val="clear" w:color="auto" w:fill="F7F9FB"/>
            <w:vAlign w:val="center"/>
          </w:tcPr>
          <w:p>
            <w:pPr>
              <w:keepNext/>
              <w:spacing w:after="0"/>
            </w:pPr>
            <w:r>
              <w:rPr>
                <w:rFonts w:ascii="Calibri" w:hAnsi="Calibri"/>
                <w:b/>
                <w:i w:val="0"/>
                <w:color w:val="222222"/>
                <w:sz w:val="20"/>
              </w:rPr>
              <w:t>Raised threshold</w:t>
            </w:r>
          </w:p>
        </w:tc>
        <w:tc>
          <w:tcPr>
            <w:tcW w:type="dxa" w:w="5330"/>
            <w:shd w:val="clear" w:color="auto" w:fill="F7F9FB"/>
            <w:vAlign w:val="center"/>
          </w:tcPr>
          <w:p>
            <w:pPr>
              <w:keepNext/>
              <w:spacing w:after="0"/>
              <w:jc w:val="center"/>
            </w:pPr>
            <w:r>
              <w:rPr>
                <w:rFonts w:ascii="Calibri" w:hAnsi="Calibri"/>
                <w:b w:val="0"/>
                <w:i w:val="0"/>
                <w:color w:val="222222"/>
                <w:sz w:val="20"/>
              </w:rPr>
              <w:t>0.124</w:t>
            </w:r>
          </w:p>
        </w:tc>
      </w:tr>
      <w:tr>
        <w:trPr>
          <w:cantSplit/>
        </w:trPr>
        <w:tc>
          <w:tcPr>
            <w:tcW w:type="dxa" w:w="3166"/>
            <w:shd w:val="clear" w:color="auto" w:fill="FFFFFF"/>
            <w:vAlign w:val="center"/>
          </w:tcPr>
          <w:p>
            <w:pPr>
              <w:keepNext/>
              <w:spacing w:after="0"/>
            </w:pPr>
            <w:r>
              <w:rPr>
                <w:rFonts w:ascii="Calibri" w:hAnsi="Calibri"/>
                <w:b/>
                <w:i w:val="0"/>
                <w:color w:val="222222"/>
                <w:sz w:val="20"/>
              </w:rPr>
              <w:t>GABA potentiation</w:t>
            </w:r>
          </w:p>
        </w:tc>
        <w:tc>
          <w:tcPr>
            <w:tcW w:type="dxa" w:w="5330"/>
            <w:shd w:val="clear" w:color="auto" w:fill="FFFFFF"/>
            <w:vAlign w:val="center"/>
          </w:tcPr>
          <w:p>
            <w:pPr>
              <w:keepNext/>
              <w:spacing w:after="0"/>
              <w:jc w:val="center"/>
            </w:pPr>
            <w:r>
              <w:rPr>
                <w:rFonts w:ascii="Calibri" w:hAnsi="Calibri"/>
                <w:b w:val="0"/>
                <w:i w:val="0"/>
                <w:color w:val="222222"/>
                <w:sz w:val="20"/>
              </w:rPr>
              <w:t>0.199</w:t>
            </w:r>
          </w:p>
        </w:tc>
      </w:tr>
      <w:tr>
        <w:trPr>
          <w:cantSplit/>
        </w:trPr>
        <w:tc>
          <w:tcPr>
            <w:tcW w:type="dxa" w:w="3166"/>
            <w:shd w:val="clear" w:color="auto" w:fill="F7F9FB"/>
            <w:vAlign w:val="center"/>
          </w:tcPr>
          <w:p>
            <w:pPr>
              <w:keepNext/>
              <w:spacing w:after="0"/>
            </w:pPr>
            <w:r>
              <w:rPr>
                <w:rFonts w:ascii="Calibri" w:hAnsi="Calibri"/>
                <w:b/>
                <w:i w:val="0"/>
                <w:color w:val="222222"/>
                <w:sz w:val="20"/>
              </w:rPr>
              <w:t>GluCl block</w:t>
            </w:r>
          </w:p>
        </w:tc>
        <w:tc>
          <w:tcPr>
            <w:tcW w:type="dxa" w:w="5330"/>
            <w:shd w:val="clear" w:color="auto" w:fill="F7F9FB"/>
            <w:vAlign w:val="center"/>
          </w:tcPr>
          <w:p>
            <w:pPr>
              <w:keepNext/>
              <w:spacing w:after="0"/>
              <w:jc w:val="center"/>
            </w:pPr>
            <w:r>
              <w:rPr>
                <w:rFonts w:ascii="Calibri" w:hAnsi="Calibri"/>
                <w:b w:val="0"/>
                <w:i w:val="0"/>
                <w:color w:val="222222"/>
                <w:sz w:val="20"/>
              </w:rPr>
              <w:t>0.263</w:t>
            </w:r>
          </w:p>
        </w:tc>
      </w:tr>
      <w:tr>
        <w:trPr>
          <w:cantSplit/>
        </w:trPr>
        <w:tc>
          <w:tcPr>
            <w:tcW w:type="dxa" w:w="3166"/>
            <w:shd w:val="clear" w:color="auto" w:fill="FFFFFF"/>
            <w:vAlign w:val="center"/>
          </w:tcPr>
          <w:p>
            <w:pPr>
              <w:keepNext w:val="0"/>
              <w:spacing w:after="0"/>
            </w:pPr>
            <w:r>
              <w:rPr>
                <w:rFonts w:ascii="Calibri" w:hAnsi="Calibri"/>
                <w:b/>
                <w:i w:val="0"/>
                <w:color w:val="222222"/>
                <w:sz w:val="20"/>
              </w:rPr>
              <w:t>Acetylcholine block</w:t>
            </w:r>
          </w:p>
        </w:tc>
        <w:tc>
          <w:tcPr>
            <w:tcW w:type="dxa" w:w="5330"/>
            <w:shd w:val="clear" w:color="auto" w:fill="FFFFFF"/>
            <w:vAlign w:val="center"/>
          </w:tcPr>
          <w:p>
            <w:pPr>
              <w:keepNext w:val="0"/>
              <w:spacing w:after="0"/>
              <w:jc w:val="center"/>
            </w:pPr>
            <w:r>
              <w:rPr>
                <w:rFonts w:ascii="Calibri" w:hAnsi="Calibri"/>
                <w:b w:val="0"/>
                <w:i w:val="0"/>
                <w:color w:val="222222"/>
                <w:sz w:val="20"/>
              </w:rPr>
              <w:t>0.304</w:t>
            </w:r>
          </w:p>
        </w:tc>
      </w:tr>
    </w:tbl>
    <w:p>
      <w:pPr>
        <w:spacing w:after="80"/>
      </w:pPr>
    </w:p>
    <w:p>
      <w:pPr>
        <w:spacing w:after="120"/>
      </w:pPr>
      <w:r>
        <w:rPr>
          <w:rFonts w:ascii="Calibri" w:hAnsi="Calibri"/>
          <w:b w:val="0"/>
          <w:i w:val="0"/>
          <w:color w:val="222222"/>
          <w:sz w:val="21"/>
        </w:rPr>
        <w:t>Real chips in the asset vary between untreated recordings by up to 0.156 (Kapucu's vehicle controls, 95th percentile) and 1.752 (Vassallo's inactive compounds). At the better of the two, a chip would flag acetylcholine block, GluCl block and GABA potentiation in time, but not GABA block or a raised threshold; at the worse, none of the five. GABA block was the hardest family to catch in the second brain as well. The practical reading is a specification, not a verdict: an assay meant to catch disinhibition before it reaches behaviour must resolve firing-rate changes of a few percent.</w:t>
      </w:r>
    </w:p>
    <w:p>
      <w:pPr>
        <w:spacing w:after="120"/>
      </w:pPr>
      <w:r>
        <w:rPr>
          <w:rFonts w:ascii="Calibri" w:hAnsi="Calibri"/>
          <w:b/>
          <w:i w:val="0"/>
          <w:color w:val="156082"/>
          <w:sz w:val="21"/>
        </w:rPr>
        <w:t>A tempting fix that is noise.</w:t>
      </w:r>
      <w:r>
        <w:rPr>
          <w:rFonts w:ascii="Calibri" w:hAnsi="Calibri"/>
          <w:b w:val="0"/>
          <w:i w:val="0"/>
          <w:color w:val="222222"/>
          <w:sz w:val="21"/>
        </w:rPr>
        <w:t xml:space="preserve"> In the first sweep, network-burst rate crossed the threshold at or before behaviour in every family. We registered a confirmation, on fresh seeds and on the second brain, before seeing either. Out of sample it crossed early in 8 of 10 family tests against 3 for firing rate, and two of the four registered tests passed. Then we checked what the registration had not: two groups of </w:t>
      </w:r>
      <w:r>
        <w:rPr>
          <w:rFonts w:ascii="Calibri" w:hAnsi="Calibri"/>
          <w:b w:val="0"/>
          <w:i/>
          <w:color w:val="222222"/>
          <w:sz w:val="21"/>
        </w:rPr>
        <w:t>untreated</w:t>
      </w:r>
      <w:r>
        <w:rPr>
          <w:rFonts w:ascii="Calibri" w:hAnsi="Calibri"/>
          <w:b w:val="0"/>
          <w:i w:val="0"/>
          <w:color w:val="222222"/>
          <w:sz w:val="21"/>
        </w:rPr>
        <w:t xml:space="preserve"> recordings already differ by the threshold in a fraction 0.382 of random splits, while for firing rate the untreated 95th percentile is 0.028 log2. Trains shifted in time, which keeps every rate and breaks every coincidence, still yield network bursts. Network-burst rate looked early because it is noisy, not because it sees more.</w:t>
      </w:r>
    </w:p>
    <w:p>
      <w:pPr>
        <w:keepNext/>
        <w:spacing w:after="120"/>
      </w:pPr>
      <w:r>
        <w:rPr>
          <w:rFonts w:ascii="Calibri" w:hAnsi="Calibri"/>
          <w:b/>
          <w:i w:val="0"/>
          <w:color w:val="156082"/>
          <w:sz w:val="21"/>
        </w:rPr>
        <w:t>Where to put the electrode.</w:t>
      </w:r>
      <w:r>
        <w:rPr>
          <w:rFonts w:ascii="Calibri" w:hAnsi="Calibri"/>
          <w:b w:val="0"/>
          <w:i w:val="0"/>
          <w:color w:val="222222"/>
          <w:sz w:val="21"/>
        </w:rPr>
        <w:t xml:space="preserve"> The fly's descending neurons carry the brain's output down the neck to the nerve cord: a bundle of axons between two compartments, which is what a chip's microchannels are. We registered a test before recording them (</w:t>
      </w:r>
      <w:r>
        <w:rPr>
          <w:rFonts w:ascii="Consolas" w:hAnsi="Consolas"/>
          <w:b w:val="0"/>
          <w:i w:val="0"/>
          <w:color w:val="222222"/>
          <w:sz w:val="19"/>
        </w:rPr>
        <w:t>preregistration/fly_output_tract_electrode.json</w:t>
      </w:r>
      <w:r>
        <w:rPr>
          <w:rFonts w:ascii="Calibri" w:hAnsi="Calibri"/>
          <w:b w:val="0"/>
          <w:i w:val="0"/>
          <w:color w:val="222222"/>
          <w:sz w:val="21"/>
        </w:rPr>
        <w:t>): read the same spontaneous recordings through 64 single-unit electrodes on descending neurons and through 64 electrodes drawn from the planar array, at one threshold set by real-chip noise. All four registered predictions passed. Under GABA block, at the dose where behaviour first fails, the tract's firing rate has moved by 0.361 log2 against 0.044 for the equal-count planar array and 0.149 for the full one. The tract flags 3 of the five families no later than behaviour, against 2, and never false-alarms on untreated recordings (rate 0.0). Two checks we added after it passed temper it without overturning it. Which 64 neurons the electrodes hear matters: over ten random draws of each array, the tract is ahead in 7 of the 10 draws. And the result does not come from the overlap between the tract and one behaviour readout, which counts descending neurons: leaving that readout out changes nothing. This agrees with what real devices showed in §15, from the other side: there, chamber electrodes could not tell which way axons fired and only electrodes inside the microchannels could; here, an electrode on the output tract sees the circuit fail sooner than one on the tissue around it.</w:t>
      </w:r>
    </w:p>
    <w:p>
      <w:pPr>
        <w:keepNext/>
        <w:spacing w:before="120" w:after="40"/>
        <w:jc w:val="center"/>
      </w:pPr>
      <w:r>
        <w:drawing>
          <wp:inline xmlns:a="http://schemas.openxmlformats.org/drawingml/2006/main" xmlns:pic="http://schemas.openxmlformats.org/drawingml/2006/picture">
            <wp:extent cx="4585716" cy="2152592"/>
            <wp:docPr id="17" name="Picture 17"/>
            <wp:cNvGraphicFramePr>
              <a:graphicFrameLocks noChangeAspect="1"/>
            </wp:cNvGraphicFramePr>
            <a:graphic>
              <a:graphicData uri="http://schemas.openxmlformats.org/drawingml/2006/picture">
                <pic:pic>
                  <pic:nvPicPr>
                    <pic:cNvPr id="0" name="fly_output_tract_SIMULATED.png"/>
                    <pic:cNvPicPr/>
                  </pic:nvPicPr>
                  <pic:blipFill>
                    <a:blip r:embed="rId29"/>
                    <a:stretch>
                      <a:fillRect/>
                    </a:stretch>
                  </pic:blipFill>
                  <pic:spPr>
                    <a:xfrm>
                      <a:off x="0" y="0"/>
                      <a:ext cx="4585716" cy="2152592"/>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Firing-rate change at behavioural onset in the SIMULATED fly brain, per drug family, read through the full planar array, 64 of its electrodes, and 64 electrodes on the descending neurons of the output tract, against a threshold set by REAL chip noise.</w:t>
      </w:r>
    </w:p>
    <w:p>
      <w:pPr>
        <w:keepNext/>
        <w:spacing w:before="240" w:after="60"/>
      </w:pPr>
      <w:r>
        <w:rPr>
          <w:rFonts w:ascii="Calibri" w:hAnsi="Calibri"/>
          <w:b/>
          <w:i w:val="0"/>
          <w:color w:val="1F4E79"/>
          <w:sz w:val="23"/>
        </w:rPr>
        <w:t>25. Direction between regions, and a second brain</w:t>
      </w:r>
    </w:p>
    <w:p>
      <w:pPr>
        <w:keepNext/>
        <w:spacing w:before="120" w:after="40"/>
        <w:jc w:val="center"/>
      </w:pPr>
      <w:r>
        <w:drawing>
          <wp:inline xmlns:a="http://schemas.openxmlformats.org/drawingml/2006/main" xmlns:pic="http://schemas.openxmlformats.org/drawingml/2006/picture">
            <wp:extent cx="4855464" cy="2127521"/>
            <wp:docPr id="18" name="Picture 18"/>
            <wp:cNvGraphicFramePr>
              <a:graphicFrameLocks noChangeAspect="1"/>
            </wp:cNvGraphicFramePr>
            <a:graphic>
              <a:graphicData uri="http://schemas.openxmlformats.org/drawingml/2006/picture">
                <pic:pic>
                  <pic:nvPicPr>
                    <pic:cNvPr id="0" name="fly_direction_SIMULATED.png"/>
                    <pic:cNvPicPr/>
                  </pic:nvPicPr>
                  <pic:blipFill>
                    <a:blip r:embed="rId30"/>
                    <a:stretch>
                      <a:fillRect/>
                    </a:stretch>
                  </pic:blipFill>
                  <pic:spPr>
                    <a:xfrm>
                      <a:off x="0" y="0"/>
                      <a:ext cx="4855464" cy="2127521"/>
                    </a:xfrm>
                    <a:prstGeom prst="rect"/>
                  </pic:spPr>
                </pic:pic>
              </a:graphicData>
            </a:graphic>
          </wp:inline>
        </w:drawing>
      </w:r>
    </w:p>
    <w:p>
      <w:pPr>
        <w:spacing w:after="200"/>
        <w:jc w:val="center"/>
      </w:pPr>
      <w:r>
        <w:rPr>
          <w:rFonts w:ascii="Calibri" w:hAnsi="Calibri"/>
          <w:b/>
          <w:i/>
          <w:color w:val="222222"/>
          <w:sz w:val="17"/>
        </w:rPr>
        <w:t xml:space="preserve">Figure 18. </w:t>
      </w:r>
      <w:r>
        <w:rPr>
          <w:rFonts w:ascii="Calibri" w:hAnsi="Calibri"/>
          <w:b w:val="0"/>
          <w:i/>
          <w:color w:val="222222"/>
          <w:sz w:val="17"/>
        </w:rPr>
        <w:t>Region-to-region direction in the SIMULATED fly brain. Each point is a pair of brain regions joined by many synapses; the horizontal axis is the connectome's true asymmetry, the vertical the measured one. Left: the chip's cross-correlation measure on spontaneous activity. Right: pulsed stimulation of one region, read shortly after each pulse.</w:t>
      </w:r>
    </w:p>
    <w:p>
      <w:pPr>
        <w:spacing w:after="120"/>
      </w:pPr>
      <w:r>
        <w:rPr>
          <w:rFonts w:ascii="Calibri" w:hAnsi="Calibri"/>
          <w:b w:val="0"/>
          <w:i w:val="0"/>
          <w:color w:val="222222"/>
          <w:sz w:val="21"/>
        </w:rPr>
        <w:t>§15 and §17 found that a chamber-level measure does not recover direction on real devices whose axons are instrumented. The fly brain repeats that test where the answer is known for every pair of regions. On spontaneous activity, the chip's cross-correlation measure gets the direction of strongly asymmetric pairs right at chance (0.4946). Pulsed stimulation of one region, read shortly after each pulse, does better (0.6222) but misses the registered target, and read through the array's electrodes alone it falls back to chance (0.4889).</w:t>
      </w:r>
    </w:p>
    <w:p>
      <w:pPr>
        <w:spacing w:after="120"/>
      </w:pPr>
      <w:r>
        <w:rPr>
          <w:rFonts w:ascii="Calibri" w:hAnsi="Calibri"/>
          <w:b/>
          <w:i w:val="0"/>
          <w:color w:val="156082"/>
          <w:sz w:val="21"/>
        </w:rPr>
        <w:t>A second brain agrees.</w:t>
      </w:r>
      <w:r>
        <w:rPr>
          <w:rFonts w:ascii="Calibri" w:hAnsi="Calibri"/>
          <w:b w:val="0"/>
          <w:i w:val="0"/>
          <w:color w:val="222222"/>
          <w:sz w:val="21"/>
        </w:rPr>
        <w:t xml:space="preserve"> The male central nervous system connectome (MaleCNS: brain and nerve cord, an independent reconstruction of a male fly; 165,122 neurons and 25,563,096 connections) was run under the same design, with the published neuron sets matched by cell type and side. All five registered replication tests pass: sugar drives MN9 at 31.625 Hz and bitter suppresses it; GABA block releases it; acetylcholine block silences the outputs; and the chip's firing-rate change again tracks behavioural disruption (Spearman 0.878).</w:t>
      </w:r>
    </w:p>
    <w:p>
      <w:pPr>
        <w:keepNext/>
        <w:spacing w:after="120"/>
      </w:pPr>
      <w:r>
        <w:rPr>
          <w:rFonts w:ascii="Calibri" w:hAnsi="Calibri"/>
          <w:b/>
          <w:i w:val="0"/>
          <w:color w:val="156082"/>
          <w:sz w:val="21"/>
        </w:rPr>
        <w:t>One step closer to behaviour: motor neurons.</w:t>
      </w:r>
      <w:r>
        <w:rPr>
          <w:rFonts w:ascii="Calibri" w:hAnsi="Calibri"/>
          <w:b w:val="0"/>
          <w:i w:val="0"/>
          <w:color w:val="222222"/>
          <w:sz w:val="21"/>
        </w:rPr>
        <w:t xml:space="preserve"> The behaviour readouts above are named interneurons, MN9 excepted. The male connectome includes the nerve cord, so the same protocols can be read at the motor neurons that move the body: the 67 proboscis motor neurons for feeding and its bitter gate, the 135 front-leg motor neurons for antennal grooming, and how many of all 815 motor neurons a drive recruits. We registered the test before running it (</w:t>
      </w:r>
      <w:r>
        <w:rPr>
          <w:rFonts w:ascii="Consolas" w:hAnsi="Consolas"/>
          <w:b w:val="0"/>
          <w:i w:val="0"/>
          <w:color w:val="222222"/>
          <w:sz w:val="19"/>
        </w:rPr>
        <w:t>preregistration/fly_motor_readout.json</w:t>
      </w:r>
      <w:r>
        <w:rPr>
          <w:rFonts w:ascii="Calibri" w:hAnsi="Calibri"/>
          <w:b w:val="0"/>
          <w:i w:val="0"/>
          <w:color w:val="222222"/>
          <w:sz w:val="21"/>
        </w:rPr>
        <w:t>), repeating the replication's trials with the same seeds, so its interneuron readouts had to come back unchanged; they did (largest difference 0.0). The pools carry the behaviours: sugar drives the proboscis pool at 31.405 Hz and bitter cuts it to 5.625 Hz; antennal drive moves the front legs at 5.023 Hz against 2.394 under sugar. Six of the seven registered predictions passed: GABA block releases the gate at the motor level, acetylcholine block silences motor output, and the chip's firing-rate change tracks motor disruption (Spearman 0.8922). The one that failed was the chip-is-late prediction, and narrowly: the chip flagged the drug after motor output was impaired in 3 families and at the same dose in 2, where the test needed four. It was never earlier (0 families). Motor output failed no later than the interneuron readouts in every family, and earlier under acetylcholine block. Read at the motor level, then, the chip is not ahead of behaviour, it is at best level with it.</w:t>
      </w:r>
    </w:p>
    <w:p>
      <w:pPr>
        <w:keepNext/>
        <w:spacing w:before="120" w:after="40"/>
        <w:jc w:val="center"/>
      </w:pPr>
      <w:r>
        <w:drawing>
          <wp:inline xmlns:a="http://schemas.openxmlformats.org/drawingml/2006/main" xmlns:pic="http://schemas.openxmlformats.org/drawingml/2006/picture">
            <wp:extent cx="4046220" cy="2166892"/>
            <wp:docPr id="19" name="Picture 19"/>
            <wp:cNvGraphicFramePr>
              <a:graphicFrameLocks noChangeAspect="1"/>
            </wp:cNvGraphicFramePr>
            <a:graphic>
              <a:graphicData uri="http://schemas.openxmlformats.org/drawingml/2006/picture">
                <pic:pic>
                  <pic:nvPicPr>
                    <pic:cNvPr id="0" name="fly_motor_onsets_SIMULATED.png"/>
                    <pic:cNvPicPr/>
                  </pic:nvPicPr>
                  <pic:blipFill>
                    <a:blip r:embed="rId31"/>
                    <a:stretch>
                      <a:fillRect/>
                    </a:stretch>
                  </pic:blipFill>
                  <pic:spPr>
                    <a:xfrm>
                      <a:off x="0" y="0"/>
                      <a:ext cx="4046220" cy="2166892"/>
                    </a:xfrm>
                    <a:prstGeom prst="rect"/>
                  </pic:spPr>
                </pic:pic>
              </a:graphicData>
            </a:graphic>
          </wp:inline>
        </w:drawing>
      </w:r>
    </w:p>
    <w:p>
      <w:pPr>
        <w:spacing w:after="200"/>
        <w:jc w:val="center"/>
      </w:pPr>
      <w:r>
        <w:rPr>
          <w:rFonts w:ascii="Calibri" w:hAnsi="Calibri"/>
          <w:b/>
          <w:i/>
          <w:color w:val="222222"/>
          <w:sz w:val="17"/>
        </w:rPr>
        <w:t xml:space="preserve">Figure 19. </w:t>
      </w:r>
      <w:r>
        <w:rPr>
          <w:rFonts w:ascii="Calibri" w:hAnsi="Calibri"/>
          <w:b w:val="0"/>
          <w:i/>
          <w:color w:val="222222"/>
          <w:sz w:val="17"/>
        </w:rPr>
        <w:t>First impairing dose at the interneuron and motor levels, and first chip detection, per drug family, in the SIMULATED male CNS. The chip is never earlier than motor output.</w:t>
      </w:r>
    </w:p>
    <w:p>
      <w:pPr>
        <w:keepNext/>
        <w:spacing w:after="120"/>
      </w:pPr>
      <w:r>
        <w:rPr>
          <w:rFonts w:ascii="Calibri" w:hAnsi="Calibri"/>
          <w:b w:val="0"/>
          <w:i w:val="0"/>
          <w:color w:val="222222"/>
          <w:sz w:val="21"/>
        </w:rPr>
        <w:t>The two ties were a matter of resolution: both onsets fell inside one coarse dose step. So we registered a follow-up before running it (</w:t>
      </w:r>
      <w:r>
        <w:rPr>
          <w:rFonts w:ascii="Consolas" w:hAnsi="Consolas"/>
          <w:b w:val="0"/>
          <w:i w:val="0"/>
          <w:color w:val="222222"/>
          <w:sz w:val="19"/>
        </w:rPr>
        <w:t>preregistration/fly_motor_tie_break.json</w:t>
      </w:r>
      <w:r>
        <w:rPr>
          <w:rFonts w:ascii="Calibri" w:hAnsi="Calibri"/>
          <w:b w:val="0"/>
          <w:i w:val="0"/>
          <w:color w:val="222222"/>
          <w:sz w:val="21"/>
        </w:rPr>
        <w:t>), with four finer levels inside each tied step, the same seeds and the same untreated references; re-running the tied levels reproduced them exactly (largest difference 0.0). The raised threshold resolves: motor output fails at 0.32, the chip detects at 0.4. GABA potentiation stays tied even on the finer grid, both crossing at 0.6; there the chip is within a hair of its threshold one step earlier. The registered follow-up predicted that both ties would resolve with the chip later, so it failed too. MR5 stays failed as registered; read with the follow-up beside it, the chip is later than motor output in 4 families, level in 1 and earlier in 0.</w:t>
      </w:r>
    </w:p>
    <w:p>
      <w:pPr>
        <w:keepNext/>
        <w:spacing w:before="120" w:after="40"/>
        <w:jc w:val="center"/>
      </w:pPr>
      <w:r>
        <w:drawing>
          <wp:inline xmlns:a="http://schemas.openxmlformats.org/drawingml/2006/main" xmlns:pic="http://schemas.openxmlformats.org/drawingml/2006/picture">
            <wp:extent cx="4315968" cy="1820456"/>
            <wp:docPr id="20" name="Picture 20"/>
            <wp:cNvGraphicFramePr>
              <a:graphicFrameLocks noChangeAspect="1"/>
            </wp:cNvGraphicFramePr>
            <a:graphic>
              <a:graphicData uri="http://schemas.openxmlformats.org/drawingml/2006/picture">
                <pic:pic>
                  <pic:nvPicPr>
                    <pic:cNvPr id="0" name="fly_motor_tie_break_SIMULATED.png"/>
                    <pic:cNvPicPr/>
                  </pic:nvPicPr>
                  <pic:blipFill>
                    <a:blip r:embed="rId32"/>
                    <a:stretch>
                      <a:fillRect/>
                    </a:stretch>
                  </pic:blipFill>
                  <pic:spPr>
                    <a:xfrm>
                      <a:off x="0" y="0"/>
                      <a:ext cx="4315968" cy="1820456"/>
                    </a:xfrm>
                    <a:prstGeom prst="rect"/>
                  </pic:spPr>
                </pic:pic>
              </a:graphicData>
            </a:graphic>
          </wp:inline>
        </w:drawing>
      </w:r>
    </w:p>
    <w:p>
      <w:pPr>
        <w:spacing w:after="200"/>
        <w:jc w:val="center"/>
      </w:pPr>
      <w:r>
        <w:rPr>
          <w:rFonts w:ascii="Calibri" w:hAnsi="Calibri"/>
          <w:b/>
          <w:i/>
          <w:color w:val="222222"/>
          <w:sz w:val="17"/>
        </w:rPr>
        <w:t xml:space="preserve">Figure 20. </w:t>
      </w:r>
      <w:r>
        <w:rPr>
          <w:rFonts w:ascii="Calibri" w:hAnsi="Calibri"/>
          <w:b w:val="0"/>
          <w:i/>
          <w:color w:val="222222"/>
          <w:sz w:val="17"/>
        </w:rPr>
        <w:t>Chip firing-rate change and motor disruption across the two tied dose steps, on a finer grid, in the SIMULATED male CNS; dashed line, the 0.5 threshold both are read against.</w:t>
      </w:r>
    </w:p>
    <w:p>
      <w:pPr>
        <w:keepNext/>
        <w:spacing w:before="240" w:after="60"/>
      </w:pPr>
      <w:r>
        <w:rPr>
          <w:rFonts w:ascii="Calibri" w:hAnsi="Calibri"/>
          <w:b/>
          <w:i w:val="0"/>
          <w:color w:val="1F4E79"/>
          <w:sz w:val="23"/>
        </w:rPr>
        <w:t>26. What the fly study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a model.</w:t>
      </w:r>
      <w:r>
        <w:rPr>
          <w:rFonts w:ascii="Calibri" w:hAnsi="Calibri"/>
          <w:b w:val="0"/>
          <w:i w:val="0"/>
          <w:color w:val="222222"/>
          <w:sz w:val="21"/>
        </w:rPr>
        <w:t xml:space="preserve"> The fly model is a leaky integrate-and-fire network with one free weight, no adaptation and no neuromodulation; it fires asynchronously and does not burst the way a culture does. Its behaviour readouts are firing rates of named neurons, motor neurons included, not movement: there is no body and no sensory feedback. In the male connectome, which has more synapses per neuron under the same weight, any drive recruits a large share of the motor neurons, so off-target recruitment starts high.</w:t>
      </w:r>
    </w:p>
    <w:p>
      <w:pPr>
        <w:spacing w:after="120"/>
        <w:ind w:left="432" w:hanging="259"/>
      </w:pPr>
      <w:r>
        <w:rPr>
          <w:rFonts w:ascii="Calibri" w:hAnsi="Calibri"/>
          <w:b w:val="0"/>
          <w:i w:val="0"/>
          <w:color w:val="222222"/>
          <w:sz w:val="21"/>
        </w:rPr>
        <w:t>•</w:t>
        <w:tab/>
      </w:r>
      <w:r>
        <w:rPr>
          <w:rFonts w:ascii="Calibri" w:hAnsi="Calibri"/>
          <w:b/>
          <w:i w:val="0"/>
          <w:color w:val="156082"/>
          <w:sz w:val="21"/>
        </w:rPr>
        <w:t>The knobs scale whole transmitter classes.</w:t>
      </w:r>
      <w:r>
        <w:rPr>
          <w:rFonts w:ascii="Calibri" w:hAnsi="Calibri"/>
          <w:b w:val="0"/>
          <w:i w:val="0"/>
          <w:color w:val="222222"/>
          <w:sz w:val="21"/>
        </w:rPr>
        <w:t xml:space="preserve"> A real compound acts on particular receptor subunits, with its own potency and off-target effects. Nothing here says what any compound does to a fly, a culture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precision table is exploratory.</w:t>
      </w:r>
      <w:r>
        <w:rPr>
          <w:rFonts w:ascii="Calibri" w:hAnsi="Calibri"/>
          <w:b w:val="0"/>
          <w:i w:val="0"/>
          <w:color w:val="222222"/>
          <w:sz w:val="21"/>
        </w:rPr>
        <w:t xml:space="preserve"> It depends on the disruption index and the registered threshold, and it was computed after the registered test failed.</w:t>
      </w:r>
    </w:p>
    <w:p>
      <w:pPr>
        <w:spacing w:after="120"/>
        <w:ind w:left="432" w:hanging="259"/>
      </w:pPr>
      <w:r>
        <w:rPr>
          <w:rFonts w:ascii="Calibri" w:hAnsi="Calibri"/>
          <w:b w:val="0"/>
          <w:i w:val="0"/>
          <w:color w:val="222222"/>
          <w:sz w:val="21"/>
        </w:rPr>
        <w:t>•</w:t>
        <w:tab/>
      </w:r>
      <w:r>
        <w:rPr>
          <w:rFonts w:ascii="Calibri" w:hAnsi="Calibri"/>
          <w:b/>
          <w:i w:val="0"/>
          <w:color w:val="156082"/>
          <w:sz w:val="21"/>
        </w:rPr>
        <w:t>The real-chip noise floors</w:t>
      </w:r>
      <w:r>
        <w:rPr>
          <w:rFonts w:ascii="Calibri" w:hAnsi="Calibri"/>
          <w:b w:val="0"/>
          <w:i w:val="0"/>
          <w:color w:val="222222"/>
          <w:sz w:val="21"/>
        </w:rPr>
        <w:t xml:space="preserve"> come from two sources with very different spreads, one of them from few recordings.</w:t>
      </w:r>
    </w:p>
    <w:p>
      <w:pPr>
        <w:spacing w:after="120"/>
      </w:pPr>
      <w:r>
        <w:rPr>
          <w:rFonts w:ascii="Calibri" w:hAnsi="Calibri"/>
          <w:b w:val="0"/>
          <w:i w:val="0"/>
          <w:color w:val="222222"/>
          <w:sz w:val="21"/>
        </w:rPr>
        <w:t xml:space="preserve">The study runs with </w:t>
      </w:r>
      <w:r>
        <w:rPr>
          <w:rFonts w:ascii="Consolas" w:hAnsi="Consolas"/>
          <w:b w:val="0"/>
          <w:i w:val="0"/>
          <w:color w:val="222222"/>
          <w:sz w:val="19"/>
        </w:rPr>
        <w:t>python run_all.py --stage fly</w:t>
      </w:r>
      <w:r>
        <w:rPr>
          <w:rFonts w:ascii="Calibri" w:hAnsi="Calibri"/>
          <w:b w:val="0"/>
          <w:i w:val="0"/>
          <w:color w:val="222222"/>
          <w:sz w:val="21"/>
        </w:rPr>
        <w:t xml:space="preserve"> (the licensed files are fetched first); </w:t>
      </w:r>
      <w:r>
        <w:rPr>
          <w:rFonts w:ascii="Consolas" w:hAnsi="Consolas"/>
          <w:b w:val="0"/>
          <w:i w:val="0"/>
          <w:color w:val="222222"/>
          <w:sz w:val="19"/>
        </w:rPr>
        <w:t>python -m neuromps.fly.replication</w:t>
      </w:r>
      <w:r>
        <w:rPr>
          <w:rFonts w:ascii="Calibri" w:hAnsi="Calibri"/>
          <w:b w:val="0"/>
          <w:i w:val="0"/>
          <w:color w:val="222222"/>
          <w:sz w:val="21"/>
        </w:rPr>
        <w:t xml:space="preserve">, </w:t>
      </w:r>
      <w:r>
        <w:rPr>
          <w:rFonts w:ascii="Consolas" w:hAnsi="Consolas"/>
          <w:b w:val="0"/>
          <w:i w:val="0"/>
          <w:color w:val="222222"/>
          <w:sz w:val="19"/>
        </w:rPr>
        <w:t>python -m neuromps.fly.confirm</w:t>
      </w:r>
      <w:r>
        <w:rPr>
          <w:rFonts w:ascii="Calibri" w:hAnsi="Calibri"/>
          <w:b w:val="0"/>
          <w:i w:val="0"/>
          <w:color w:val="222222"/>
          <w:sz w:val="21"/>
        </w:rPr>
        <w:t xml:space="preserve"> and </w:t>
      </w:r>
      <w:r>
        <w:rPr>
          <w:rFonts w:ascii="Consolas" w:hAnsi="Consolas"/>
          <w:b w:val="0"/>
          <w:i w:val="0"/>
          <w:color w:val="222222"/>
          <w:sz w:val="19"/>
        </w:rPr>
        <w:t>python -m neuromps.fly.checks</w:t>
      </w:r>
      <w:r>
        <w:rPr>
          <w:rFonts w:ascii="Calibri" w:hAnsi="Calibri"/>
          <w:b w:val="0"/>
          <w:i w:val="0"/>
          <w:color w:val="222222"/>
          <w:sz w:val="21"/>
        </w:rPr>
        <w:t xml:space="preserve"> run the two addenda and the noise checks. The demo app's fourth tab shows the sweep with a dose slider.</w:t>
      </w:r>
    </w:p>
    <w:p>
      <w:pPr>
        <w:keepNext/>
        <w:spacing w:before="360" w:after="120"/>
      </w:pPr>
      <w:r>
        <w:rPr>
          <w:rFonts w:ascii="Calibri" w:hAnsi="Calibri"/>
          <w:b/>
          <w:i w:val="0"/>
          <w:color w:val="2F5597"/>
          <w:sz w:val="27"/>
        </w:rPr>
        <w:t>ACT VIII: The embodied fly (after round 1)</w:t>
      </w:r>
    </w:p>
    <w:p>
      <w:pPr>
        <w:spacing w:after="120"/>
      </w:pPr>
      <w:r>
        <w:rPr>
          <w:rFonts w:ascii="Calibri" w:hAnsi="Calibri"/>
          <w:b w:val="0"/>
          <w:i w:val="0"/>
          <w:color w:val="222222"/>
          <w:sz w:val="21"/>
        </w:rPr>
        <w:t>Act VII read behaviour as the firing of named neurons. This act gives the simulated fly a body and asks whether Act VII's answer survives: does the chip still flag a drug before behaviour fails when behaviour is movement? Every stage below was registered before it ran; the roadmap document (</w:t>
      </w:r>
      <w:r>
        <w:rPr>
          <w:rFonts w:ascii="Consolas" w:hAnsi="Consolas"/>
          <w:b w:val="0"/>
          <w:i w:val="0"/>
          <w:color w:val="222222"/>
          <w:sz w:val="19"/>
        </w:rPr>
        <w:t>report/ROADMAP_EMBODIED_FLY.md</w:t>
      </w:r>
      <w:r>
        <w:rPr>
          <w:rFonts w:ascii="Calibri" w:hAnsi="Calibri"/>
          <w:b w:val="0"/>
          <w:i w:val="0"/>
          <w:color w:val="222222"/>
          <w:sz w:val="21"/>
        </w:rPr>
        <w:t xml:space="preserve">, §7) carries each stage in full, including the failures, and </w:t>
      </w:r>
      <w:r>
        <w:rPr>
          <w:rFonts w:ascii="Consolas" w:hAnsi="Consolas"/>
          <w:b w:val="0"/>
          <w:i w:val="0"/>
          <w:color w:val="222222"/>
          <w:sz w:val="19"/>
        </w:rPr>
        <w:t>report/DECISION_LOG.md</w:t>
      </w:r>
      <w:r>
        <w:rPr>
          <w:rFonts w:ascii="Calibri" w:hAnsi="Calibri"/>
          <w:b w:val="0"/>
          <w:i w:val="0"/>
          <w:color w:val="222222"/>
          <w:sz w:val="21"/>
        </w:rPr>
        <w:t xml:space="preserve"> records every choice of path. Everything here is simulated.</w:t>
      </w:r>
    </w:p>
    <w:p>
      <w:pPr>
        <w:keepNext/>
        <w:spacing w:before="240" w:after="60"/>
      </w:pPr>
      <w:r>
        <w:rPr>
          <w:rFonts w:ascii="Calibri" w:hAnsi="Calibri"/>
          <w:b/>
          <w:i w:val="0"/>
          <w:color w:val="1F4E79"/>
          <w:sz w:val="23"/>
        </w:rPr>
        <w:t>27. A body for the simulated fly</w:t>
      </w:r>
    </w:p>
    <w:p>
      <w:pPr>
        <w:spacing w:after="120"/>
      </w:pPr>
      <w:r>
        <w:rPr>
          <w:rFonts w:ascii="Calibri" w:hAnsi="Calibri"/>
          <w:b w:val="0"/>
          <w:i w:val="0"/>
          <w:color w:val="222222"/>
          <w:sz w:val="21"/>
        </w:rPr>
        <w:t>The male nerve cord (male CNS connectome) drives a muscle-driven front leg (FlyMimic, in MuJoCo) through a motor-neuron-to-muscle map built from published names; the FlyWire brain drives the proboscis of a whole-fly model (flybody) through the motor neurons of each proboscis muscle. The two connectomes are joined where each model is validated: the FlyWire brain's descending spikes are replayed into the male nerve cord, matched by cell type and side. Antennal input to the brain then brings the claw to 0.5369 mm of the antenna, sugar input only to 0.9377 mm, and removing the two antennal-grooming descending neuron types alone leaves it at 1.4793 mm. Sugar input extends the proboscis fully (0.3431 mm of a possible 0.3428), and adding bitter input halves the peak (0.1618 mm).</w:t>
      </w:r>
    </w:p>
    <w:p>
      <w:pPr>
        <w:keepNext/>
        <w:spacing w:before="240" w:after="60"/>
      </w:pPr>
      <w:r>
        <w:rPr>
          <w:rFonts w:ascii="Calibri" w:hAnsi="Calibri"/>
          <w:b/>
          <w:i w:val="0"/>
          <w:color w:val="1F4E79"/>
          <w:sz w:val="23"/>
        </w:rPr>
        <w:t>28. Walking: what the wiring does and does not do</w:t>
      </w:r>
    </w:p>
    <w:p>
      <w:pPr>
        <w:spacing w:after="120"/>
      </w:pPr>
      <w:r>
        <w:rPr>
          <w:rFonts w:ascii="Calibri" w:hAnsi="Calibri"/>
          <w:b w:val="0"/>
          <w:i w:val="0"/>
          <w:color w:val="222222"/>
          <w:sz w:val="21"/>
        </w:rPr>
        <w:t>The male nerve cord, run as leaky integrate-and-fire neurons, does not turn its walking command into a rhythm: not as published, not with spike-frequency adaptation swept over a registered grid, not with either of two rules for where glutamate excites. A firing-rate model published for this question (Pugliese et al. 2025), reimplemented and built on the male CNS as its authors build it, does produce a front-leg motor rhythm under the walking command: a corrected rhythm score of 0.8886 at a period of 196.5 ms without size scaling, and silencing the published three-neuron circuit removes it (0.0). With the published size rule, neuron volume, fetched later from the male CNS release, the circuit's necessity reproduces too (silenced: 0.0115); a registered check finds no rhythm when the volumes are shuffled across neurons, so the rhythm needs the identified neurons' own volumes. A promotor-remotor offset seen once did not replicate reliably, and neither model alternates antagonist muscles. One earlier claim was withdrawn on the way: the rhythm measure registered since the first leg stage took the largest autocorrelation without requiring a peak, so smooth movements scored as rhythmic; a registered audit with a corrected measure reproduced every recorded outcome and reversed one (that walking drive "swings" the leg).</w:t>
      </w:r>
    </w:p>
    <w:p>
      <w:pPr>
        <w:keepNext/>
        <w:spacing w:before="240" w:after="60"/>
      </w:pPr>
      <w:r>
        <w:rPr>
          <w:rFonts w:ascii="Calibri" w:hAnsi="Calibri"/>
          <w:b/>
          <w:i w:val="0"/>
          <w:color w:val="1F4E79"/>
          <w:sz w:val="23"/>
        </w:rPr>
        <w:t>29. Closing the loop</w:t>
      </w:r>
    </w:p>
    <w:p>
      <w:pPr>
        <w:spacing w:after="120"/>
      </w:pPr>
      <w:r>
        <w:rPr>
          <w:rFonts w:ascii="Calibri" w:hAnsi="Calibri"/>
          <w:b w:val="0"/>
          <w:i w:val="0"/>
          <w:color w:val="222222"/>
          <w:sz w:val="21"/>
        </w:rPr>
        <w:t>Feedback from the front leg's position sensors (the femoral chordotonal claw neurons, identified by type in the male CNS) was closed through the leg every millisecond. It shifts the tibia motor pools toward resisting the movement, but it neither moves a held leg nor returns a pushed one faster: the push returns in 32.0 ms with feedback and 30.0 ms without. The male CNS traces few proprioceptors for the front leg (4 claw neurons on the left, against 22 on the left hind leg), which is the most likely limit. Closed through the well-traced right hind leg instead (25 claw neurons; flybody's servoed tibia), the feedback changes the leg's posture but makes the hold swing, and a registered paired test on fresh seeds found no part of it that speeds the return: resistance sooner than a sham in 14 of 32 seeds.</w:t>
      </w:r>
    </w:p>
    <w:p>
      <w:pPr>
        <w:keepNext/>
        <w:spacing w:before="240" w:after="60"/>
      </w:pPr>
      <w:r>
        <w:rPr>
          <w:rFonts w:ascii="Calibri" w:hAnsi="Calibri"/>
          <w:b/>
          <w:i w:val="0"/>
          <w:color w:val="1F4E79"/>
          <w:sz w:val="23"/>
        </w:rPr>
        <w:t>30. Drugs in the loop: the chip is late at every level</w:t>
      </w:r>
    </w:p>
    <w:p>
      <w:pPr>
        <w:spacing w:after="120"/>
      </w:pPr>
      <w:r>
        <w:rPr>
          <w:rFonts w:ascii="Calibri" w:hAnsi="Calibri"/>
          <w:b w:val="0"/>
          <w:i w:val="0"/>
          <w:color w:val="222222"/>
          <w:sz w:val="21"/>
        </w:rPr>
        <w:t>Act VII's drug design, rerun with movement as the readout (proboscis extension and the grooming reach), gives the same answer. In every family the chip first flags the drug at a higher dose than movement fails: GABA-A block impairs movement at 0.2 of the knob's range and the chip flags it at 0.6; GABA-A potentiation impairs movement at 0.5 and is flagged at 1.0. Movement never fails before the neural readouts of Act VII, and the output-tract electrode no longer leads the planar array at this level. A registered rerun on fresh seeds, against the chip's own fresh-seed replication, finds the chip late again in every family. Left out of the index, the bitter-gated proboscis turns out to carry GABA-A potentiation: without it movement fails only at 1.0, where the chip flags it. A finer registered dose grid keeps the chip late with the full index but leaves that tie in place (both at 0.6). Read through a fictive walking rhythm alone, GABA-A and GluCl block break it well before the chip flags them; whether acetylcholine block is caught first depends on how the rhythm is scored (a registered retest counts its low-dose rise in rhythm as a change at 0.2), so it is not claimed. At the dose where movement first fails the chip has moved by only 0.149 to 0.452 log2 (exploratory), within the noise of real chips. A literature comparison registered before its search found no study that gives adult flies these drugs and scores feeding or grooming movements, so the simulated directions cannot yet be checked against fly pharmacology: the gap names the experiments that would. Simulating the identified neurons such a study manipulated (the front leg's GABAergic 13A and 13B hemilineages) reproduced one published direction for the grooming reach: silencing 13A shortens it to 0.3806 mm. Read at the femur-tibia joint, though, none of the published postures appears (silencing 13A shifts the tibia by -0.1488 rad, toward extension, against a published flexion): in this model the inhibitory leg neurons act as broad brakes, not as joint-specific controllers.</w:t>
      </w:r>
    </w:p>
    <w:p>
      <w:pPr>
        <w:keepNext/>
        <w:spacing w:before="240" w:after="60"/>
      </w:pPr>
      <w:r>
        <w:rPr>
          <w:rFonts w:ascii="Calibri" w:hAnsi="Calibri"/>
          <w:b/>
          <w:i w:val="0"/>
          <w:color w:val="1F4E79"/>
          <w:sz w:val="23"/>
        </w:rPr>
        <w:t>31. What the embodied fly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open loop where it works and weak where it is closed.</w:t>
      </w:r>
      <w:r>
        <w:rPr>
          <w:rFonts w:ascii="Calibri" w:hAnsi="Calibri"/>
          <w:b w:val="0"/>
          <w:i w:val="0"/>
          <w:color w:val="222222"/>
          <w:sz w:val="21"/>
        </w:rPr>
        <w:t xml:space="preserve"> The leg and proboscis results are open loop; the one closed loop runs through four sensory neurons.</w:t>
      </w:r>
    </w:p>
    <w:p>
      <w:pPr>
        <w:spacing w:after="120"/>
        <w:ind w:left="432" w:hanging="259"/>
      </w:pPr>
      <w:r>
        <w:rPr>
          <w:rFonts w:ascii="Calibri" w:hAnsi="Calibri"/>
          <w:b w:val="0"/>
          <w:i w:val="0"/>
          <w:color w:val="222222"/>
          <w:sz w:val="21"/>
        </w:rPr>
        <w:t>•</w:t>
        <w:tab/>
      </w:r>
      <w:r>
        <w:rPr>
          <w:rFonts w:ascii="Calibri" w:hAnsi="Calibri"/>
          <w:b/>
          <w:i w:val="0"/>
          <w:color w:val="156082"/>
          <w:sz w:val="21"/>
        </w:rPr>
        <w:t>The bodies are partial.</w:t>
      </w:r>
      <w:r>
        <w:rPr>
          <w:rFonts w:ascii="Calibri" w:hAnsi="Calibri"/>
          <w:b w:val="0"/>
          <w:i w:val="0"/>
          <w:color w:val="222222"/>
          <w:sz w:val="21"/>
        </w:rPr>
        <w:t xml:space="preserve"> One muscle-driven leg; the proboscis joints are position servos.</w:t>
      </w:r>
    </w:p>
    <w:p>
      <w:pPr>
        <w:spacing w:after="120"/>
        <w:ind w:left="432" w:hanging="259"/>
      </w:pPr>
      <w:r>
        <w:rPr>
          <w:rFonts w:ascii="Calibri" w:hAnsi="Calibri"/>
          <w:b w:val="0"/>
          <w:i w:val="0"/>
          <w:color w:val="222222"/>
          <w:sz w:val="21"/>
        </w:rPr>
        <w:t>•</w:t>
        <w:tab/>
      </w:r>
      <w:r>
        <w:rPr>
          <w:rFonts w:ascii="Calibri" w:hAnsi="Calibri"/>
          <w:b/>
          <w:i w:val="0"/>
          <w:color w:val="156082"/>
          <w:sz w:val="21"/>
        </w:rPr>
        <w:t>The knobs are transmitter-class scalings,</w:t>
      </w:r>
      <w:r>
        <w:rPr>
          <w:rFonts w:ascii="Calibri" w:hAnsi="Calibri"/>
          <w:b w:val="0"/>
          <w:i w:val="0"/>
          <w:color w:val="222222"/>
          <w:sz w:val="21"/>
        </w:rPr>
        <w:t xml:space="preserve"> as in Act VII; nothing here says what any compound does to a fly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walking result is a negative for one model class</w:t>
      </w:r>
      <w:r>
        <w:rPr>
          <w:rFonts w:ascii="Calibri" w:hAnsi="Calibri"/>
          <w:b w:val="0"/>
          <w:i w:val="0"/>
          <w:color w:val="222222"/>
          <w:sz w:val="21"/>
        </w:rPr>
        <w:t xml:space="preserve"> and a reimplementation of another group's model; neither produces coordinated walking.</w:t>
      </w:r>
    </w:p>
    <w:p>
      <w:pPr>
        <w:spacing w:after="120"/>
      </w:pPr>
      <w:r>
        <w:rPr>
          <w:rFonts w:ascii="Calibri" w:hAnsi="Calibri"/>
          <w:b w:val="0"/>
          <w:i w:val="0"/>
          <w:color w:val="222222"/>
          <w:sz w:val="21"/>
        </w:rPr>
        <w:t xml:space="preserve">The stages run with </w:t>
      </w:r>
      <w:r>
        <w:rPr>
          <w:rFonts w:ascii="Consolas" w:hAnsi="Consolas"/>
          <w:b w:val="0"/>
          <w:i w:val="0"/>
          <w:color w:val="222222"/>
          <w:sz w:val="19"/>
        </w:rPr>
        <w:t>python run_all.py --stage embodied</w:t>
      </w:r>
      <w:r>
        <w:rPr>
          <w:rFonts w:ascii="Calibri" w:hAnsi="Calibri"/>
          <w:b w:val="0"/>
          <w:i w:val="0"/>
          <w:color w:val="222222"/>
          <w:sz w:val="21"/>
        </w:rPr>
        <w:t xml:space="preserve"> (or one at a time through </w:t>
      </w:r>
      <w:r>
        <w:rPr>
          <w:rFonts w:ascii="Consolas" w:hAnsi="Consolas"/>
          <w:b w:val="0"/>
          <w:i w:val="0"/>
          <w:color w:val="222222"/>
          <w:sz w:val="19"/>
        </w:rPr>
        <w:t>python -m neuromps.fly.pipeline</w:t>
      </w:r>
      <w:r>
        <w:rPr>
          <w:rFonts w:ascii="Calibri" w:hAnsi="Calibri"/>
          <w:b w:val="0"/>
          <w:i w:val="0"/>
          <w:color w:val="222222"/>
          <w:sz w:val="21"/>
        </w:rPr>
        <w:t>).</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21" name="Picture 21"/>
            <wp:cNvGraphicFramePr>
              <a:graphicFrameLocks noChangeAspect="1"/>
            </wp:cNvGraphicFramePr>
            <a:graphic>
              <a:graphicData uri="http://schemas.openxmlformats.org/drawingml/2006/picture">
                <pic:pic>
                  <pic:nvPicPr>
                    <pic:cNvPr id="0" name="hd14_posterior_ranks_simulated.png"/>
                    <pic:cNvPicPr/>
                  </pic:nvPicPr>
                  <pic:blipFill>
                    <a:blip r:embed="rId33"/>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21. </w:t>
      </w:r>
      <w:r>
        <w:rPr>
          <w:rFonts w:ascii="Calibri" w:hAnsi="Calibri"/>
          <w:b w:val="0"/>
          <w:i/>
          <w:color w:val="222222"/>
          <w:sz w:val="17"/>
        </w:rPr>
        <w:t>SIMULATED posterior calibration: the rank of the true parameter among posterior samples. Flat would be calibrated; these are not.</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4585716" cy="2684467"/>
            <wp:docPr id="22" name="Picture 22"/>
            <wp:cNvGraphicFramePr>
              <a:graphicFrameLocks noChangeAspect="1"/>
            </wp:cNvGraphicFramePr>
            <a:graphic>
              <a:graphicData uri="http://schemas.openxmlformats.org/drawingml/2006/picture">
                <pic:pic>
                  <pic:nvPicPr>
                    <pic:cNvPr id="0" name="microchannel_asymmetry_real.png"/>
                    <pic:cNvPicPr/>
                  </pic:nvPicPr>
                  <pic:blipFill>
                    <a:blip r:embed="rId34"/>
                    <a:stretch>
                      <a:fillRect/>
                    </a:stretch>
                  </pic:blipFill>
                  <pic:spPr>
                    <a:xfrm>
                      <a:off x="0" y="0"/>
                      <a:ext cx="4585716" cy="2684467"/>
                    </a:xfrm>
                    <a:prstGeom prst="rect"/>
                  </pic:spPr>
                </pic:pic>
              </a:graphicData>
            </a:graphic>
          </wp:inline>
        </w:drawing>
      </w:r>
    </w:p>
    <w:p>
      <w:pPr>
        <w:spacing w:after="200"/>
        <w:jc w:val="center"/>
      </w:pPr>
      <w:r>
        <w:rPr>
          <w:rFonts w:ascii="Calibri" w:hAnsi="Calibri"/>
          <w:b/>
          <w:i/>
          <w:color w:val="222222"/>
          <w:sz w:val="17"/>
        </w:rPr>
        <w:t xml:space="preserve">Figure 22.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544.7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and the slowest we have seen crossed ten minutes. The longest stage is the twin, at 344.3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−0.059, p = 0.189).</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models. Every statistical model in this report — logistic regression, gradient boosting and the neural posterior estimator — is trained from scratch on the data described here. The fly study of Act VII adopts the equations and constants of the whole-brain model of Shiu et al. (2024; code under the MIT license), reimplemented in our own code.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