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2i: with Pugliese et al.'s own size rule, neuron volume, the front-leg rhythm needs their circuit and promotor and remotor keep a fixed offset (6 of 7).</w:t>
      </w:r>
      <w:r>
        <w:rPr>
          <w:rFonts w:ascii="Calibri" w:hAnsi="Calibri"/>
          <w:b w:val="0"/>
          <w:i w:val="0"/>
          <w:color w:val="222222"/>
          <w:sz w:val="21"/>
        </w:rPr>
        <w:t xml:space="preserve"> Stages 2e-2h used stand-ins for neuron size because the male CNS flat files have no volumes. The project's neuPrint neuron table (same release and licence) does have them. It was fetched whole and checked against the bucket's CRC32C, and stage 2h was rerun unchanged with the published rule (size = volume over the network's median) on fresh draws. Every network neuron has a volume. Volume agrees only loosely with the synapse-count stand-in (Spearman 0.5738), and DNg100 is 11.1758 times the median. The walking command drives a regular front-leg rhythm (median score over the 32 feasible draws 0.9446, period 96.0 ms). Silencing the three-neuron circuit abolishes it (0.0115), which synapse-count sizes did not reproduce (stage 2h: 0.6808 with the circuit silenced). For the first time the promotor and remotor pools keep a reliable phase relation, defined in 27 of 32 draws with reliability 0.843. </w:t>
      </w:r>
      <w:r>
        <w:rPr>
          <w:rFonts w:ascii="Calibri" w:hAnsi="Calibri"/>
          <w:b/>
          <w:i w:val="0"/>
          <w:color w:val="222222"/>
          <w:sz w:val="21"/>
        </w:rPr>
        <w:t>The offset is not alternation, and that is the limit of the result.</w:t>
      </w:r>
      <w:r>
        <w:rPr>
          <w:rFonts w:ascii="Calibri" w:hAnsi="Calibri"/>
          <w:b w:val="0"/>
          <w:i w:val="0"/>
          <w:color w:val="222222"/>
          <w:sz w:val="21"/>
        </w:rPr>
        <w:t xml:space="preserve"> Remotor peaks shortly before promotor in each cycle, and the two antagonists are never in antiphase. The tibia flexor pool stays silent, so flexor-extensor alternation fails again (V3). Reported without prediction: silencing the relay neuron IN17A001 alone leaves much of the rhythm (0.6575), and silencing INXXX466 and IN16B036 removes it (0.0263), as stage 2h found without size scaling. </w:t>
      </w:r>
      <w:r>
        <w:rPr>
          <w:rFonts w:ascii="Calibri" w:hAnsi="Calibri"/>
          <w:b/>
          <w:i w:val="0"/>
          <w:color w:val="222222"/>
          <w:sz w:val="21"/>
        </w:rPr>
        <w:t>What this changes:</w:t>
      </w:r>
      <w:r>
        <w:rPr>
          <w:rFonts w:ascii="Calibri" w:hAnsi="Calibri"/>
          <w:b w:val="0"/>
          <w:i w:val="0"/>
          <w:color w:val="222222"/>
          <w:sz w:val="21"/>
        </w:rPr>
        <w:t xml:space="preserve"> with the published size rule, Pugliese et al.'s central front-leg claim reproduces on a second connectome, including the circuit's necessity. The synapse-count stand-in was the reason stage 2h's necessity test failed. Within-leg antagonist alternation is still not there.</w:t>
      </w:r>
    </w:p>
    <w:p>
      <w:pPr>
        <w:keepNext/>
        <w:spacing w:before="120" w:after="40"/>
        <w:jc w:val="center"/>
      </w:pPr>
      <w:r>
        <w:drawing>
          <wp:inline xmlns:a="http://schemas.openxmlformats.org/drawingml/2006/main" xmlns:pic="http://schemas.openxmlformats.org/drawingml/2006/picture">
            <wp:extent cx="5125212" cy="1911898"/>
            <wp:docPr id="13" name="Picture 13"/>
            <wp:cNvGraphicFramePr>
              <a:graphicFrameLocks noChangeAspect="1"/>
            </wp:cNvGraphicFramePr>
            <a:graphic>
              <a:graphicData uri="http://schemas.openxmlformats.org/drawingml/2006/picture">
                <pic:pic>
                  <pic:nvPicPr>
                    <pic:cNvPr id="0" name="embodied_stage2i_front_leg_SIMULATED.png"/>
                    <pic:cNvPicPr/>
                  </pic:nvPicPr>
                  <pic:blipFill>
                    <a:blip r:embed="rId25"/>
                    <a:stretch>
                      <a:fillRect/>
                    </a:stretch>
                  </pic:blipFill>
                  <pic:spPr>
                    <a:xfrm>
                      <a:off x="0" y="0"/>
                      <a:ext cx="5125212" cy="191189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left front-leg network of the male CNS with neuron volume as size. Left: one draw under DNg100: promotor, remotor and tibia extensor pools rise and fall together each cycle (remotor slightly ahead); the tibia flexor stays silent. Right: corrected motor rhythm score per feasible draw and condition.</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5" name="Picture 15"/>
            <wp:cNvGraphicFramePr>
              <a:graphicFrameLocks noChangeAspect="1"/>
            </wp:cNvGraphicFramePr>
            <a:graphic>
              <a:graphicData uri="http://schemas.openxmlformats.org/drawingml/2006/picture">
                <pic:pic>
                  <pic:nvPicPr>
                    <pic:cNvPr id="0" name="embodied_stage3b_perturbation_SIMULATED.png"/>
                    <pic:cNvPicPr/>
                  </pic:nvPicPr>
                  <pic:blipFill>
                    <a:blip r:embed="rId27"/>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6" name="Picture 16"/>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8"/>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4b: the headline on fresh seeds. The chip is still late in every family (3 of 4).</w:t>
      </w:r>
      <w:r>
        <w:rPr>
          <w:rFonts w:ascii="Calibri" w:hAnsi="Calibri"/>
          <w:b w:val="0"/>
          <w:i w:val="0"/>
          <w:color w:val="222222"/>
          <w:sz w:val="21"/>
        </w:rPr>
        <w:t xml:space="preserve"> Stage 4a rested on one set of 8 seeds and on the chip detections of the parent's first run, so it was rerun unchanged on 16 fresh seeds and compared with the chip detections of the parent's own fresh-seed replication. Each movement was also left out of the disruption index in turn. The movements appear under vehicle (proboscis 0.304 mm, reach depth 0.9893 mm). In all five families movement fails first and the chip flags later (R1 passes): GABA-A block at 0.2 against 0.6, GABA-A potentiation at 0.5 against 1.0. Every movement onset is within one dose step of stage 4a's (R3 passes). Only excitability block moved, from 0.2 to 0.4. The leave-one-out check (R2) fails in one family. Without the bitter-gated proboscis, GABA-A potentiation impairs movement only at 1.0, the dose at which the chip flags it, so the two tie. At the dose below, the proboscis under sugar extends about half as far as under vehicle, but the reach does not change, so the two-movement index stays just below the line (</w:t>
      </w:r>
      <w:r>
        <w:rPr>
          <w:rFonts w:ascii="Consolas" w:hAnsi="Consolas"/>
          <w:b w:val="0"/>
          <w:i w:val="0"/>
          <w:color w:val="222222"/>
          <w:sz w:val="19"/>
        </w:rPr>
        <w:t>outputs/fly/embodied_stage4b_SIMULATED.json</w:t>
      </w:r>
      <w:r>
        <w:rPr>
          <w:rFonts w:ascii="Calibri" w:hAnsi="Calibri"/>
          <w:b w:val="0"/>
          <w:i w:val="0"/>
          <w:color w:val="222222"/>
          <w:sz w:val="21"/>
        </w:rPr>
        <w:t xml:space="preserve">, medians). Two further readings are reported, not scored. Against the chip's first run rather than its replication, excitability block would tie: both at 0.4. Stage 4a's bitter-gate correlation comes out the same on the fresh seeds (-0.0286). As in stage 4a, at full GABA-A block the claw ends beyond rest (depth -0.0146 mm), and that index averages the two proboscis terms. </w:t>
      </w:r>
      <w:r>
        <w:rPr>
          <w:rFonts w:ascii="Calibri" w:hAnsi="Calibri"/>
          <w:b/>
          <w:i w:val="0"/>
          <w:color w:val="222222"/>
          <w:sz w:val="21"/>
        </w:rPr>
        <w:t>What this does to the headline:</w:t>
      </w:r>
      <w:r>
        <w:rPr>
          <w:rFonts w:ascii="Calibri" w:hAnsi="Calibri"/>
          <w:b w:val="0"/>
          <w:i w:val="0"/>
          <w:color w:val="222222"/>
          <w:sz w:val="21"/>
        </w:rPr>
        <w:t xml:space="preserve"> the chip's lateness at the movement level replicates on new seeds and against the chip's own replication. In four of the five families it does not depend on any one movement. In GABA-A potentiation it rests on the bitter-gated proboscis, and in excitability block it is one dose step, so in two families the margin is a single step of the dose grid.</w:t>
      </w:r>
    </w:p>
    <w:p>
      <w:pPr>
        <w:spacing w:after="120"/>
      </w:pPr>
      <w:r>
        <w:rPr>
          <w:rFonts w:ascii="Calibri" w:hAnsi="Calibri"/>
          <w:b/>
          <w:i w:val="0"/>
          <w:color w:val="156082"/>
          <w:sz w:val="21"/>
        </w:rPr>
        <w:t>Stage 4c: inside the one-step margins (3 of 4).</w:t>
      </w:r>
      <w:r>
        <w:rPr>
          <w:rFonts w:ascii="Calibri" w:hAnsi="Calibri"/>
          <w:b w:val="0"/>
          <w:i w:val="0"/>
          <w:color w:val="222222"/>
          <w:sz w:val="21"/>
        </w:rPr>
        <w:t xml:space="preserve"> Stage 4b's two thin margins were rerun on a finer dose grid: GABA-A potentiation at four levels between its two highest doses, excitability block at four levels on each side of its movement onset. The movements used stage 4b's seeds and the chip both of the parent's seed sets. The coarse levels, rerun alongside, reproduce their recorded values to floating-point rounding (F0 passes). Excitability block resolves the way the headline says, against either chip run. Movement fails at 0.24, and the chip first flags at 0.36 (replication) or 0.4 (first run). In GABA-A potentiation the finer grid brings the chip forward, to 0.6, still after movement fails at 0.5. Without the bitter-gated proboscis the two stay tied, now at 0.6 on the fine grid (F2 fails). </w:t>
      </w:r>
      <w:r>
        <w:rPr>
          <w:rFonts w:ascii="Calibri" w:hAnsi="Calibri"/>
          <w:b/>
          <w:i w:val="0"/>
          <w:color w:val="222222"/>
          <w:sz w:val="21"/>
        </w:rPr>
        <w:t>What this does to the headline:</w:t>
      </w:r>
      <w:r>
        <w:rPr>
          <w:rFonts w:ascii="Calibri" w:hAnsi="Calibri"/>
          <w:b w:val="0"/>
          <w:i w:val="0"/>
          <w:color w:val="222222"/>
          <w:sz w:val="21"/>
        </w:rPr>
        <w:t xml:space="preserve"> at the movement level, in this model, the chip is late in every family with the full index. In one family, GABA-A potentiation, that lateness depends on the proboscis movement that bitter gates; without it, chip and movement change together.</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spacing w:after="120"/>
      </w:pPr>
      <w:r>
        <w:rPr>
          <w:rFonts w:ascii="Calibri" w:hAnsi="Calibri"/>
          <w:b/>
          <w:i w:val="0"/>
          <w:color w:val="156082"/>
          <w:sz w:val="21"/>
        </w:rPr>
        <w:t>Stage 5c: the same manipulations read at the joint. None of the four published postures appears (0 of 4), and stage 5b's one agreement came by another route.</w:t>
      </w:r>
      <w:r>
        <w:rPr>
          <w:rFonts w:ascii="Calibri" w:hAnsi="Calibri"/>
          <w:b w:val="0"/>
          <w:i w:val="0"/>
          <w:color w:val="222222"/>
          <w:sz w:val="21"/>
        </w:rPr>
        <w:t xml:space="preserve"> The study stage 5b compares with read the joints of the front legs: silencing 13A or 13B locks them in flexion, and continuous activation over-extends them. Read at the femur-tibia joint on fresh seeds, the model does otherwise. Silencing 13A extends the tibia (-0.1488 rad), so the shorter reach of stage 5b did not come from a flexion lock. Silencing 13B flexes it by only 0.082 rad. Activating 13A lets the leg fall back toward its passive rest (+0.8325 rad) instead of over-extending it. In this model the inhibitory hemilineages act as broad brakes on the leg's motor neurons, not as the joint-specific controllers the experiment shows: a limit of a connectome-only, leaky integrate-and-fire nerve cord to state beside the stage-2 walking results.</w:t>
      </w:r>
    </w:p>
    <w:p>
      <w:pPr>
        <w:keepNext/>
        <w:spacing w:after="120"/>
      </w:pPr>
      <w:r>
        <w:rPr>
          <w:rFonts w:ascii="Calibri" w:hAnsi="Calibri"/>
          <w:b/>
          <w:i w:val="0"/>
          <w:color w:val="156082"/>
          <w:sz w:val="21"/>
        </w:rPr>
        <w:t>Stage 3c: the perturbation test on a well-traced leg. The feedback acts, but it makes the hold unstable (2 of 4).</w:t>
      </w:r>
      <w:r>
        <w:rPr>
          <w:rFonts w:ascii="Calibri" w:hAnsi="Calibri"/>
          <w:b w:val="0"/>
          <w:i w:val="0"/>
          <w:color w:val="222222"/>
          <w:sz w:val="21"/>
        </w:rPr>
        <w:t xml:space="preserve"> Stages 3a and 3b used the front leg's four claw neurons. Stage 3c closed the loop through the right hind leg's 25, with flybody's servoed tibia: the walking command holds the tibia extended, and a 20 ms torque pushes it. The precondition passes (held at 1.0284 rad, pushed by 0.4952 rad), and the opposite assignment does not speed the return. Resistance feedback does not speed it either (23.0 ms against 19.0 ms open loop), so the contingency test is uninterpretable as registered. The reason differs from the front leg. Here the feedback is strong: it lowers the extensor pool from 34.0 to 18.0 Hz, the held angle falls to 0.7182 rad, and the traces show the leg swinging irregularly rather than holding. Against the sham, which receives the same tonic feedback, the resistance arm returns sooner (23.0 against 32.5 ms; exploratory, with recovery times spread widely in this unstable regime). So the feedback that follows the push might act on this leg, unlike the front leg. </w:t>
      </w:r>
      <w:r>
        <w:rPr>
          <w:rFonts w:ascii="Calibri" w:hAnsi="Calibri"/>
          <w:b/>
          <w:i w:val="0"/>
          <w:color w:val="222222"/>
          <w:sz w:val="21"/>
        </w:rPr>
        <w:t>Stage 3d tested that difference alone, paired by seed, on 32 fresh seeds, and it does not hold (0 of 2).</w:t>
      </w:r>
      <w:r>
        <w:rPr>
          <w:rFonts w:ascii="Calibri" w:hAnsi="Calibri"/>
          <w:b w:val="0"/>
          <w:i w:val="0"/>
          <w:color w:val="222222"/>
          <w:sz w:val="21"/>
        </w:rPr>
        <w:t xml:space="preserve"> The resistance arm returns sooner than the sham in 14 of 32 seeds (22 needed), and the median paired difference is 0.0 ms. Closed through either leg, the claw neurons' feedback changes the motor neurons and, on the hind leg, the posture, but no part of it that follows a push could be shown to speed the leg's return. Stage 3's go/no-go stays failed; what would change it is a muscle-driven, well-traced leg, which no available body model provides.</w:t>
      </w:r>
    </w:p>
    <w:p>
      <w:pPr>
        <w:keepNext/>
        <w:spacing w:before="120" w:after="40"/>
        <w:jc w:val="center"/>
      </w:pPr>
      <w:r>
        <w:drawing>
          <wp:inline xmlns:a="http://schemas.openxmlformats.org/drawingml/2006/main" xmlns:pic="http://schemas.openxmlformats.org/drawingml/2006/picture">
            <wp:extent cx="4315968" cy="1705488"/>
            <wp:docPr id="17" name="Picture 17"/>
            <wp:cNvGraphicFramePr>
              <a:graphicFrameLocks noChangeAspect="1"/>
            </wp:cNvGraphicFramePr>
            <a:graphic>
              <a:graphicData uri="http://schemas.openxmlformats.org/drawingml/2006/picture">
                <pic:pic>
                  <pic:nvPicPr>
                    <pic:cNvPr id="0" name="embodied_stage3c_hind_leg_SIMULATED.png"/>
                    <pic:cNvPicPr/>
                  </pic:nvPicPr>
                  <pic:blipFill>
                    <a:blip r:embed="rId29"/>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SIMULATED push on the right hind tibia (flybody, servoed) with claw-neuron feedback. Left: one seed per arm (the resistance trace lies under the sham until about 0.55 s); with resistance feedback the leg swings irregularly instead of holding. Right: every trial's recovery time.</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