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not behaviour.</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9" name="Picture 19"/>
            <wp:cNvGraphicFramePr>
              <a:graphicFrameLocks noChangeAspect="1"/>
            </wp:cNvGraphicFramePr>
            <a:graphic>
              <a:graphicData uri="http://schemas.openxmlformats.org/drawingml/2006/picture">
                <pic:pic>
                  <pic:nvPicPr>
                    <pic:cNvPr id="0" name="hd14_posterior_ranks_simulated.png"/>
                    <pic:cNvPicPr/>
                  </pic:nvPicPr>
                  <pic:blipFill>
                    <a:blip r:embed="rId31"/>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0" name="Picture 20"/>
            <wp:cNvGraphicFramePr>
              <a:graphicFrameLocks noChangeAspect="1"/>
            </wp:cNvGraphicFramePr>
            <a:graphic>
              <a:graphicData uri="http://schemas.openxmlformats.org/drawingml/2006/picture">
                <pic:pic>
                  <pic:nvPicPr>
                    <pic:cNvPr id="0" name="microchannel_asymmetry_real.png"/>
                    <pic:cNvPicPr/>
                  </pic:nvPicPr>
                  <pic:blipFill>
                    <a:blip r:embed="rId32"/>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