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инструкция-3"/>
    <w:p>
      <w:pPr>
        <w:pStyle w:val="Heading1"/>
      </w:pPr>
      <w:r>
        <w:t xml:space="preserve"># ИНСТРУКЦИЯ № 3</w:t>
      </w:r>
    </w:p>
    <w:bookmarkStart w:id="9" w:name="Xd428c3da912de6e72b333f0c5c283e187971806"/>
    <w:p>
      <w:pPr>
        <w:pStyle w:val="Heading2"/>
      </w:pPr>
      <w:r>
        <w:t xml:space="preserve">ПО ОБРАЩЕНИЮ С ОТХОДОМ «ОТХОДЫ СИНТЕТИЧЕСКИХ И ПОЛУСИНТЕТИЧЕСКИХ МАСЕЛ МОТОРНЫХ»</w:t>
      </w:r>
    </w:p>
    <w:bookmarkEnd w:id="9"/>
    <w:bookmarkStart w:id="10" w:name="цель"/>
    <w:p>
      <w:pPr>
        <w:pStyle w:val="Heading2"/>
      </w:pPr>
      <w:r>
        <w:t xml:space="preserve">1. ЦЕЛЬ</w:t>
      </w:r>
    </w:p>
    <w:p>
      <w:pPr>
        <w:pStyle w:val="FirstParagraph"/>
      </w:pPr>
      <w:r>
        <w:t xml:space="preserve">Обеспечение безопасного обращения с отходом III класса опасности, предотвращение загрязнения окружающей среды, предупреждение пожаров и травматизма при обращении с отработанными моторными маслами.</w:t>
      </w:r>
    </w:p>
    <w:bookmarkEnd w:id="10"/>
    <w:bookmarkStart w:id="11" w:name="область-применения"/>
    <w:p>
      <w:pPr>
        <w:pStyle w:val="Heading2"/>
      </w:pPr>
      <w:r>
        <w:t xml:space="preserve">2. ОБЛАСТЬ ПРИМЕНЕНИЯ</w:t>
      </w:r>
    </w:p>
    <w:p>
      <w:pPr>
        <w:pStyle w:val="FirstParagraph"/>
      </w:pPr>
      <w:r>
        <w:t xml:space="preserve">Инструкция обязательна для персонала, осуществляющего техническое обслуживание и ремонт автотранспорта, работников гаража, а также для лиц, ответственных за обращение с отходами.</w:t>
      </w:r>
    </w:p>
    <w:bookmarkEnd w:id="11"/>
    <w:bookmarkStart w:id="12" w:name="нормативные-правовые-акты"/>
    <w:p>
      <w:pPr>
        <w:pStyle w:val="Heading2"/>
      </w:pPr>
      <w:r>
        <w:t xml:space="preserve">3. НОРМАТИВНЫЕ ПРАВОВЫЕ АКТЫ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10.01.2002 № 7-ФЗ «Об охране окружающей среды».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24.06.1998 № 89-ФЗ «Об отходах производства и потребления».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30.03.1999 № 52-ФЗ «О санитарно-эпидемиологическом благополучии населения».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21.12.1994 № 68-ФЗ «О защите населения и территорий от чрезвычайных ситуаций природного и техногенного характера».</w:t>
      </w:r>
    </w:p>
    <w:p>
      <w:pPr>
        <w:pStyle w:val="Compact"/>
        <w:numPr>
          <w:ilvl w:val="0"/>
          <w:numId w:val="1001"/>
        </w:numPr>
      </w:pPr>
      <w:r>
        <w:t xml:space="preserve">Федеральный закон от 04.05.2011 № 99-ФЗ «О лицензировании отдельных видов деятельности».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Постановление Правительства РФ от 02.06.2026 № 675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Приказ Росприроднадзора от 22.05.2017 № 242 (с изменениями от 08.06.2026 № 341).</w:t>
      </w:r>
    </w:p>
    <w:p>
      <w:pPr>
        <w:pStyle w:val="Compact"/>
        <w:numPr>
          <w:ilvl w:val="0"/>
          <w:numId w:val="1001"/>
        </w:numPr>
      </w:pPr>
      <w:r>
        <w:t xml:space="preserve">Приказ Минприроды России от 31.03.2025 № 158.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Приказ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Приказ Минприроды России от 15.05.2026 № 286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Приказ Минприроды России от 23.04.2026 № 246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СанПиН 2.1.3684-21 (в редакции от 12.02.2026).</w:t>
      </w:r>
    </w:p>
    <w:p>
      <w:pPr>
        <w:pStyle w:val="Compact"/>
        <w:numPr>
          <w:ilvl w:val="0"/>
          <w:numId w:val="1001"/>
        </w:numPr>
      </w:pPr>
      <w:r>
        <w:t xml:space="preserve">Распоряжение Правительства РФ от 25.07.2017 № 1589-р.</w:t>
      </w:r>
    </w:p>
    <w:bookmarkEnd w:id="12"/>
    <w:bookmarkStart w:id="13" w:name="термины-и-определения"/>
    <w:p>
      <w:pPr>
        <w:pStyle w:val="Heading2"/>
      </w:pPr>
      <w:r>
        <w:t xml:space="preserve">4. ТЕРМИНЫ И ОПРЕДЕЛЕНИЯ</w:t>
      </w:r>
    </w:p>
    <w:p>
      <w:pPr>
        <w:pStyle w:val="FirstParagraph"/>
      </w:pPr>
      <w:r>
        <w:t xml:space="preserve">В настоящей инструкции используются термины и определения, установленные Федеральным законом от 24.06.1998 № 89-ФЗ,</w:t>
      </w:r>
      <w:r>
        <w:t xml:space="preserve"> </w:t>
      </w:r>
      <w:r>
        <w:rPr>
          <w:b/>
          <w:bCs/>
        </w:rPr>
        <w:t xml:space="preserve">Приказом Минприроды России от 16.04.2026 № 227</w:t>
      </w:r>
      <w:r>
        <w:t xml:space="preserve">, а также: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Отработанные масла</w:t>
      </w:r>
      <w:r>
        <w:t xml:space="preserve"> </w:t>
      </w:r>
      <w:r>
        <w:t xml:space="preserve">– масла, утратившие свои эксплуатационные свойства после использования в двигателях, механизмах, и подлежащие сбору, утилизации или обезвреживанию.</w:t>
      </w:r>
    </w:p>
    <w:bookmarkEnd w:id="13"/>
    <w:bookmarkStart w:id="14" w:name="общие-сведения-об-отходах"/>
    <w:p>
      <w:pPr>
        <w:pStyle w:val="Heading2"/>
      </w:pPr>
      <w:r>
        <w:t xml:space="preserve">5. ОБЩИЕ СВЕДЕНИЯ ОБ ОТХОДАХ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  <w:tblHeader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Отходы синтетических и полусинтетических масел моторных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Код ФККО</w:t>
            </w:r>
          </w:p>
        </w:tc>
        <w:tc>
          <w:tcPr/>
          <w:p>
            <w:pPr>
              <w:pStyle w:val="Compact"/>
            </w:pPr>
            <w:r>
              <w:t xml:space="preserve">4 13 100 01 31 3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Класс опасности</w:t>
            </w:r>
          </w:p>
        </w:tc>
        <w:tc>
          <w:tcPr/>
          <w:p>
            <w:pPr>
              <w:pStyle w:val="Compact"/>
            </w:pPr>
            <w:r>
              <w:t xml:space="preserve">III (умеренно опасные)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Агрегатное состояние</w:t>
            </w:r>
          </w:p>
        </w:tc>
        <w:tc>
          <w:tcPr/>
          <w:p>
            <w:pPr>
              <w:pStyle w:val="Compact"/>
            </w:pPr>
            <w:r>
              <w:t xml:space="preserve">Жидкое (вязкая жидкость)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Происхождение</w:t>
            </w:r>
          </w:p>
        </w:tc>
        <w:tc>
          <w:tcPr/>
          <w:p>
            <w:pPr>
              <w:pStyle w:val="Compact"/>
            </w:pPr>
            <w:r>
              <w:t xml:space="preserve">Замена моторного масла в двигателях внутреннего сгорания автомобилей, спецтехники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Физико-химическая 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Плотность при 20 °C – 0,88–0,92 г/см³, температура вспышки – не менее 120 °C. Содержит полициклические ароматические углеводороды, присадки (цинк, фосфор, кальций).</w:t>
            </w:r>
          </w:p>
        </w:tc>
      </w:tr>
    </w:tbl>
    <w:bookmarkEnd w:id="14"/>
    <w:bookmarkStart w:id="15" w:name="X7f242d6e7ddd647a8a2b1e122537d959eb8a422"/>
    <w:p>
      <w:pPr>
        <w:pStyle w:val="Heading2"/>
      </w:pPr>
      <w:r>
        <w:t xml:space="preserve">6. ОПАСНЫЕ СВОЙСТВА И ВОЗДЕЙСТВИЕ КОМПОНЕНТОВ ОТХОДОВ НА ОКРУЖАЮЩУЮ СРЕДУ И ЧЕЛОВЕКА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Пожароопасность:</w:t>
      </w:r>
      <w:r>
        <w:t xml:space="preserve"> </w:t>
      </w:r>
      <w:r>
        <w:t xml:space="preserve">при нагреве выше температуры вспышки выделяются горючие пары.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Токсичность:</w:t>
      </w:r>
      <w:r>
        <w:t xml:space="preserve"> </w:t>
      </w:r>
      <w:r>
        <w:t xml:space="preserve">масла содержат канцерогенные вещества (ПАУ), могут вызывать раздражение кожи, дерматиты.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Экологическая опасность:</w:t>
      </w:r>
      <w:r>
        <w:t xml:space="preserve"> </w:t>
      </w:r>
      <w:r>
        <w:t xml:space="preserve">1 литр отработанного масла может загрязнить до 1 млн литров воды.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Запрещение захоронения:</w:t>
      </w:r>
      <w:r>
        <w:t xml:space="preserve"> </w:t>
      </w:r>
      <w:r>
        <w:t xml:space="preserve">отход включён в перечень Распоряжения Правительства РФ № 1589-р, подлежит обязательной утилизации.</w:t>
      </w:r>
    </w:p>
    <w:bookmarkEnd w:id="15"/>
    <w:bookmarkStart w:id="21" w:name="образование-и-накопление"/>
    <w:p>
      <w:pPr>
        <w:pStyle w:val="Heading2"/>
      </w:pPr>
      <w:r>
        <w:t xml:space="preserve">7. ОБРАЗОВАНИЕ И НАКОПЛЕНИЕ</w:t>
      </w:r>
    </w:p>
    <w:bookmarkStart w:id="16" w:name="источники-образования"/>
    <w:p>
      <w:pPr>
        <w:pStyle w:val="Heading3"/>
      </w:pPr>
      <w:r>
        <w:t xml:space="preserve">7.1. Источники образования</w:t>
      </w:r>
    </w:p>
    <w:p>
      <w:pPr>
        <w:pStyle w:val="FirstParagraph"/>
      </w:pPr>
      <w:r>
        <w:t xml:space="preserve">Слив масла при замене в двигателях, ремонте, техническом обслуживании.</w:t>
      </w:r>
    </w:p>
    <w:bookmarkEnd w:id="16"/>
    <w:bookmarkStart w:id="17" w:name="требования-к-сливу"/>
    <w:p>
      <w:pPr>
        <w:pStyle w:val="Heading3"/>
      </w:pPr>
      <w:r>
        <w:t xml:space="preserve">7.2. Требования к сливу</w:t>
      </w:r>
    </w:p>
    <w:p>
      <w:pPr>
        <w:pStyle w:val="FirstParagraph"/>
      </w:pPr>
      <w:r>
        <w:t xml:space="preserve">Слив масла производится через штатные сливные отверстия в специальные ёмкости (металлические бочки, канистры) с использованием воронок и закрытых систем. Запрещается слив масел на землю, в канализацию, в открытые ёмкости.</w:t>
      </w:r>
    </w:p>
    <w:bookmarkEnd w:id="17"/>
    <w:bookmarkStart w:id="18" w:name="тара-для-накопления"/>
    <w:p>
      <w:pPr>
        <w:pStyle w:val="Heading3"/>
      </w:pPr>
      <w:r>
        <w:t xml:space="preserve">7.3. Тара для накопления</w:t>
      </w:r>
    </w:p>
    <w:p>
      <w:pPr>
        <w:pStyle w:val="FirstParagraph"/>
      </w:pPr>
      <w:r>
        <w:t xml:space="preserve">Используются металлические бочки (объёмом 100–200 л) или полимерные еврокубы, устойчивые к воздействию масел. Тара должна быть герметично закрыта, иметь маркировку: «Отработанное моторное масло», код ФККО 4 13 100 01 31 3, класс опасности III, надпись «Легковоспламеняющаяся жидкость». Тара размещается на поддонах.</w:t>
      </w:r>
    </w:p>
    <w:bookmarkEnd w:id="18"/>
    <w:bookmarkStart w:id="19" w:name="место-накопления"/>
    <w:p>
      <w:pPr>
        <w:pStyle w:val="Heading3"/>
      </w:pPr>
      <w:r>
        <w:t xml:space="preserve">7.4. Место накопления</w:t>
      </w:r>
    </w:p>
    <w:p>
      <w:pPr>
        <w:pStyle w:val="FirstParagraph"/>
      </w:pPr>
      <w:r>
        <w:t xml:space="preserve">Специально оборудованная площадка под навесом или в закрытом помещении с кислотостойким полом, обвалованием (бортиками) высотой не менее 20 см, оснащённая приточно-вытяжной вентиляцией. Доступ посторонних лиц запрещён. Площадка должна быть удалена от источников открытого огня.</w:t>
      </w:r>
    </w:p>
    <w:bookmarkEnd w:id="19"/>
    <w:bookmarkStart w:id="20" w:name="предельное-количество"/>
    <w:p>
      <w:pPr>
        <w:pStyle w:val="Heading3"/>
      </w:pPr>
      <w:r>
        <w:t xml:space="preserve">7.5. Предельное количество</w:t>
      </w:r>
    </w:p>
    <w:p>
      <w:pPr>
        <w:pStyle w:val="FirstParagraph"/>
      </w:pPr>
      <w:r>
        <w:t xml:space="preserve">Срок накопления – не более 11 месяцев. Предельный объём накопления – не более 5 тонн (при наличии лимитов).</w:t>
      </w:r>
    </w:p>
    <w:bookmarkEnd w:id="20"/>
    <w:bookmarkEnd w:id="21"/>
    <w:bookmarkStart w:id="22" w:name="учёт-образования-и-движения-отхода"/>
    <w:p>
      <w:pPr>
        <w:pStyle w:val="Heading2"/>
      </w:pPr>
      <w:r>
        <w:t xml:space="preserve">8. УЧЁТ ОБРАЗОВАНИЯ И ДВИЖЕНИЯ ОТХОДА</w:t>
      </w:r>
    </w:p>
    <w:p>
      <w:pPr>
        <w:pStyle w:val="FirstParagraph"/>
      </w:pPr>
      <w:r>
        <w:t xml:space="preserve">Учёт ведётся в соответствии с</w:t>
      </w:r>
      <w:r>
        <w:t xml:space="preserve"> </w:t>
      </w:r>
      <w:r>
        <w:rPr>
          <w:b/>
          <w:bCs/>
        </w:rPr>
        <w:t xml:space="preserve">Приказом Минприроды России от 16.04.2026 № 227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Данные учёта вносятся</w:t>
      </w:r>
      <w:r>
        <w:t xml:space="preserve"> </w:t>
      </w:r>
      <w:r>
        <w:rPr>
          <w:b/>
          <w:bCs/>
        </w:rPr>
        <w:t xml:space="preserve">в течение 10 рабочих дней</w:t>
      </w:r>
      <w:r>
        <w:t xml:space="preserve"> </w:t>
      </w:r>
      <w:r>
        <w:t xml:space="preserve">после совершения операции.</w:t>
      </w:r>
    </w:p>
    <w:p>
      <w:pPr>
        <w:pStyle w:val="Compact"/>
        <w:numPr>
          <w:ilvl w:val="0"/>
          <w:numId w:val="1004"/>
        </w:numPr>
      </w:pPr>
      <w:r>
        <w:t xml:space="preserve">Обобщение данных осуществляется</w:t>
      </w:r>
      <w:r>
        <w:t xml:space="preserve"> </w:t>
      </w:r>
      <w:r>
        <w:rPr>
          <w:b/>
          <w:bCs/>
        </w:rPr>
        <w:t xml:space="preserve">ежемесячно, ежеквартально, за полугодие и за год</w:t>
      </w:r>
      <w:r>
        <w:t xml:space="preserve"> </w:t>
      </w:r>
      <w:r>
        <w:t xml:space="preserve">— не позднее последнего дня месяца, следующего за отчётным периодом.</w:t>
      </w:r>
    </w:p>
    <w:p>
      <w:pPr>
        <w:pStyle w:val="Compact"/>
        <w:numPr>
          <w:ilvl w:val="0"/>
          <w:numId w:val="1004"/>
        </w:numPr>
      </w:pPr>
      <w:r>
        <w:t xml:space="preserve">Материалы учёта хранятся в течение</w:t>
      </w:r>
      <w:r>
        <w:t xml:space="preserve"> </w:t>
      </w:r>
      <w:r>
        <w:rPr>
          <w:b/>
          <w:bCs/>
        </w:rPr>
        <w:t xml:space="preserve">пяти лет</w:t>
      </w:r>
      <w:r>
        <w:t xml:space="preserve">.</w:t>
      </w:r>
    </w:p>
    <w:p>
      <w:pPr>
        <w:pStyle w:val="FirstParagraph"/>
      </w:pPr>
      <w:r>
        <w:t xml:space="preserve">Масса определяется взвешиванием полных бочек за вычетом массы тары (нетто). Ответственный – начальник транспортного участка. Ежемесячно данные сверяются с количеством закупленного свежего масла.</w:t>
      </w:r>
    </w:p>
    <w:bookmarkEnd w:id="22"/>
    <w:bookmarkStart w:id="23" w:name="паспортизация-отхода"/>
    <w:p>
      <w:pPr>
        <w:pStyle w:val="Heading2"/>
      </w:pPr>
      <w:r>
        <w:t xml:space="preserve">9. ПАСПОРТИЗАЦИЯ ОТХОДА</w:t>
      </w:r>
    </w:p>
    <w:p>
      <w:pPr>
        <w:pStyle w:val="FirstParagraph"/>
      </w:pPr>
      <w:r>
        <w:t xml:space="preserve">Паспорт отхода оформляется по типовой форме, утверждённой</w:t>
      </w:r>
      <w:r>
        <w:t xml:space="preserve"> </w:t>
      </w:r>
      <w:r>
        <w:rPr>
          <w:b/>
          <w:bCs/>
        </w:rPr>
        <w:t xml:space="preserve">Приказом Минприроды России от 15.05.2026 № 286</w:t>
      </w:r>
      <w:r>
        <w:t xml:space="preserve"> </w:t>
      </w:r>
      <w:r>
        <w:t xml:space="preserve">(приложение № 2 — для отходов, включённых в ФККО).</w:t>
      </w:r>
    </w:p>
    <w:p>
      <w:pPr>
        <w:pStyle w:val="BodyText"/>
      </w:pPr>
      <w:r>
        <w:t xml:space="preserve">Паспорт подлежит переоформлению</w:t>
      </w:r>
      <w:r>
        <w:t xml:space="preserve"> </w:t>
      </w:r>
      <w:r>
        <w:rPr>
          <w:b/>
          <w:bCs/>
        </w:rPr>
        <w:t xml:space="preserve">не позднее 30 календарных дней</w:t>
      </w:r>
      <w:r>
        <w:t xml:space="preserve"> </w:t>
      </w:r>
      <w:r>
        <w:t xml:space="preserve">со дня наступления соответствующих изменений.</w:t>
      </w:r>
    </w:p>
    <w:bookmarkEnd w:id="23"/>
    <w:bookmarkStart w:id="24" w:name="X696739770a02bd747ce0d8e0eee0d22a6286f9b"/>
    <w:p>
      <w:pPr>
        <w:pStyle w:val="Heading2"/>
      </w:pPr>
      <w:r>
        <w:t xml:space="preserve">10. ПЕРЕДАЧА ОТХОДА СПЕЦИАЛИЗИРОВАННЫМ ПРЕДПРИЯТИЯМ</w:t>
      </w:r>
    </w:p>
    <w:p>
      <w:pPr>
        <w:pStyle w:val="FirstParagraph"/>
      </w:pPr>
      <w:r>
        <w:t xml:space="preserve">Передача осуществляется только лицензированным организациям, имеющим лицензию на сбор, транспортирование, обработку, утилизацию отходов III класса опасности (в соответствии с</w:t>
      </w:r>
      <w:r>
        <w:t xml:space="preserve"> </w:t>
      </w:r>
      <w:r>
        <w:rPr>
          <w:b/>
          <w:bCs/>
        </w:rPr>
        <w:t xml:space="preserve">Постановлением Правительства РФ от 02.06.2026 № 675</w:t>
      </w:r>
      <w:r>
        <w:t xml:space="preserve">). Обязательным условием является наличие в лицензии вида деятельности «утилизация» (регенерация масел). Договор должен содержать обязательство организации-получателя использовать отходы в соответствии с требованиями. Передача оформляется ТТН и актом приёма-передачи.</w:t>
      </w:r>
    </w:p>
    <w:bookmarkEnd w:id="24"/>
    <w:bookmarkStart w:id="25" w:name="транспортирование-отхода"/>
    <w:p>
      <w:pPr>
        <w:pStyle w:val="Heading2"/>
      </w:pPr>
      <w:r>
        <w:t xml:space="preserve">11. ТРАНСПОРТИРОВАНИЕ ОТХОДА</w:t>
      </w:r>
    </w:p>
    <w:p>
      <w:pPr>
        <w:pStyle w:val="FirstParagraph"/>
      </w:pPr>
      <w:r>
        <w:t xml:space="preserve">Транспортирование производится специализированным автотранспортом, допущенным к перевозке опасных грузов класса 3 (легковоспламеняющиеся жидкости). Водитель должен иметь свидетельство о подготовке водителей, перевозящих опасные грузы. Тара должна быть надёжно закреплена. На транспортном средстве размещаются знаки опасности (ромб с номером класса 3).</w:t>
      </w:r>
    </w:p>
    <w:bookmarkEnd w:id="25"/>
    <w:bookmarkStart w:id="28" w:name="X7d329f758924cf1e89c59fab3c55683d4353ac7"/>
    <w:p>
      <w:pPr>
        <w:pStyle w:val="Heading2"/>
      </w:pPr>
      <w:r>
        <w:t xml:space="preserve">12. МЕРОПРИЯТИЯ ПО ЛИКВИДАЦИИ ЧРЕЗВЫЧАЙНЫХ СИТУАЦИЙ</w:t>
      </w:r>
    </w:p>
    <w:bookmarkStart w:id="26" w:name="пролив-масла"/>
    <w:p>
      <w:pPr>
        <w:pStyle w:val="Heading3"/>
      </w:pPr>
      <w:r>
        <w:t xml:space="preserve">12.1. Пролив масла</w:t>
      </w:r>
    </w:p>
    <w:p>
      <w:pPr>
        <w:pStyle w:val="Compact"/>
        <w:numPr>
          <w:ilvl w:val="0"/>
          <w:numId w:val="1005"/>
        </w:numPr>
      </w:pPr>
      <w:r>
        <w:t xml:space="preserve">Остановить работы, удалить посторонних, ликвидировать источники открытого огня.</w:t>
      </w:r>
    </w:p>
    <w:p>
      <w:pPr>
        <w:pStyle w:val="Compact"/>
        <w:numPr>
          <w:ilvl w:val="0"/>
          <w:numId w:val="1005"/>
        </w:numPr>
      </w:pPr>
      <w:r>
        <w:t xml:space="preserve">Надеть средства индивидуальной защиты: маслобензостойкие перчатки, защитные очки, респиратор.</w:t>
      </w:r>
    </w:p>
    <w:p>
      <w:pPr>
        <w:pStyle w:val="Compact"/>
        <w:numPr>
          <w:ilvl w:val="0"/>
          <w:numId w:val="1005"/>
        </w:numPr>
      </w:pPr>
      <w:r>
        <w:t xml:space="preserve">Ограничить растекание масла с помощью обвалования (песок).</w:t>
      </w:r>
    </w:p>
    <w:p>
      <w:pPr>
        <w:pStyle w:val="Compact"/>
        <w:numPr>
          <w:ilvl w:val="0"/>
          <w:numId w:val="1005"/>
        </w:numPr>
      </w:pPr>
      <w:r>
        <w:t xml:space="preserve">Собрать пролитое масло насосом или совком в отдельную герметичную тару.</w:t>
      </w:r>
    </w:p>
    <w:p>
      <w:pPr>
        <w:pStyle w:val="Compact"/>
        <w:numPr>
          <w:ilvl w:val="0"/>
          <w:numId w:val="1005"/>
        </w:numPr>
      </w:pPr>
      <w:r>
        <w:t xml:space="preserve">Остатки масла собрать сорбентом (песок, вермикулит).</w:t>
      </w:r>
    </w:p>
    <w:p>
      <w:pPr>
        <w:pStyle w:val="Compact"/>
        <w:numPr>
          <w:ilvl w:val="0"/>
          <w:numId w:val="1005"/>
        </w:numPr>
      </w:pPr>
      <w:r>
        <w:t xml:space="preserve">Загрязнённый сорбент и ветошь собрать в контейнер для отходов, загрязнённых нефтепродуктами (код ФККО 9 19 100 01 39 3).</w:t>
      </w:r>
    </w:p>
    <w:p>
      <w:pPr>
        <w:pStyle w:val="Compact"/>
        <w:numPr>
          <w:ilvl w:val="0"/>
          <w:numId w:val="1005"/>
        </w:numPr>
      </w:pPr>
      <w:r>
        <w:t xml:space="preserve">Составить акт о происшествии.</w:t>
      </w:r>
    </w:p>
    <w:bookmarkEnd w:id="26"/>
    <w:bookmarkStart w:id="27" w:name="возгорание-масла"/>
    <w:p>
      <w:pPr>
        <w:pStyle w:val="Heading3"/>
      </w:pPr>
      <w:r>
        <w:t xml:space="preserve">12.2. Возгорание масла</w:t>
      </w:r>
    </w:p>
    <w:p>
      <w:pPr>
        <w:pStyle w:val="Compact"/>
        <w:numPr>
          <w:ilvl w:val="0"/>
          <w:numId w:val="1006"/>
        </w:numPr>
      </w:pPr>
      <w:r>
        <w:t xml:space="preserve">Применить порошковые огнетушители, песок, кошму. Запрещается использование воды.</w:t>
      </w:r>
    </w:p>
    <w:p>
      <w:pPr>
        <w:pStyle w:val="Compact"/>
        <w:numPr>
          <w:ilvl w:val="0"/>
          <w:numId w:val="1006"/>
        </w:numPr>
      </w:pPr>
      <w:r>
        <w:t xml:space="preserve">При невозможности локализации – эвакуация персонала, вызов пожарной охраны.</w:t>
      </w:r>
    </w:p>
    <w:p>
      <w:pPr>
        <w:pStyle w:val="FirstParagraph"/>
      </w:pPr>
      <w:r>
        <w:rPr>
          <w:b/>
          <w:bCs/>
        </w:rPr>
        <w:t xml:space="preserve">УТВЕРЖДАЮ</w:t>
      </w:r>
    </w:p>
    <w:p>
      <w:pPr>
        <w:pStyle w:val="BodyText"/>
      </w:pPr>
      <w:r>
        <w:t xml:space="preserve">Генеральный директор</w:t>
      </w:r>
      <w:r>
        <w:t xml:space="preserve"> </w:t>
      </w:r>
      <w:r>
        <w:t xml:space="preserve">ООО «ХЕРСОНСКИЕ НАПИТКИ №1»</w:t>
      </w:r>
    </w:p>
    <w:p>
      <w:pPr>
        <w:pStyle w:val="BodyText"/>
      </w:pPr>
      <w:r>
        <w:t xml:space="preserve">_________________ Д.В. Нестеров</w:t>
      </w:r>
      <w:r>
        <w:t xml:space="preserve"> </w:t>
      </w:r>
      <w:r>
        <w:t xml:space="preserve">(Подпись)</w:t>
      </w:r>
    </w:p>
    <w:p>
      <w:pPr>
        <w:pStyle w:val="BodyText"/>
      </w:pPr>
      <w:r>
        <w:t xml:space="preserve">Приказ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_______ 2026 г. № ______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sectPr>
      <w:footnotePr>
        <w:numRestart w:val="eachSect"/>
      </w:footnote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 w:cs="Times New Roman" w:eastAsia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 w:cs="Times New Roman" w:eastAsia="Times New Roman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 w:cs="Times New Roman" w:eastAsia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2026-10-16T06:10:14Z</dcterms:created>
  <dcterms:modified xsi:type="dcterms:W3CDTF">2026-10-16T06:10:14Z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