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инструкция-7"/>
    <w:p>
      <w:pPr>
        <w:pStyle w:val="Heading1"/>
      </w:pPr>
      <w:r>
        <w:t xml:space="preserve"># ИНСТРУКЦИЯ № 7</w:t>
      </w:r>
    </w:p>
    <w:bookmarkStart w:id="9" w:name="Xda690928177ee703cc9f599d4f140fa01272600"/>
    <w:p>
      <w:pPr>
        <w:pStyle w:val="Heading2"/>
      </w:pPr>
      <w:r>
        <w:t xml:space="preserve">ПО ОБРАЩЕНИЮ С ОТХОДОМ «ЛАМПЫ НАКАЛИВАНИЯ, УТРАТИВШИЕ ПОТРЕБИТЕЛЬСКИЕ СВОЙСТВА»</w:t>
      </w:r>
    </w:p>
    <w:bookmarkEnd w:id="9"/>
    <w:bookmarkStart w:id="10" w:name="цель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отходом V класса опасности, обеспечение безопасного сбора и передачи для утилизации, предотвращение травматизма.</w:t>
      </w:r>
    </w:p>
    <w:bookmarkEnd w:id="10"/>
    <w:bookmarkStart w:id="11" w:name="область-применения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осуществляющих замену ламп накаливания (электриков, обслуживающий персонал), и ответственных за обращение с отходами.</w:t>
      </w:r>
    </w:p>
    <w:bookmarkEnd w:id="11"/>
    <w:bookmarkStart w:id="12" w:name="нормативные-правовые-акты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30.03.1999 № 52-ФЗ «О санитарно-эпидемиологическом благополучии населения».</w:t>
      </w:r>
    </w:p>
    <w:p>
      <w:pPr>
        <w:pStyle w:val="Compact"/>
        <w:numPr>
          <w:ilvl w:val="0"/>
          <w:numId w:val="1001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01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bookmarkEnd w:id="12"/>
    <w:bookmarkStart w:id="13" w:name="термины-и-определения"/>
    <w:p>
      <w:pPr>
        <w:pStyle w:val="Heading2"/>
      </w:pPr>
      <w:r>
        <w:t xml:space="preserve">4. ТЕРМИНЫ И ОПРЕДЕЛЕНИЯ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Лампа накаливания</w:t>
      </w:r>
      <w:r>
        <w:t xml:space="preserve"> </w:t>
      </w:r>
      <w:r>
        <w:t xml:space="preserve">– источник света, принцип действия которого основан на нагреве вольфрамовой нити; не содержит ртути.</w:t>
      </w:r>
    </w:p>
    <w:bookmarkEnd w:id="13"/>
    <w:bookmarkStart w:id="14" w:name="общие-сведения-об-отходах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Лампы накаливания, утратившие потребительские свойства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4 82 411 00 52 5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V (практически неопасные)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(стекло, металл)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Замена перегоревших ламп накаливания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Масса одной лампы – 0,05–0,2 кг. Состав: стекло (90 %), цоколь (металл, изолятор), нить накаливания (вольфрам).</w:t>
            </w:r>
          </w:p>
        </w:tc>
      </w:tr>
    </w:tbl>
    <w:bookmarkEnd w:id="14"/>
    <w:bookmarkStart w:id="15" w:name="опасные-свойства-и-воздействие"/>
    <w:p>
      <w:pPr>
        <w:pStyle w:val="Heading2"/>
      </w:pPr>
      <w:r>
        <w:t xml:space="preserve">6. ОПАСНЫЕ СВОЙСТВА И ВОЗДЕЙСТВИЕ</w:t>
      </w:r>
    </w:p>
    <w:p>
      <w:pPr>
        <w:pStyle w:val="FirstParagraph"/>
      </w:pPr>
      <w:r>
        <w:t xml:space="preserve">Отход не содержит ртути. Опасность представляют только осколки стекла, которые могут вызвать порезы. Стекло и металл подлежат вторичной переработке.</w:t>
      </w:r>
    </w:p>
    <w:bookmarkEnd w:id="15"/>
    <w:bookmarkStart w:id="20" w:name="образование-и-накопление"/>
    <w:p>
      <w:pPr>
        <w:pStyle w:val="Heading2"/>
      </w:pPr>
      <w:r>
        <w:t xml:space="preserve">7. ОБРАЗОВАНИЕ И НАКОПЛЕНИЕ</w:t>
      </w:r>
    </w:p>
    <w:bookmarkStart w:id="16" w:name="источники-образования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Замена ламп накаливания при выходе из строя в помещениях организации.</w:t>
      </w:r>
    </w:p>
    <w:bookmarkEnd w:id="16"/>
    <w:bookmarkStart w:id="17" w:name="способ-накопления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Отработанные лампы складываются в картонные коробки, полиэтиленовые мешки или контейнер для твердых коммунальных отходов. Во избежание боя рекомендуется перекладывать лампы бумагой или картоном. Запрещается накопление ламп навалом без тары.</w:t>
      </w:r>
    </w:p>
    <w:bookmarkEnd w:id="17"/>
    <w:bookmarkStart w:id="18" w:name="место-накопления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Складское помещение или контейнерная площадка. Хранить в сухом месте, исключающем механические воздействия.</w:t>
      </w:r>
    </w:p>
    <w:bookmarkEnd w:id="18"/>
    <w:bookmarkStart w:id="19" w:name="предельное-количество"/>
    <w:p>
      <w:pPr>
        <w:pStyle w:val="Heading3"/>
      </w:pPr>
      <w:r>
        <w:t xml:space="preserve">7.4. Предельное количество</w:t>
      </w:r>
    </w:p>
    <w:p>
      <w:pPr>
        <w:pStyle w:val="FirstParagraph"/>
      </w:pPr>
      <w:r>
        <w:t xml:space="preserve">Срок накопления – не более 11 месяцев. Объём накопления определяется лимитами.</w:t>
      </w:r>
    </w:p>
    <w:bookmarkEnd w:id="19"/>
    <w:bookmarkEnd w:id="20"/>
    <w:bookmarkStart w:id="21" w:name="учёт-образования-и-движения-отхода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Единица измерения – тонна (пересчёт из штук по средней массе, например, 0,1 кг на лампу). Масса определяется расчётным путём.</w:t>
      </w:r>
    </w:p>
    <w:bookmarkEnd w:id="21"/>
    <w:bookmarkStart w:id="22" w:name="паспортизация-отхода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Для отходов V класса опасности паспортизация не требуется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bookmarkEnd w:id="22"/>
    <w:bookmarkStart w:id="23" w:name="X696739770a02bd747ce0d8e0eee0d22a6286f9b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осуществляется по договору со специализированной организацией для размещения на полигоне ТКО или для утилизации (извлечение цветных металлов, стеклобой). Лицензия на деятельность с отходами V класса опасности не требуется, однако организация-перевозчик должна быть зарегистрирована в установленном порядке.</w:t>
      </w:r>
    </w:p>
    <w:bookmarkEnd w:id="23"/>
    <w:bookmarkStart w:id="24" w:name="транспортирование-отхода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В контейнерах или мешках, исключающих бой стекла. При погрузке соблюдать осторожность.</w:t>
      </w:r>
    </w:p>
    <w:bookmarkEnd w:id="24"/>
    <w:bookmarkStart w:id="25" w:name="X7d329f758924cf1e89c59fab3c55683d4353ac7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04"/>
        </w:numPr>
      </w:pPr>
      <w:r>
        <w:t xml:space="preserve">Бой ламп: собрать осколки в плотную тару (мешок, коробку) с использованием перчаток, веника и совка. Осколки не должны попадать в контейнеры для раздельного сбора стекла во избежание травматизма персонала.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5"/>
    <w:bookmarkEnd w:id="26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2026-10-16T06:10:15Z</dcterms:created>
  <dcterms:modified xsi:type="dcterms:W3CDTF">2026-10-16T06:10:15Z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