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инструкция-13"/>
    <w:p>
      <w:pPr>
        <w:pStyle w:val="Heading1"/>
      </w:pPr>
      <w:r>
        <w:t xml:space="preserve"># ИНСТРУКЦИЯ № 13</w:t>
      </w:r>
    </w:p>
    <w:bookmarkStart w:id="9" w:name="X0ec47962d36f606a5fdc367f4b3b783dedf066a"/>
    <w:p>
      <w:pPr>
        <w:pStyle w:val="Heading2"/>
      </w:pPr>
      <w:r>
        <w:t xml:space="preserve">ПО ОБРАЩЕНИЮ С ОТХОДОМ «КАРТРИДЖИ ПЕЧАТАЮЩИХ УСТРОЙСТВ С СОДЕРЖАНИЕМ ТОНЕРА МЕНЕЕ 7 % ОТРАБОТАННЫЕ»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отработанными картриджами, обеспечение безопасного сбора и передачи на утилизацию, предотвращение загрязнения тонером.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осуществляющих замену картриджей в оргтехнике, и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Картридж</w:t>
      </w:r>
      <w:r>
        <w:t xml:space="preserve"> </w:t>
      </w:r>
      <w:r>
        <w:t xml:space="preserve">– сменный блок для печатающих устройств, содержащий тонер (порошковый краситель) и конструктивные элементы (пластик, металл).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Тонер</w:t>
      </w:r>
      <w:r>
        <w:t xml:space="preserve"> </w:t>
      </w:r>
      <w:r>
        <w:t xml:space="preserve">– мелкодисперсный порошок на основе полимеров, сажи, магнитных добавок.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Картриджи печатающих устройств с содержанием тонера менее 7 % отработанные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4 81 203 02 52 4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(пластмассовый корпус с остатками тонера)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расходных материалов оргтехники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одного картриджа – 0,5–2 кг. Содержание тонера – менее 7 % от массы. Корпус – ABS-пластик, металлические элементы.</w:t>
            </w:r>
          </w:p>
        </w:tc>
      </w:tr>
    </w:tbl>
    <w:bookmarkEnd w:id="14"/>
    <w:bookmarkStart w:id="15" w:name="опасные-свойства-и-воздействие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Тонер представляет собой мелкодисперсную пыль, которая при вдыхании может вызывать раздражение дыхательных путей, аллергические реакции. Пластмассовый корпус является ценным вторичным ресурсом. Захоронение картриджей без предварительной обработки запрещено.</w:t>
      </w:r>
    </w:p>
    <w:bookmarkEnd w:id="15"/>
    <w:bookmarkStart w:id="21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Замена картриджей в лазерных принтерах, копировальных аппаратах, МФУ.</w:t>
      </w:r>
    </w:p>
    <w:bookmarkEnd w:id="16"/>
    <w:bookmarkStart w:id="17" w:name="способ-накопления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Отработанные картриджи складываются в полимерные мешки или картонные коробки. Картриджи не разбираются, тонер не высыпается.</w:t>
      </w:r>
    </w:p>
    <w:bookmarkEnd w:id="17"/>
    <w:bookmarkStart w:id="18" w:name="место-накопления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Сухое, проветриваемое помещение (склад расходных материалов, серверная). Доступ посторонних ограничен.</w:t>
      </w:r>
    </w:p>
    <w:bookmarkEnd w:id="18"/>
    <w:bookmarkStart w:id="19" w:name="запрещается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Разборка картриджей персоналом, не имеющим соответствующего допуска, высыпание тонера, накопление во влажных условиях.</w:t>
      </w:r>
    </w:p>
    <w:bookmarkEnd w:id="19"/>
    <w:bookmarkStart w:id="20" w:name="предельное-количество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Объём – согласно лимитам.</w:t>
      </w:r>
    </w:p>
    <w:bookmarkEnd w:id="20"/>
    <w:bookmarkEnd w:id="21"/>
    <w:bookmarkStart w:id="22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или по данным производителя (средняя масса одного картриджа).</w:t>
      </w:r>
    </w:p>
    <w:bookmarkEnd w:id="22"/>
    <w:bookmarkStart w:id="23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3"/>
    <w:bookmarkStart w:id="24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Передаются специализированным организациям для утилизации (восстановление, разделка на пластик и металл, термообезвреживание остатков тонера). Организация-получатель должна иметь лицензию на деятельность с отходами IV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</w:t>
      </w:r>
    </w:p>
    <w:bookmarkEnd w:id="24"/>
    <w:bookmarkStart w:id="25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упакованном виде (коробки, мешки), исключающем механические повреждения и просыпание тонера. Загрузка производится с осторожностью.</w:t>
      </w:r>
    </w:p>
    <w:bookmarkEnd w:id="25"/>
    <w:bookmarkStart w:id="26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04"/>
        </w:numPr>
      </w:pPr>
      <w:r>
        <w:t xml:space="preserve">При просыпании тонера: собрать пылесосом, не допуская взвешивания пыли в воздухе. Использовать респиратор и перчатки. Загрязнённые поверхности обработать влажной ветошью. Отходы уборки (тонер, ветошь) собирать в отдельный контейнер и передавать как отход IV класса опасности.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6"/>
    <w:bookmarkEnd w:id="27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2026-10-16T06:10:16Z</dcterms:created>
  <dcterms:modified xsi:type="dcterms:W3CDTF">2026-10-16T06:10:16Z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