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Опись комплекта, нормативная база и методика оценки профессиональных рисков</w:t>
      </w:r>
    </w:p>
    <w:bookmarkStart w:id="19" w:name="X8517b3ddf63dc5d66d0b80a5b013d6f7b4b7a0f"/>
    <w:p>
      <w:pPr>
        <w:pStyle w:val="Heading1"/>
      </w:pPr>
      <w:r>
        <w:t xml:space="preserve">Комплект документов по оценке профессиональных рисков</w:t>
      </w:r>
    </w:p>
    <w:bookmarkStart w:id="9" w:name="X102f60e6849d93fe95426416f9f9e52a20daa8f"/>
    <w:p>
      <w:pPr>
        <w:pStyle w:val="Heading2"/>
      </w:pPr>
      <w:r>
        <w:t xml:space="preserve">Муниципальное дошкольное образовательное учреждение — детский сад</w:t>
      </w:r>
    </w:p>
    <w:p>
      <w:pPr>
        <w:pStyle w:val="FirstParagraph"/>
      </w:pPr>
      <w:r>
        <w:rPr>
          <w:b/>
          <w:bCs/>
        </w:rPr>
        <w:t xml:space="preserve">Штатное расписание (30 должностей):</w:t>
      </w:r>
      <w:r>
        <w:t xml:space="preserve"> </w:t>
      </w:r>
      <w:r>
        <w:t xml:space="preserve">заведующий, заместитель заведующего,</w:t>
      </w:r>
      <w:r>
        <w:t xml:space="preserve"> </w:t>
      </w:r>
      <w:r>
        <w:t xml:space="preserve">заведующий хозяйством, делопроизводитель, специалист по охране труда, специалист</w:t>
      </w:r>
      <w:r>
        <w:t xml:space="preserve"> </w:t>
      </w:r>
      <w:r>
        <w:t xml:space="preserve">по кадрам, охранник, старший воспитатель, воспитатель, музыкальный руководитель,</w:t>
      </w:r>
      <w:r>
        <w:t xml:space="preserve"> </w:t>
      </w:r>
      <w:r>
        <w:t xml:space="preserve">педагог-психолог, педагог дополнительного образования, учитель-логопед, тьютор,</w:t>
      </w:r>
      <w:r>
        <w:t xml:space="preserve"> </w:t>
      </w:r>
      <w:r>
        <w:t xml:space="preserve">медицинская сестра, медсестра диетическая, помощник воспитателя, уборщик служебных</w:t>
      </w:r>
      <w:r>
        <w:t xml:space="preserve"> </w:t>
      </w:r>
      <w:r>
        <w:t xml:space="preserve">помещений, кладовщик, кастелянша, шеф-повар, кухонный рабочий, повар 4 разряда,</w:t>
      </w:r>
      <w:r>
        <w:t xml:space="preserve"> </w:t>
      </w:r>
      <w:r>
        <w:t xml:space="preserve">повар 3 разряда, рабочий по комплексному обслуживанию, дворник, сторож, оператор</w:t>
      </w:r>
      <w:r>
        <w:t xml:space="preserve"> </w:t>
      </w:r>
      <w:r>
        <w:t xml:space="preserve">газовой котельной, машинист по стирке, электромонтёр.</w:t>
      </w:r>
    </w:p>
    <w:p>
      <w:pPr>
        <w:pStyle w:val="BodyText"/>
      </w:pP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состав-комплекта"/>
    <w:p>
      <w:pPr>
        <w:pStyle w:val="Heading2"/>
      </w:pPr>
      <w:r>
        <w:t xml:space="preserve">1. Состав комплекта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00-sostav-komplekta-i-metodika.md</w:t>
            </w:r>
          </w:p>
        </w:tc>
        <w:tc>
          <w:tcPr/>
          <w:p>
            <w:pPr>
              <w:pStyle w:val="Compact"/>
            </w:pPr>
            <w:r>
              <w:t xml:space="preserve">Опись комплекта, нормативная база, методика и шкалы</w:t>
            </w:r>
          </w:p>
        </w:tc>
        <w:tc>
          <w:tcPr/>
          <w:p>
            <w:pPr>
              <w:pStyle w:val="Compact"/>
            </w:pPr>
            <w:r>
              <w:t xml:space="preserve">Методическая основа; остаётся в деле СУОТ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01-prikazy.md</w:t>
            </w:r>
          </w:p>
        </w:tc>
        <w:tc>
          <w:tcPr/>
          <w:p>
            <w:pPr>
              <w:pStyle w:val="Compact"/>
            </w:pPr>
            <w:r>
              <w:t xml:space="preserve">Приказы: о комиссии по ОПР; об утверждении Положения; об утверждении Карты рисков и Плана мероприятий; об ознакомлении работников</w:t>
            </w:r>
          </w:p>
        </w:tc>
        <w:tc>
          <w:tcPr/>
          <w:p>
            <w:pPr>
              <w:pStyle w:val="Compact"/>
            </w:pPr>
            <w:r>
              <w:t xml:space="preserve">Распорядительная база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02-polozhenie-upravlenie-profriskami.md</w:t>
            </w:r>
          </w:p>
        </w:tc>
        <w:tc>
          <w:tcPr/>
          <w:p>
            <w:pPr>
              <w:pStyle w:val="Compact"/>
            </w:pPr>
            <w:r>
              <w:t xml:space="preserve">Положение о порядке управления профессиональными рисками (раздел СУОТ)</w:t>
            </w:r>
          </w:p>
        </w:tc>
        <w:tc>
          <w:tcPr/>
          <w:p>
            <w:pPr>
              <w:pStyle w:val="Compact"/>
            </w:pPr>
            <w:r>
              <w:t xml:space="preserve">Закрепляет процедуру и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03-perechen-rabochih-mest.md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мест, профессий и аналогичных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Объект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04-karta-opasnostey-i-profriskov.md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Карта (реестр) идентифицированных опасностей и профессиональных рисков</w:t>
            </w:r>
            <w:r>
              <w:t xml:space="preserve"> </w:t>
            </w:r>
            <w:r>
              <w:t xml:space="preserve">— 30 разделов</w:t>
            </w:r>
          </w:p>
        </w:tc>
        <w:tc>
          <w:tcPr/>
          <w:p>
            <w:pPr>
              <w:pStyle w:val="Compact"/>
            </w:pPr>
            <w:r>
              <w:t xml:space="preserve">Основной результат ОПР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05-plan-meropriyatiy.md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по снижению уровней профессиональных рисков</w:t>
            </w:r>
          </w:p>
        </w:tc>
        <w:tc>
          <w:tcPr/>
          <w:p>
            <w:pPr>
              <w:pStyle w:val="Compact"/>
            </w:pPr>
            <w:r>
              <w:t xml:space="preserve">Управляющие воздействия, сроки, финансирование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06-svodnaya-vedomost-i-pokazateli.md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ведомость, статистика уровней риска, показатели результативности</w:t>
            </w:r>
          </w:p>
        </w:tc>
        <w:tc>
          <w:tcPr/>
          <w:p>
            <w:pPr>
              <w:pStyle w:val="Compact"/>
            </w:pPr>
            <w:r>
              <w:t xml:space="preserve">Аналитика для руководителя и ГИТ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07-oznakomlenie-i-monitoring.md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ознакомления, график мониторинга, перечень триггеров пересмотра ОПР</w:t>
            </w:r>
          </w:p>
        </w:tc>
        <w:tc>
          <w:tcPr/>
          <w:p>
            <w:pPr>
              <w:pStyle w:val="Compact"/>
            </w:pPr>
            <w:r>
              <w:t xml:space="preserve">Доказательства исполнения ст. 214 ТК РФ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6b3afbf1b80cf2388242d50f41619f12120209"/>
    <w:p>
      <w:pPr>
        <w:pStyle w:val="Heading2"/>
      </w:pPr>
      <w:r>
        <w:t xml:space="preserve">2. Нормативная база (ОБЯЗАТЕЛЬНО / РЕКОМЕНДАТЕЛЬНО)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Применение в комплекте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ТК РФ ст. 209, 214, 214.1, 214.2, 216, 216.1, 216.2, 218, 219–226, 227–231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Обязанность работодателя; управление рисками в СУОТ; термины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776н (Примерное положение о СУОТ)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Модель СУОТ; п. 21 — ОПР для всех выявленных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31.01.2022 № 36 (классификация, обнаружение, распознавание и описание опасностей)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Процедура идентификации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28.12.2021 № 926 (выбор методов оценки уровней ПР)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Выбор метода, иерархия мер, приложения (контрольные листы)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771н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Ежегодный перечень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охране труда по профессиям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766н, № 767н (ЕТН)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СИЗ, смывающие средства, нормы выдачи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21.11.2023 № 817н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Методика СОУТ (до 01.09.2030)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Постановление Правительства РФ от 24.12.2021 № 2464 (ред. ПП РФ от 30.06.2026 № 805, с 31.08.2026, до 01.09.2032)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Обучение, стажировка, допуски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Минздрава России от 28.01.2021 № 29н (ред. от 02.10.2024, до 01.04.2027)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Медосмотры, перечень факторов и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Минздрава России от 02.07.2025 № 392н (с 01.03.2026, до 01.09.2028)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Психиатрическое освидетельствование педагогических и иных работников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29.04.2025 № 287н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Сроки действия ПОТ (до 01.09.2027 / 2031 / 2032)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 при эксплуатации электроустановок (приказ Минтруда России от 15.12.2020 № 903н,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Электромонтёр, персонал с группой по ЭБ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промышленной безопасности (газовая котельная), ПОТ в ЖКХ (№ 758н,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16.12.2024 № 1120 (с 01.09.2025,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Пожарная безопасность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по дошкольным организациям, гигиенические нормативы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Микроклимат, освещение, шум, питание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ИСО 45001-2020; ГОСТ Р 12.0.010-2009; ГОСТ Р ИСО 45003-2026 (с 01.02.2027); ГОСТ Р ИСО 45004-2026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Методология, психосоциальные риски, показатели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 РФ ст. 5.27.1; УК РФ ст. 143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</w:tbl>
    <w:p>
      <w:pPr>
        <w:pStyle w:val="BlockText"/>
      </w:pPr>
      <w:r>
        <w:t xml:space="preserve">ВАЖНО: Перед утверждением проверьте редакции и сроки действия актов на</w:t>
      </w:r>
      <w:r>
        <w:t xml:space="preserve"> </w:t>
      </w:r>
      <w:r>
        <w:t xml:space="preserve">pravo.gov.ru / consultant.ru / garant.ru, а также наличие обновлённых отраслевых</w:t>
      </w:r>
      <w:r>
        <w:t xml:space="preserve"> </w:t>
      </w:r>
      <w:r>
        <w:t xml:space="preserve">ПОТ и СанПиН для дошкольных организаций.</w:t>
      </w:r>
    </w:p>
    <w:p>
      <w:r>
        <w:pict>
          <v:rect style="width:0;height:1.5pt" o:hralign="center" o:hrstd="t" o:hr="t"/>
        </w:pict>
      </w:r>
    </w:p>
    <w:bookmarkEnd w:id="11"/>
    <w:bookmarkStart w:id="16" w:name="метод-оценки-закреплён-в-положении"/>
    <w:p>
      <w:pPr>
        <w:pStyle w:val="Heading2"/>
      </w:pPr>
      <w:r>
        <w:t xml:space="preserve">3. Метод оценки (закреплён в Положении)</w:t>
      </w:r>
    </w:p>
    <w:p>
      <w:pPr>
        <w:pStyle w:val="FirstParagraph"/>
      </w:pPr>
      <w:r>
        <w:rPr>
          <w:b/>
          <w:bCs/>
        </w:rPr>
        <w:t xml:space="preserve">Метод:</w:t>
      </w:r>
      <w:r>
        <w:t xml:space="preserve"> </w:t>
      </w:r>
      <w:r>
        <w:t xml:space="preserve">матричный с балльной оценкой (приказ Минтруда России № 926, разд. 4.1.2)</w:t>
      </w:r>
      <w:r>
        <w:t xml:space="preserve"> </w:t>
      </w:r>
      <w:r>
        <w:t xml:space="preserve">в сочетании с контрольными листами (приложения к № 926) — выбран как простой,</w:t>
      </w:r>
      <w:r>
        <w:t xml:space="preserve"> </w:t>
      </w:r>
      <w:r>
        <w:t xml:space="preserve">воспроизводимый и не требующий специальной подготовки комиссии; применим при</w:t>
      </w:r>
      <w:r>
        <w:t xml:space="preserve"> </w:t>
      </w:r>
      <w:r>
        <w:t xml:space="preserve">численности до 100 человек и отсутствии сложного технологического оборудования,</w:t>
      </w:r>
      <w:r>
        <w:t xml:space="preserve"> </w:t>
      </w:r>
      <w:r>
        <w:t xml:space="preserve">кроме газовой котельной — по ней применяется</w:t>
      </w:r>
      <w:r>
        <w:t xml:space="preserve"> </w:t>
      </w:r>
      <w:r>
        <w:rPr>
          <w:b/>
          <w:bCs/>
        </w:rPr>
        <w:t xml:space="preserve">экспертный метод с анализом</w:t>
      </w:r>
      <w:r>
        <w:rPr>
          <w:b/>
          <w:bCs/>
        </w:rPr>
        <w:t xml:space="preserve"> </w:t>
      </w:r>
      <w:r>
        <w:rPr>
          <w:b/>
          <w:bCs/>
        </w:rPr>
        <w:t xml:space="preserve">сценариев</w:t>
      </w:r>
      <w:r>
        <w:t xml:space="preserve"> </w:t>
      </w:r>
      <w:r>
        <w:t xml:space="preserve">(потенциально тяжёлые последствия: взрыв, отравление CO).</w:t>
      </w:r>
    </w:p>
    <w:bookmarkStart w:id="12" w:name="шкала-вероятности-в"/>
    <w:p>
      <w:pPr>
        <w:pStyle w:val="Heading3"/>
      </w:pPr>
      <w:r>
        <w:t xml:space="preserve">3.1. Шкала вероятности (В)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Критерий для детского сада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Крайне маловероятно</w:t>
            </w:r>
          </w:p>
        </w:tc>
        <w:tc>
          <w:tcPr/>
          <w:p>
            <w:pPr>
              <w:pStyle w:val="Compact"/>
            </w:pPr>
            <w:r>
              <w:t xml:space="preserve">За 3 года случаев и предпосылок не было; реализация требует редкого сочетания обстоятельств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Маловероятно</w:t>
            </w:r>
          </w:p>
        </w:tc>
        <w:tc>
          <w:tcPr/>
          <w:p>
            <w:pPr>
              <w:pStyle w:val="Compact"/>
            </w:pPr>
            <w:r>
              <w:t xml:space="preserve">Возможно при грубом нарушении регламента; за 3 года — единичные предпосылки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Вероятно</w:t>
            </w:r>
          </w:p>
        </w:tc>
        <w:tc>
          <w:tcPr/>
          <w:p>
            <w:pPr>
              <w:pStyle w:val="Compact"/>
            </w:pPr>
            <w:r>
              <w:t xml:space="preserve">Инциденты/микротравмы фиксировались; предпосылки (мокрый пол, скопление детей, сбои оборудования) возникают регулярно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Весьма вероятно</w:t>
            </w:r>
          </w:p>
        </w:tc>
        <w:tc>
          <w:tcPr/>
          <w:p>
            <w:pPr>
              <w:pStyle w:val="Compact"/>
            </w:pPr>
            <w:r>
              <w:t xml:space="preserve">Случалось ранее, условия сохраняются, меры контроля отсутствуют или не работают</w:t>
            </w:r>
          </w:p>
        </w:tc>
      </w:tr>
    </w:tbl>
    <w:bookmarkEnd w:id="12"/>
    <w:bookmarkStart w:id="13" w:name="шкала-тяжести-последствий-т"/>
    <w:p>
      <w:pPr>
        <w:pStyle w:val="Heading3"/>
      </w:pPr>
      <w:r>
        <w:t xml:space="preserve">3.2. Шкала тяжести последствий (Т)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Микротравма, ушиб, дискомфорт, утомление без утраты трудоспособности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Лёгкая</w:t>
            </w:r>
          </w:p>
        </w:tc>
        <w:tc>
          <w:tcPr/>
          <w:p>
            <w:pPr>
              <w:pStyle w:val="Compact"/>
            </w:pPr>
            <w:r>
              <w:t xml:space="preserve">Лёгкий вред здоровью, временная нетрудоспособность до 30 дней, оформление акта Н-1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Тяжёлая</w:t>
            </w:r>
          </w:p>
        </w:tc>
        <w:tc>
          <w:tcPr/>
          <w:p>
            <w:pPr>
              <w:pStyle w:val="Compact"/>
            </w:pPr>
            <w:r>
              <w:t xml:space="preserve">Тяжёлый вред здоровью, стойкая утрата трудоспособности, профессиональное заболевание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Катастрофическая</w:t>
            </w:r>
          </w:p>
        </w:tc>
        <w:tc>
          <w:tcPr/>
          <w:p>
            <w:pPr>
              <w:pStyle w:val="Compact"/>
            </w:pPr>
            <w:r>
              <w:t xml:space="preserve">Смерть одного работника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Катастрофическая (групповая)</w:t>
            </w:r>
          </w:p>
        </w:tc>
        <w:tc>
          <w:tcPr/>
          <w:p>
            <w:pPr>
              <w:pStyle w:val="Compact"/>
            </w:pPr>
            <w:r>
              <w:t xml:space="preserve">Смерть двух и более лиц (в т. ч. детей и посетителей), авария с групповым поражением</w:t>
            </w:r>
          </w:p>
        </w:tc>
      </w:tr>
    </w:tbl>
    <w:bookmarkEnd w:id="13"/>
    <w:bookmarkStart w:id="14" w:name="матрица-уровней-риска-ур-в-т"/>
    <w:p>
      <w:pPr>
        <w:pStyle w:val="Heading3"/>
      </w:pPr>
      <w:r>
        <w:t xml:space="preserve">3.3. Матрица уровней риска (УР = В × 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 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16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20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9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15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10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реагирования: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Баллы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 (приемлемый)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Поддерживать существующие меры, плановый 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(умеренный)</w:t>
            </w:r>
          </w:p>
        </w:tc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управления, включить в годовой план, контроль 2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 (неприемлемый)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Обязательные меры с финансированием и сроками; контроль ежемесячно; при невозможности снизить — ограничение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 (недопустимый)</w:t>
            </w:r>
          </w:p>
        </w:tc>
        <w:tc>
          <w:tcPr/>
          <w:p>
            <w:pPr>
              <w:pStyle w:val="Compact"/>
            </w:pPr>
            <w:r>
              <w:t xml:space="preserve">13–20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Немедленная приостановка работ/эксплуатации</w:t>
            </w:r>
            <w:r>
              <w:t xml:space="preserve"> </w:t>
            </w:r>
            <w:r>
              <w:t xml:space="preserve">(ст. 214.1, 216.1 ТК РФ) до снижения риска; извещение заведующего и учредителя</w:t>
            </w:r>
          </w:p>
        </w:tc>
      </w:tr>
    </w:tbl>
    <w:bookmarkEnd w:id="14"/>
    <w:bookmarkStart w:id="15" w:name="иерархия-мер-управления"/>
    <w:p>
      <w:pPr>
        <w:pStyle w:val="Heading3"/>
      </w:pPr>
      <w:r>
        <w:t xml:space="preserve">3.4. Иерархия мер управления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Исключение</w:t>
      </w:r>
      <w:r>
        <w:t xml:space="preserve"> </w:t>
      </w:r>
      <w:r>
        <w:t xml:space="preserve">опасности (например, исключить работу на высоте со стремянок —</w:t>
      </w:r>
      <w:r>
        <w:t xml:space="preserve"> </w:t>
      </w:r>
      <w:r>
        <w:t xml:space="preserve">использовать телескопическую швабру/стремянку с площадкой и поручнем, вынести</w:t>
      </w:r>
      <w:r>
        <w:t xml:space="preserve"> </w:t>
      </w:r>
      <w:r>
        <w:t xml:space="preserve">мойку окон на подрядчика).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Замена</w:t>
      </w:r>
      <w:r>
        <w:t xml:space="preserve"> </w:t>
      </w:r>
      <w:r>
        <w:t xml:space="preserve">(менее токсичные моющие средства, готовые дезсредства в дозаторах,</w:t>
      </w:r>
      <w:r>
        <w:t xml:space="preserve"> </w:t>
      </w:r>
      <w:r>
        <w:t xml:space="preserve">электрическая плита вместо открытого огня).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Инженерные (технические) меры</w:t>
      </w:r>
      <w:r>
        <w:t xml:space="preserve"> </w:t>
      </w:r>
      <w:r>
        <w:t xml:space="preserve">— ограждения, блокировки, УЗО, принудительная</w:t>
      </w:r>
      <w:r>
        <w:t xml:space="preserve"> </w:t>
      </w:r>
      <w:r>
        <w:t xml:space="preserve">вентиляция, газоанализаторы, нескользящие покрытия, поручни, системы</w:t>
      </w:r>
      <w:r>
        <w:t xml:space="preserve"> </w:t>
      </w:r>
      <w:r>
        <w:t xml:space="preserve">автоматического отключения, антивандальные крепления мебели.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Административные (организационные)</w:t>
      </w:r>
      <w:r>
        <w:t xml:space="preserve"> </w:t>
      </w:r>
      <w:r>
        <w:t xml:space="preserve">— инструкции, наряды-допуски, регламенты,</w:t>
      </w:r>
      <w:r>
        <w:t xml:space="preserve"> </w:t>
      </w:r>
      <w:r>
        <w:t xml:space="preserve">графики проветривания, обучение, инструктажи, контроль, ротация, СОУТ,</w:t>
      </w:r>
      <w:r>
        <w:t xml:space="preserve"> </w:t>
      </w:r>
      <w:r>
        <w:t xml:space="preserve">медосмотры, режим труда и отдыха.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СИЗ</w:t>
      </w:r>
      <w:r>
        <w:t xml:space="preserve"> </w:t>
      </w:r>
      <w:r>
        <w:t xml:space="preserve">— перчатки, обувь, очки, респираторы, СИЗ от падения, диэлектрические</w:t>
      </w:r>
      <w:r>
        <w:t xml:space="preserve"> </w:t>
      </w:r>
      <w:r>
        <w:t xml:space="preserve">средства, сигнальная одежда для дворника.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порядок-заполнения-и-внедрения"/>
    <w:p>
      <w:pPr>
        <w:pStyle w:val="Heading2"/>
      </w:pPr>
      <w:r>
        <w:t xml:space="preserve">4. Порядок заполнения и внедрения</w:t>
      </w:r>
    </w:p>
    <w:p>
      <w:pPr>
        <w:pStyle w:val="Compact"/>
        <w:numPr>
          <w:ilvl w:val="0"/>
          <w:numId w:val="1002"/>
        </w:numPr>
      </w:pPr>
      <w:r>
        <w:t xml:space="preserve">Издать приказ о комиссии по ОПР (</w:t>
      </w:r>
      <w:r>
        <w:rPr>
          <w:rStyle w:val="VerbatimChar"/>
        </w:rPr>
        <w:t xml:space="preserve">01-prikazy.md</w:t>
      </w:r>
      <w:r>
        <w:t xml:space="preserve">, приказ № 1).</w:t>
      </w:r>
    </w:p>
    <w:p>
      <w:pPr>
        <w:pStyle w:val="Compact"/>
        <w:numPr>
          <w:ilvl w:val="0"/>
          <w:numId w:val="1002"/>
        </w:numPr>
      </w:pPr>
      <w:r>
        <w:t xml:space="preserve">Утвердить Положение о порядке управления профессиональными рисками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02-polozhenie-…md</w:t>
      </w:r>
      <w:r>
        <w:t xml:space="preserve">, приказ № 2).</w:t>
      </w:r>
    </w:p>
    <w:p>
      <w:pPr>
        <w:pStyle w:val="Compact"/>
        <w:numPr>
          <w:ilvl w:val="0"/>
          <w:numId w:val="1002"/>
        </w:numPr>
      </w:pPr>
      <w:r>
        <w:t xml:space="preserve">Утвердить Перечень рабочих мест (</w:t>
      </w:r>
      <w:r>
        <w:rPr>
          <w:rStyle w:val="VerbatimChar"/>
        </w:rPr>
        <w:t xml:space="preserve">03-perechen-rabochih-mest.md</w:t>
      </w:r>
      <w:r>
        <w:t xml:space="preserve">) — проставить</w:t>
      </w:r>
      <w:r>
        <w:t xml:space="preserve"> </w:t>
      </w:r>
      <w:r>
        <w:t xml:space="preserve">фактическую численность по штатному расписанию.</w:t>
      </w:r>
    </w:p>
    <w:p>
      <w:pPr>
        <w:pStyle w:val="Compact"/>
        <w:numPr>
          <w:ilvl w:val="0"/>
          <w:numId w:val="1002"/>
        </w:numPr>
      </w:pPr>
      <w:r>
        <w:t xml:space="preserve">Комиссия обходит рабочие места, заполняет Карту опасностей и рисков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04-karta-…md</w:t>
      </w:r>
      <w:r>
        <w:t xml:space="preserve">): баллы В и Т —</w:t>
      </w:r>
      <w:r>
        <w:t xml:space="preserve"> </w:t>
      </w:r>
      <w:r>
        <w:rPr>
          <w:b/>
          <w:bCs/>
        </w:rPr>
        <w:t xml:space="preserve">решение комиссии простым большинством</w:t>
      </w:r>
      <w:r>
        <w:t xml:space="preserve">,</w:t>
      </w:r>
      <w:r>
        <w:t xml:space="preserve"> </w:t>
      </w:r>
      <w:r>
        <w:t xml:space="preserve">особое мнение фиксируется в протоколе.</w:t>
      </w:r>
    </w:p>
    <w:p>
      <w:pPr>
        <w:pStyle w:val="Compact"/>
        <w:numPr>
          <w:ilvl w:val="0"/>
          <w:numId w:val="1002"/>
        </w:numPr>
      </w:pPr>
      <w:r>
        <w:t xml:space="preserve">Утвердить План мероприятий (</w:t>
      </w:r>
      <w:r>
        <w:rPr>
          <w:rStyle w:val="VerbatimChar"/>
        </w:rPr>
        <w:t xml:space="preserve">05-plan-meropriyatiy.md</w:t>
      </w:r>
      <w:r>
        <w:t xml:space="preserve">) с бюджетом (ст. 226 ТК РФ</w:t>
      </w:r>
      <w:r>
        <w:t xml:space="preserve"> </w:t>
      </w:r>
      <w:r>
        <w:t xml:space="preserve">— не менее 0,2 % затрат; плюс заявка в СФР на предупредительные меры по 125-ФЗ,</w:t>
      </w:r>
      <w:r>
        <w:t xml:space="preserve"> </w:t>
      </w:r>
      <w:r>
        <w:t xml:space="preserve">срок подачи — до 15 ноября).</w:t>
      </w:r>
    </w:p>
    <w:p>
      <w:pPr>
        <w:pStyle w:val="Compact"/>
        <w:numPr>
          <w:ilvl w:val="0"/>
          <w:numId w:val="1002"/>
        </w:numPr>
      </w:pPr>
      <w:r>
        <w:t xml:space="preserve">Заполнить Сводную ведомость (</w:t>
      </w:r>
      <w:r>
        <w:rPr>
          <w:rStyle w:val="VerbatimChar"/>
        </w:rPr>
        <w:t xml:space="preserve">06-svodnaya-…md</w:t>
      </w:r>
      <w:r>
        <w:t xml:space="preserve">), определить показатели</w:t>
      </w:r>
      <w:r>
        <w:t xml:space="preserve"> </w:t>
      </w:r>
      <w:r>
        <w:t xml:space="preserve">результативности.</w:t>
      </w:r>
    </w:p>
    <w:p>
      <w:pPr>
        <w:pStyle w:val="Compact"/>
        <w:numPr>
          <w:ilvl w:val="0"/>
          <w:numId w:val="1002"/>
        </w:numPr>
      </w:pPr>
      <w:r>
        <w:t xml:space="preserve">Ознакомить работников под подпись (</w:t>
      </w:r>
      <w:r>
        <w:rPr>
          <w:rStyle w:val="VerbatimChar"/>
        </w:rPr>
        <w:t xml:space="preserve">07-oznakomlenie-i-monitoring.md</w:t>
      </w:r>
      <w:r>
        <w:t xml:space="preserve">)</w:t>
      </w:r>
      <w:r>
        <w:t xml:space="preserve"> </w:t>
      </w:r>
      <w:r>
        <w:t xml:space="preserve">— ст. 214 ТК РФ.</w:t>
      </w:r>
    </w:p>
    <w:p>
      <w:pPr>
        <w:pStyle w:val="Compact"/>
        <w:numPr>
          <w:ilvl w:val="0"/>
          <w:numId w:val="1002"/>
        </w:numPr>
      </w:pPr>
      <w:r>
        <w:t xml:space="preserve">Провести внеплановое обучение по результатам ОПР (постановление № 2464).</w:t>
      </w:r>
    </w:p>
    <w:p>
      <w:pPr>
        <w:pStyle w:val="Compact"/>
        <w:numPr>
          <w:ilvl w:val="0"/>
          <w:numId w:val="1002"/>
        </w:numPr>
      </w:pPr>
      <w:r>
        <w:t xml:space="preserve">Мониторинг — не реже 1 раза в год + внепланово по триггерам (см.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Xf76d0c3be5069485faeed8055858d82369a7f5b"/>
    <w:p>
      <w:pPr>
        <w:pStyle w:val="Heading2"/>
      </w:pPr>
      <w:r>
        <w:t xml:space="preserve">5. Обязательные связки с другими процессами СУОТ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 ОПР</w:t>
            </w:r>
          </w:p>
        </w:tc>
        <w:tc>
          <w:tcPr/>
          <w:p>
            <w:pPr>
              <w:pStyle w:val="Compact"/>
            </w:pPr>
            <w:r>
              <w:t xml:space="preserve">Куда передаётся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Перечень работ повышенной опасности (электроустановки, газовая котельная, работы на высоте, погрузочно-разгрузочные)</w:t>
            </w:r>
          </w:p>
        </w:tc>
        <w:tc>
          <w:tcPr/>
          <w:p>
            <w:pPr>
              <w:pStyle w:val="Compact"/>
            </w:pPr>
            <w:r>
              <w:t xml:space="preserve">Наряды-допуски, перечень профессий с программой «В», доплаты, медосмотры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Перечень вредных факторов (шум, микроклимат на кухне и в котельной, химия, биологический, тяжесть труда)</w:t>
            </w:r>
          </w:p>
        </w:tc>
        <w:tc>
          <w:tcPr/>
          <w:p>
            <w:pPr>
              <w:pStyle w:val="Compact"/>
            </w:pPr>
            <w:r>
              <w:t xml:space="preserve">Задание на СОУТ, поименные списки на медосмотры (приказ № 29н)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 в СИЗ</w:t>
            </w:r>
          </w:p>
        </w:tc>
        <w:tc>
          <w:tcPr/>
          <w:p>
            <w:pPr>
              <w:pStyle w:val="Compact"/>
            </w:pPr>
            <w:r>
              <w:t xml:space="preserve">ЕТН (приказ № 767н), карточки учёта (№ 766н)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Опасности по профессиям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ОТ (приказ № 772н), программы инструктажей и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Психосоциальные факторы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 психосоциальными рисками (ГОСТ Р ИСО 45003-2026, с 01.02.2027)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Высокие и критические риски</w:t>
            </w:r>
          </w:p>
        </w:tc>
        <w:tc>
          <w:tcPr/>
          <w:p>
            <w:pPr>
              <w:pStyle w:val="Compact"/>
            </w:pPr>
            <w:r>
              <w:t xml:space="preserve">Первоочередные мероприятия, заявка СФР, доклад заведующему, цели СУОТ на год</w:t>
            </w:r>
          </w:p>
        </w:tc>
      </w:tr>
    </w:tbl>
    <w:bookmarkEnd w:id="18"/>
    <w:bookmarkEnd w:id="19"/>
    <w:sectPr>
      <w:footnotePr>
        <w:numRestart w:val="eachSect"/>
      </w:footnotePr>
      <w:pgSz w:h="16838" w:w="11906"/>
      <w:pgMar w:bottom="850" w:left="1134" w:right="1134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комплекта, нормативная база и методика оценки профессиональных рисков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