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инструкция-2"/>
    <w:p>
      <w:pPr>
        <w:pStyle w:val="Heading1"/>
      </w:pPr>
      <w:r>
        <w:t xml:space="preserve"># ИНСТРУКЦИЯ № 2</w:t>
      </w:r>
    </w:p>
    <w:bookmarkStart w:id="9" w:name="X58003404a25ab381f09def5e6e22bfe2ca2c2c2"/>
    <w:p>
      <w:pPr>
        <w:pStyle w:val="Heading2"/>
      </w:pPr>
      <w:r>
        <w:t xml:space="preserve">ПО ОБРАЩЕНИЮ С ОТХОДОМ «СМЕТ С ТЕРРИТОРИИ ПРЕДПРИЯТИЯ МАЛООПАСНЫЙ»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отходом «Смет с территории предприятия малоопасный» для обеспечения экологической безопасности, соблюдения санитарно-гигиенических требований и предотвращения загрязнения окружающей среды при уборке территории предприятия.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всех работников, осуществляющих уборку территории предприятия (в том числе с применением средств механизации), а также на лиц, ответственных за обращение с отходами.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 (статьи 34, 39).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 (статьи 11, 13, 22).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 (статьи 22, 23).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 (статья 14).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 (статья 12, пункт 30).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 </w:t>
      </w:r>
      <w:r>
        <w:t xml:space="preserve">«О лицензировании деятельности по сбору, транспортированию, обработке, утилизации, обезвреживанию, размещению отходов I–IV классов опасности».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«Об утверждении федерального классификационного каталога отходов»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 «Об утверждении критериев отнесения отходов к I–V классам опасности».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 </w:t>
      </w:r>
      <w:r>
        <w:t xml:space="preserve">«Об утверждении Порядка учёта в области обращения с отходами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 </w:t>
      </w:r>
      <w:r>
        <w:t xml:space="preserve">«Об утверждении Порядка паспортизации и типовых форм паспортов отходов I–IV классов опасности».</w:t>
      </w:r>
    </w:p>
    <w:p>
      <w:pPr>
        <w:pStyle w:val="Compact"/>
        <w:numPr>
          <w:ilvl w:val="0"/>
          <w:numId w:val="1001"/>
        </w:numPr>
      </w:pPr>
      <w:r>
        <w:t xml:space="preserve">СанПиН 2.1.3684-21 (в редакции Постановления Главного государственного санитарного врача РФ от 12.02.2026 № 2).</w:t>
      </w:r>
    </w:p>
    <w:p>
      <w:pPr>
        <w:pStyle w:val="Compact"/>
        <w:numPr>
          <w:ilvl w:val="0"/>
          <w:numId w:val="1001"/>
        </w:numPr>
      </w:pPr>
      <w:r>
        <w:t xml:space="preserve">Распоряжение Правительства РФ от 25.07.2017 № 1589-р.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настоящей инструкции используются термины и определения, установленные Федеральным законом от 24.06.1998 № 89-ФЗ,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, а также: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Смет</w:t>
      </w:r>
      <w:r>
        <w:t xml:space="preserve"> </w:t>
      </w:r>
      <w:r>
        <w:t xml:space="preserve">– отход, образующийся при уборке твёрдых покрытий, состоящий из песка, пыли, мелких механических примесей, листьев, а также (в зависимости от характера территории) остатков нефтепродуктов, реагентов.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Смет с территории предприятия малоопасный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7 33 390 01 71 4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(пылевидное, мелкодисперсное)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Механическая уборка твердых покрытий (асфальт, бетон, плитка) территории предприятия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Насыпная плотность 1,2–1,5 т/м³, влажность до 10 %. Содержание нефтепродуктов – до 0,5 %. Состав: песок (60–80 %), пыль (10–20 %), мелкий гравий, листовой опад, остатки реагентов.</w:t>
            </w:r>
          </w:p>
        </w:tc>
      </w:tr>
    </w:tbl>
    <w:bookmarkEnd w:id="14"/>
    <w:bookmarkStart w:id="15" w:name="X7f242d6e7ddd647a8a2b1e122537d959eb8a422"/>
    <w:p>
      <w:pPr>
        <w:pStyle w:val="Heading2"/>
      </w:pPr>
      <w:r>
        <w:t xml:space="preserve">6. ОПАСНЫЕ СВОЙСТВА И ВОЗДЕЙСТВИЕ КОМПОНЕНТОВ ОТХОДОВ НА ОКРУЖАЮЩУЮ СРЕДУ И ЧЕЛОВЕКА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Пылевое воздействие:</w:t>
      </w:r>
      <w:r>
        <w:t xml:space="preserve"> </w:t>
      </w:r>
      <w:r>
        <w:t xml:space="preserve">мелкодисперсная пыль может вызывать раздражение дыхательных путей, аллергические реакции.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Химическое загрязнение:</w:t>
      </w:r>
      <w:r>
        <w:t xml:space="preserve"> </w:t>
      </w:r>
      <w:r>
        <w:t xml:space="preserve">при наличии нефтепродуктов отход может загрязнять почву и водные объекты.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Пожароопасность:</w:t>
      </w:r>
      <w:r>
        <w:t xml:space="preserve"> </w:t>
      </w:r>
      <w:r>
        <w:t xml:space="preserve">при значительном накоплении сухих растительных остатков и наличии нефтепродуктов возможно возгорание.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Водное загрязнение:</w:t>
      </w:r>
      <w:r>
        <w:t xml:space="preserve"> </w:t>
      </w:r>
      <w:r>
        <w:t xml:space="preserve">смыв смета в ливневую канализацию приводит к заилению коллекторов.</w:t>
      </w:r>
    </w:p>
    <w:bookmarkEnd w:id="15"/>
    <w:bookmarkStart w:id="22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Уборка прилегающей территории, проездов, тротуаров, парковок, площадок временного хранения.</w:t>
      </w:r>
    </w:p>
    <w:bookmarkEnd w:id="16"/>
    <w:bookmarkStart w:id="17" w:name="первичный-сбор"/>
    <w:p>
      <w:pPr>
        <w:pStyle w:val="Heading3"/>
      </w:pPr>
      <w:r>
        <w:t xml:space="preserve">7.2. Первичный сбор</w:t>
      </w:r>
    </w:p>
    <w:p>
      <w:pPr>
        <w:pStyle w:val="FirstParagraph"/>
      </w:pPr>
      <w:r>
        <w:t xml:space="preserve">Смет собирается вручную (метлы, совки) или механизированным способом (подметально-уборочные машины) и загружается в контейнеры или бункеры.</w:t>
      </w:r>
    </w:p>
    <w:bookmarkEnd w:id="17"/>
    <w:bookmarkStart w:id="18" w:name="места-временного-накопления"/>
    <w:p>
      <w:pPr>
        <w:pStyle w:val="Heading3"/>
      </w:pPr>
      <w:r>
        <w:t xml:space="preserve">7.3. Места временного накопления</w:t>
      </w:r>
    </w:p>
    <w:p>
      <w:pPr>
        <w:pStyle w:val="FirstParagraph"/>
      </w:pPr>
      <w:r>
        <w:t xml:space="preserve">Накопление производится на специально отведённой площадке с твёрдым покрытием, исключающей загрязнение почвы. Площадка должна быть оборудована поддонами или бортиками, а также защищена от ветра (сетка, навес) для снижения пыления.</w:t>
      </w:r>
    </w:p>
    <w:bookmarkEnd w:id="18"/>
    <w:bookmarkStart w:id="19" w:name="способ-накопления"/>
    <w:p>
      <w:pPr>
        <w:pStyle w:val="Heading3"/>
      </w:pPr>
      <w:r>
        <w:t xml:space="preserve">7.4. Способ накопления</w:t>
      </w:r>
    </w:p>
    <w:p>
      <w:pPr>
        <w:pStyle w:val="FirstParagraph"/>
      </w:pPr>
      <w:r>
        <w:t xml:space="preserve">Смет накапливается в металлических контейнерах с крышками или в бункерах-накопителях объёмом 8–30 м³. Допускается временное накопление навалом на площадке при условии последующей механизированной погрузки, но не более 7 суток. Запрещается смешивание с отходами I–III классов опасности.</w:t>
      </w:r>
    </w:p>
    <w:bookmarkEnd w:id="19"/>
    <w:bookmarkStart w:id="20" w:name="предельное-количество-и-сроки"/>
    <w:p>
      <w:pPr>
        <w:pStyle w:val="Heading3"/>
      </w:pPr>
      <w:r>
        <w:t xml:space="preserve">7.5. Предельное количество и сроки</w:t>
      </w:r>
    </w:p>
    <w:p>
      <w:pPr>
        <w:pStyle w:val="FirstParagraph"/>
      </w:pPr>
      <w:r>
        <w:t xml:space="preserve">Срок накопления – не более 11 месяцев. Предельное количество определяется лимитами накопления.</w:t>
      </w:r>
    </w:p>
    <w:bookmarkEnd w:id="20"/>
    <w:bookmarkStart w:id="21" w:name="контроль-качества"/>
    <w:p>
      <w:pPr>
        <w:pStyle w:val="Heading3"/>
      </w:pPr>
      <w:r>
        <w:t xml:space="preserve">7.6. Контроль качества</w:t>
      </w:r>
    </w:p>
    <w:p>
      <w:pPr>
        <w:pStyle w:val="FirstParagraph"/>
      </w:pPr>
      <w:r>
        <w:t xml:space="preserve">Не реже одного раза в квартал проводится отбор проб для определения содержания нефтепродуктов. При превышении содержания нефтепродуктов 15 % отход подлежит передаче на обезвреживание, а не на полигон ТКО.</w:t>
      </w:r>
    </w:p>
    <w:bookmarkEnd w:id="21"/>
    <w:bookmarkEnd w:id="22"/>
    <w:bookmarkStart w:id="23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Данные учёта вносятся в журнал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 </w:t>
      </w:r>
      <w:r>
        <w:t xml:space="preserve">после совершения операции.</w:t>
      </w:r>
    </w:p>
    <w:p>
      <w:pPr>
        <w:pStyle w:val="Compact"/>
        <w:numPr>
          <w:ilvl w:val="0"/>
          <w:numId w:val="1004"/>
        </w:numPr>
      </w:pPr>
      <w:r>
        <w:t xml:space="preserve">Обобщение данных учёта осуществляется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календарный год</w:t>
      </w:r>
      <w:r>
        <w:t xml:space="preserve"> </w:t>
      </w:r>
      <w:r>
        <w:t xml:space="preserve">— не позднее последнего дня месяца, следующего за отчётным периодом.</w:t>
      </w:r>
    </w:p>
    <w:p>
      <w:pPr>
        <w:pStyle w:val="Compact"/>
        <w:numPr>
          <w:ilvl w:val="0"/>
          <w:numId w:val="1004"/>
        </w:numPr>
      </w:pPr>
      <w:r>
        <w:t xml:space="preserve">Материалы учёта хранятся в течение</w:t>
      </w:r>
      <w:r>
        <w:t xml:space="preserve"> </w:t>
      </w:r>
      <w:r>
        <w:rPr>
          <w:b/>
          <w:bCs/>
        </w:rPr>
        <w:t xml:space="preserve">пяти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при передаче или расчётным путём – умножение объёма на насыпную плотность (1,3 т/м³).</w:t>
      </w:r>
    </w:p>
    <w:bookmarkEnd w:id="23"/>
    <w:bookmarkStart w:id="24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 </w:t>
      </w:r>
      <w:r>
        <w:t xml:space="preserve">со дня наступления соответствующих изменений.</w:t>
      </w:r>
    </w:p>
    <w:bookmarkEnd w:id="24"/>
    <w:bookmarkStart w:id="25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на основании договора с лицензированной организацией, имеющей право на обращение с отходами IV класса опасности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В случае превышения содержания нефтепродуктов отход передаётся на обезвреживание. Документирование: ТТН, акт приёма-передачи.</w:t>
      </w:r>
    </w:p>
    <w:bookmarkEnd w:id="25"/>
    <w:bookmarkStart w:id="26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Транспортирование производится самосвалами или контейнеровозами. Кузов транспортного средства должен быть оборудован тентом для предотвращения пыления.</w:t>
      </w:r>
    </w:p>
    <w:bookmarkEnd w:id="26"/>
    <w:bookmarkStart w:id="30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bookmarkStart w:id="27" w:name="просыпание-отхода"/>
    <w:p>
      <w:pPr>
        <w:pStyle w:val="Heading3"/>
      </w:pPr>
      <w:r>
        <w:t xml:space="preserve">12.1. Просыпание отхода</w:t>
      </w:r>
    </w:p>
    <w:p>
      <w:pPr>
        <w:pStyle w:val="Compact"/>
        <w:numPr>
          <w:ilvl w:val="0"/>
          <w:numId w:val="1005"/>
        </w:numPr>
      </w:pPr>
      <w:r>
        <w:t xml:space="preserve">Оградить место просыпания, установить предупредительные знаки.</w:t>
      </w:r>
    </w:p>
    <w:p>
      <w:pPr>
        <w:pStyle w:val="Compact"/>
        <w:numPr>
          <w:ilvl w:val="0"/>
          <w:numId w:val="1005"/>
        </w:numPr>
      </w:pPr>
      <w:r>
        <w:t xml:space="preserve">Использовать респиратор, защитные очки, перчатки.</w:t>
      </w:r>
    </w:p>
    <w:p>
      <w:pPr>
        <w:pStyle w:val="Compact"/>
        <w:numPr>
          <w:ilvl w:val="0"/>
          <w:numId w:val="1005"/>
        </w:numPr>
      </w:pPr>
      <w:r>
        <w:t xml:space="preserve">Собрать смет в контейнер, при необходимости увлажнить для подавления пыли.</w:t>
      </w:r>
    </w:p>
    <w:bookmarkEnd w:id="27"/>
    <w:bookmarkStart w:id="28" w:name="возгорание"/>
    <w:p>
      <w:pPr>
        <w:pStyle w:val="Heading3"/>
      </w:pPr>
      <w:r>
        <w:t xml:space="preserve">12.2. Возгорание</w:t>
      </w:r>
    </w:p>
    <w:p>
      <w:pPr>
        <w:pStyle w:val="Compact"/>
        <w:numPr>
          <w:ilvl w:val="0"/>
          <w:numId w:val="1006"/>
        </w:numPr>
      </w:pPr>
      <w:r>
        <w:t xml:space="preserve">Тушение порошковыми огнетушителями, песком, кошмой. Запрещается применение воды при наличии видимых нефтепродуктов.</w:t>
      </w:r>
    </w:p>
    <w:p>
      <w:pPr>
        <w:pStyle w:val="Compact"/>
        <w:numPr>
          <w:ilvl w:val="0"/>
          <w:numId w:val="1006"/>
        </w:numPr>
      </w:pPr>
      <w:r>
        <w:t xml:space="preserve">При невозможности локализации – вызов пожарной охраны.</w:t>
      </w:r>
    </w:p>
    <w:bookmarkEnd w:id="28"/>
    <w:bookmarkStart w:id="29" w:name="попадание-в-ливневую-канализацию"/>
    <w:p>
      <w:pPr>
        <w:pStyle w:val="Heading3"/>
      </w:pPr>
      <w:r>
        <w:t xml:space="preserve">12.3. Попадание в ливневую канализацию</w:t>
      </w:r>
    </w:p>
    <w:p>
      <w:pPr>
        <w:pStyle w:val="Compact"/>
        <w:numPr>
          <w:ilvl w:val="0"/>
          <w:numId w:val="1007"/>
        </w:numPr>
      </w:pPr>
      <w:r>
        <w:t xml:space="preserve">Немедленно установить заграждения, откачать загрязнённую воду, передать её на очистку.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2026-10-16T06:10:14Z</dcterms:created>
  <dcterms:modified xsi:type="dcterms:W3CDTF">2026-10-16T06:10:14Z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