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инструкция-6"/>
    <w:p>
      <w:pPr>
        <w:pStyle w:val="Heading1"/>
      </w:pPr>
      <w:r>
        <w:t xml:space="preserve"># ИНСТРУКЦИЯ № 6</w:t>
      </w:r>
    </w:p>
    <w:bookmarkStart w:id="9" w:name="Xd7e10bf56519a0ff9e9ba744e579519170fb09a"/>
    <w:p>
      <w:pPr>
        <w:pStyle w:val="Heading2"/>
      </w:pPr>
      <w:r>
        <w:t xml:space="preserve">ПО ОБРАЩЕНИЮ С ОТХОДОМ «ШИНЫ ПНЕВМАТИЧЕСКИЕ АВТОМОБИЛЬНЫЕ ОТРАБОТАННЫЕ»</w:t>
      </w:r>
    </w:p>
    <w:bookmarkEnd w:id="9"/>
    <w:bookmarkStart w:id="10" w:name="цель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Установление порядка обращения с отработанными автомобильными шинами, обеспечение безопасности, предотвращение пожаров и соблюдение требований по запрету захоронения.</w:t>
      </w:r>
    </w:p>
    <w:bookmarkEnd w:id="10"/>
    <w:bookmarkStart w:id="11" w:name="область-применения"/>
    <w:p>
      <w:pPr>
        <w:pStyle w:val="Heading2"/>
      </w:pPr>
      <w:r>
        <w:t xml:space="preserve">2. ОБЛАСТЬ ПРИМЕНЕНИЯ</w:t>
      </w:r>
    </w:p>
    <w:p>
      <w:pPr>
        <w:pStyle w:val="FirstParagraph"/>
      </w:pPr>
      <w:r>
        <w:t xml:space="preserve">Инструкция распространяется на работников, занятых заменой шин (шиномонтажников), а также на лиц, ответственных за обращение с отходами.</w:t>
      </w:r>
    </w:p>
    <w:bookmarkEnd w:id="11"/>
    <w:bookmarkStart w:id="12" w:name="нормативные-правовые-акты"/>
    <w:p>
      <w:pPr>
        <w:pStyle w:val="Heading2"/>
      </w:pPr>
      <w:r>
        <w:t xml:space="preserve">3. НОРМАТИВНЫЕ ПРАВОВЫЕ АКТЫ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10.01.2002 № 7-ФЗ «Об охране окружающей среды».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24.06.1998 № 89-ФЗ «Об отходах производства и потребления».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21.12.1994 № 68-ФЗ «О защите населения и территорий от чрезвычайных ситуаций природного и техногенного характера».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04.05.2011 № 99-ФЗ «О лицензировании отдельных видов деятельности».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Постановление Правительства РФ от 02.06.2026 № 675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Приказ Росприроднадзора от 22.05.2017 № 242 (с изменениями от 08.06.2026 № 341).</w:t>
      </w:r>
    </w:p>
    <w:p>
      <w:pPr>
        <w:pStyle w:val="Compact"/>
        <w:numPr>
          <w:ilvl w:val="0"/>
          <w:numId w:val="1001"/>
        </w:numPr>
      </w:pPr>
      <w:r>
        <w:t xml:space="preserve">Приказ Минприроды России от 31.03.2025 № 158.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15.05.2026 № 286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СанПиН 2.1.3684-21 (в редакции от 12.02.2026).</w:t>
      </w:r>
    </w:p>
    <w:p>
      <w:pPr>
        <w:pStyle w:val="Compact"/>
        <w:numPr>
          <w:ilvl w:val="0"/>
          <w:numId w:val="1001"/>
        </w:numPr>
      </w:pPr>
      <w:r>
        <w:t xml:space="preserve">Распоряжение Правительства РФ от 25.07.2017 № 1589-р.</w:t>
      </w:r>
    </w:p>
    <w:bookmarkEnd w:id="12"/>
    <w:bookmarkStart w:id="13" w:name="термины-и-определения"/>
    <w:p>
      <w:pPr>
        <w:pStyle w:val="Heading2"/>
      </w:pPr>
      <w:r>
        <w:t xml:space="preserve">4. ТЕРМИНЫ И ОПРЕДЕЛЕНИЯ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Шина пневматическая</w:t>
      </w:r>
      <w:r>
        <w:t xml:space="preserve"> </w:t>
      </w:r>
      <w:r>
        <w:t xml:space="preserve">– резинотехническое изделие, состоящее из резины, текстильного и/или металлического корда, предназначенное для установки на колёса транспортных средств.</w:t>
      </w:r>
    </w:p>
    <w:bookmarkEnd w:id="13"/>
    <w:bookmarkStart w:id="14" w:name="общие-сведения-об-отходах"/>
    <w:p>
      <w:pPr>
        <w:pStyle w:val="Heading2"/>
      </w:pPr>
      <w:r>
        <w:t xml:space="preserve">5. ОБЩИЕ СВЕДЕНИЯ ОБ ОТХОДАХ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Шины пневматические автомобильные отработанные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ФККО</w:t>
            </w:r>
          </w:p>
        </w:tc>
        <w:tc>
          <w:tcPr/>
          <w:p>
            <w:pPr>
              <w:pStyle w:val="Compact"/>
            </w:pPr>
            <w:r>
              <w:t xml:space="preserve">9 21 110 01 50 4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Агрегатное состояние</w:t>
            </w:r>
          </w:p>
        </w:tc>
        <w:tc>
          <w:tcPr/>
          <w:p>
            <w:pPr>
              <w:pStyle w:val="Compact"/>
            </w:pPr>
            <w:r>
              <w:t xml:space="preserve">Твёрдое (резинотехническое изделие)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Происхождение</w:t>
            </w:r>
          </w:p>
        </w:tc>
        <w:tc>
          <w:tcPr/>
          <w:p>
            <w:pPr>
              <w:pStyle w:val="Compact"/>
            </w:pPr>
            <w:r>
              <w:t xml:space="preserve">Замена изношенных шин автотранспорта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Физико-химическая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Масса – от 5 до 80 кг. Состав: резина (50–60 %), текстильный корд (10–15 %), металлический корд (10–20 %), протекторные добавки.</w:t>
            </w:r>
          </w:p>
        </w:tc>
      </w:tr>
    </w:tbl>
    <w:bookmarkEnd w:id="14"/>
    <w:bookmarkStart w:id="15" w:name="опасные-свойства-и-воздействие"/>
    <w:p>
      <w:pPr>
        <w:pStyle w:val="Heading2"/>
      </w:pPr>
      <w:r>
        <w:t xml:space="preserve">6. ОПАСНЫЕ СВОЙСТВА И ВОЗДЕЙСТВИЕ</w:t>
      </w:r>
    </w:p>
    <w:p>
      <w:pPr>
        <w:pStyle w:val="FirstParagraph"/>
      </w:pPr>
      <w:r>
        <w:t xml:space="preserve">Шины пожароопасны, при горении выделяют токсичные газы (окись углерода, стирол, бензол, диоксины). При длительном хранении накапливают воду, способствуют размножению насекомых и грызунов. Захоронение шин запрещено, они подлежат переработке как вторичный ресурс.</w:t>
      </w:r>
    </w:p>
    <w:bookmarkEnd w:id="15"/>
    <w:bookmarkStart w:id="21" w:name="образование-и-накопление"/>
    <w:p>
      <w:pPr>
        <w:pStyle w:val="Heading2"/>
      </w:pPr>
      <w:r>
        <w:t xml:space="preserve">7. ОБРАЗОВАНИЕ И НАКОПЛЕНИЕ</w:t>
      </w:r>
    </w:p>
    <w:bookmarkStart w:id="16" w:name="источники-образования"/>
    <w:p>
      <w:pPr>
        <w:pStyle w:val="Heading3"/>
      </w:pPr>
      <w:r>
        <w:t xml:space="preserve">7.1. Источники образования</w:t>
      </w:r>
    </w:p>
    <w:p>
      <w:pPr>
        <w:pStyle w:val="FirstParagraph"/>
      </w:pPr>
      <w:r>
        <w:t xml:space="preserve">Замена изношенных шин при сезонном обслуживании, ремонте.</w:t>
      </w:r>
    </w:p>
    <w:bookmarkEnd w:id="16"/>
    <w:bookmarkStart w:id="17" w:name="способ-накопления"/>
    <w:p>
      <w:pPr>
        <w:pStyle w:val="Heading3"/>
      </w:pPr>
      <w:r>
        <w:t xml:space="preserve">7.2. Способ накопления</w:t>
      </w:r>
    </w:p>
    <w:p>
      <w:pPr>
        <w:pStyle w:val="FirstParagraph"/>
      </w:pPr>
      <w:r>
        <w:t xml:space="preserve">Шины укладываются в штабеля на специальной площадке с твёрдым покрытием. Высота штабеля – не более 2 метров, ширина проходов между штабелями – не менее 2 метров. Допускается предварительная нарезка крупногабаритных шин (диаметром более 1200 мм) для уменьшения объёма.</w:t>
      </w:r>
    </w:p>
    <w:bookmarkEnd w:id="17"/>
    <w:bookmarkStart w:id="18" w:name="место-накопления"/>
    <w:p>
      <w:pPr>
        <w:pStyle w:val="Heading3"/>
      </w:pPr>
      <w:r>
        <w:t xml:space="preserve">7.3. Место накопления</w:t>
      </w:r>
    </w:p>
    <w:p>
      <w:pPr>
        <w:pStyle w:val="FirstParagraph"/>
      </w:pPr>
      <w:r>
        <w:t xml:space="preserve">Открытая площадка с твёрдым покрытием (асфальт, бетон), защищённая от прямых солнечных лучей и оборудованная для обеспечения пожарной безопасности. Площадка должна быть ограждена и обозначена знаком «Осторожно! Пожароопасно».</w:t>
      </w:r>
    </w:p>
    <w:bookmarkEnd w:id="18"/>
    <w:bookmarkStart w:id="19" w:name="запрещается"/>
    <w:p>
      <w:pPr>
        <w:pStyle w:val="Heading3"/>
      </w:pPr>
      <w:r>
        <w:t xml:space="preserve">7.4. Запрещается</w:t>
      </w:r>
    </w:p>
    <w:p>
      <w:pPr>
        <w:pStyle w:val="FirstParagraph"/>
      </w:pPr>
      <w:r>
        <w:t xml:space="preserve">Сжигание шин на территории предприятия, накопление навалом без формирования штабелей, накопление вблизи источников открытого огня.</w:t>
      </w:r>
    </w:p>
    <w:bookmarkEnd w:id="19"/>
    <w:bookmarkStart w:id="20" w:name="предельное-количество"/>
    <w:p>
      <w:pPr>
        <w:pStyle w:val="Heading3"/>
      </w:pPr>
      <w:r>
        <w:t xml:space="preserve">7.5. Предельное количество</w:t>
      </w:r>
    </w:p>
    <w:p>
      <w:pPr>
        <w:pStyle w:val="FirstParagraph"/>
      </w:pPr>
      <w:r>
        <w:t xml:space="preserve">Срок накопления – не более 11 месяцев. Предельный объём накопления – согласно лимитам, но не более 50 тонн.</w:t>
      </w:r>
    </w:p>
    <w:bookmarkEnd w:id="20"/>
    <w:bookmarkEnd w:id="21"/>
    <w:bookmarkStart w:id="22" w:name="учёт-образования-и-движения-отхода"/>
    <w:p>
      <w:pPr>
        <w:pStyle w:val="Heading2"/>
      </w:pPr>
      <w:r>
        <w:t xml:space="preserve">8. УЧЁТ ОБРАЗОВАНИЯ И ДВИЖЕНИЯ ОТХОДА</w:t>
      </w:r>
    </w:p>
    <w:p>
      <w:pPr>
        <w:pStyle w:val="FirstParagraph"/>
      </w:pPr>
      <w:r>
        <w:t xml:space="preserve">Учёт ведётся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Данные учёта вносятся</w:t>
      </w:r>
      <w:r>
        <w:t xml:space="preserve"> </w:t>
      </w:r>
      <w:r>
        <w:rPr>
          <w:b/>
          <w:bCs/>
        </w:rPr>
        <w:t xml:space="preserve">в течение 10 рабочих дней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Обобщение данных —</w:t>
      </w:r>
      <w:r>
        <w:t xml:space="preserve"> </w:t>
      </w:r>
      <w:r>
        <w:rPr>
          <w:b/>
          <w:bCs/>
        </w:rPr>
        <w:t xml:space="preserve">ежемесячно, ежеквартально, за полугодие и за год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Материалы учёта хранятся</w:t>
      </w:r>
      <w:r>
        <w:t xml:space="preserve"> </w:t>
      </w:r>
      <w:r>
        <w:rPr>
          <w:b/>
          <w:bCs/>
        </w:rPr>
        <w:t xml:space="preserve">пять лет</w:t>
      </w:r>
      <w:r>
        <w:t xml:space="preserve">.</w:t>
      </w:r>
    </w:p>
    <w:p>
      <w:pPr>
        <w:pStyle w:val="FirstParagraph"/>
      </w:pPr>
      <w:r>
        <w:t xml:space="preserve">Единица измерения – тонна (пересчёт из штук по средней массе, утверждённой в организации). При передаче оформляется ТТН с указанием массы.</w:t>
      </w:r>
    </w:p>
    <w:bookmarkEnd w:id="22"/>
    <w:bookmarkStart w:id="23" w:name="паспортизация-отхода"/>
    <w:p>
      <w:pPr>
        <w:pStyle w:val="Heading2"/>
      </w:pPr>
      <w:r>
        <w:t xml:space="preserve">9. ПАСПОРТИЗАЦИЯ ОТХОДА</w:t>
      </w:r>
    </w:p>
    <w:p>
      <w:pPr>
        <w:pStyle w:val="FirstParagraph"/>
      </w:pPr>
      <w:r>
        <w:t xml:space="preserve">Паспорт отхода оформляется по типовой форме, утверждённой</w:t>
      </w:r>
      <w:r>
        <w:t xml:space="preserve"> </w:t>
      </w:r>
      <w:r>
        <w:rPr>
          <w:b/>
          <w:bCs/>
        </w:rPr>
        <w:t xml:space="preserve">Приказом Минприроды России от 15.05.2026 № 286</w:t>
      </w:r>
      <w:r>
        <w:t xml:space="preserve">.</w:t>
      </w:r>
    </w:p>
    <w:p>
      <w:pPr>
        <w:pStyle w:val="BodyText"/>
      </w:pPr>
      <w:r>
        <w:t xml:space="preserve">Паспорт подлежит переоформлению</w:t>
      </w:r>
      <w:r>
        <w:t xml:space="preserve"> </w:t>
      </w:r>
      <w:r>
        <w:rPr>
          <w:b/>
          <w:bCs/>
        </w:rPr>
        <w:t xml:space="preserve">не позднее 30 календарных дней</w:t>
      </w:r>
      <w:r>
        <w:t xml:space="preserve">.</w:t>
      </w:r>
    </w:p>
    <w:bookmarkEnd w:id="23"/>
    <w:bookmarkStart w:id="24" w:name="X696739770a02bd747ce0d8e0eee0d22a6286f9b"/>
    <w:p>
      <w:pPr>
        <w:pStyle w:val="Heading2"/>
      </w:pPr>
      <w:r>
        <w:t xml:space="preserve">10. ПЕРЕДАЧА ОТХОДА СПЕЦИАЛИЗИРОВАННЫМ ПРЕДПРИЯТИЯМ</w:t>
      </w:r>
    </w:p>
    <w:p>
      <w:pPr>
        <w:pStyle w:val="FirstParagraph"/>
      </w:pPr>
      <w:r>
        <w:t xml:space="preserve">Передача осуществляется по договору с лицензированной организацией, имеющей право на сбор, транспортирование, обработку, утилизацию отходов IV класса опасности (в соответствии с</w:t>
      </w:r>
      <w:r>
        <w:t xml:space="preserve"> </w:t>
      </w:r>
      <w:r>
        <w:rPr>
          <w:b/>
          <w:bCs/>
        </w:rPr>
        <w:t xml:space="preserve">Постановлением Правительства РФ от 02.06.2026 № 675</w:t>
      </w:r>
      <w:r>
        <w:t xml:space="preserve">). Шины передаются для переработки (измельчение в резиновую крошку, пиролиз, производство резинотехнических изделий). Захоронение шин не допускается.</w:t>
      </w:r>
    </w:p>
    <w:bookmarkEnd w:id="24"/>
    <w:bookmarkStart w:id="25" w:name="транспортирование-отхода"/>
    <w:p>
      <w:pPr>
        <w:pStyle w:val="Heading2"/>
      </w:pPr>
      <w:r>
        <w:t xml:space="preserve">11. ТРАНСПОРТИРОВАНИЕ ОТХОДА</w:t>
      </w:r>
    </w:p>
    <w:p>
      <w:pPr>
        <w:pStyle w:val="FirstParagraph"/>
      </w:pPr>
      <w:r>
        <w:t xml:space="preserve">Навалом в кузове грузового автомобиля, возможна предварительная нарезка. При перевозке должно быть обеспечено крепление груза во избежание падения (строповка, увязка). Транспортное средство должно быть оборудовано бортами высотой не менее 1 м.</w:t>
      </w:r>
    </w:p>
    <w:bookmarkEnd w:id="25"/>
    <w:bookmarkStart w:id="26" w:name="X7d329f758924cf1e89c59fab3c55683d4353ac7"/>
    <w:p>
      <w:pPr>
        <w:pStyle w:val="Heading2"/>
      </w:pPr>
      <w:r>
        <w:t xml:space="preserve">12. МЕРОПРИЯТИЯ ПО ЛИКВИДАЦИИ ЧРЕЗВЫЧАЙНЫХ СИТУАЦИЙ</w:t>
      </w:r>
    </w:p>
    <w:p>
      <w:pPr>
        <w:pStyle w:val="Compact"/>
        <w:numPr>
          <w:ilvl w:val="0"/>
          <w:numId w:val="1004"/>
        </w:numPr>
      </w:pPr>
      <w:r>
        <w:t xml:space="preserve">При возгорании: тушить песком, порошковыми огнетушителями, не применять воду для тушения горящей резины. Эвакуация персонала, вызов пожарной охраны (101, 112).</w:t>
      </w:r>
    </w:p>
    <w:p>
      <w:pPr>
        <w:pStyle w:val="Compact"/>
        <w:numPr>
          <w:ilvl w:val="0"/>
          <w:numId w:val="1004"/>
        </w:numPr>
      </w:pPr>
      <w:r>
        <w:t xml:space="preserve">При обрушении штабеля: провести переформирование с использованием средств механизации (погрузчик, кран), соблюдая меры безопасности.</w:t>
      </w:r>
    </w:p>
    <w:p>
      <w:pPr>
        <w:pStyle w:val="FirstParagraph"/>
      </w:pPr>
      <w:r>
        <w:rPr>
          <w:b/>
          <w:bCs/>
        </w:rPr>
        <w:t xml:space="preserve">УТВЕРЖДАЮ</w:t>
      </w:r>
    </w:p>
    <w:p>
      <w:pPr>
        <w:pStyle w:val="BodyText"/>
      </w:pPr>
      <w:r>
        <w:t xml:space="preserve">Генеральный директор</w:t>
      </w:r>
      <w:r>
        <w:t xml:space="preserve"> </w:t>
      </w:r>
      <w:r>
        <w:t xml:space="preserve">ООО «ХЕРСОНСКИЕ НАПИТКИ №1»</w:t>
      </w:r>
    </w:p>
    <w:p>
      <w:pPr>
        <w:pStyle w:val="BodyText"/>
      </w:pPr>
      <w:r>
        <w:t xml:space="preserve">_________________ Д.В. Нестеров</w:t>
      </w:r>
      <w:r>
        <w:t xml:space="preserve"> </w:t>
      </w:r>
      <w:r>
        <w:t xml:space="preserve">(Подпись)</w:t>
      </w:r>
    </w:p>
    <w:p>
      <w:pPr>
        <w:pStyle w:val="BodyText"/>
      </w:pPr>
      <w:r>
        <w:t xml:space="preserve">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26"/>
    <w:bookmarkEnd w:id="27"/>
    <w:sectPr>
      <w:footnotePr>
        <w:numRestart w:val="eachSect"/>
      </w:footnote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cs="Times New Roman" w:eastAsia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cs="Times New Roman" w:eastAsia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2026-10-16T06:10:15Z</dcterms:created>
  <dcterms:modified xsi:type="dcterms:W3CDTF">2026-10-16T06:10:15Z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