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нструкция-8"/>
    <w:p>
      <w:pPr>
        <w:pStyle w:val="Heading1"/>
      </w:pPr>
      <w:r>
        <w:t xml:space="preserve"># ИНСТРУКЦИЯ № 8</w:t>
      </w:r>
    </w:p>
    <w:bookmarkStart w:id="9" w:name="Xdba68ae0a51708151ea29bb02ac4fc901147c42"/>
    <w:p>
      <w:pPr>
        <w:pStyle w:val="Heading2"/>
      </w:pPr>
      <w:r>
        <w:t xml:space="preserve">ПО ОБРАЩЕНИЮ С ОТХОДОМ «ОТХОДЫ ПЛЕНКИ ПОЛИЭТИЛЕНА И ИЗДЕЛИЙ ИЗ НЕЕ НЕЗАГРЯЗНЕННЫЕ»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полиэтиленовыми отходами, обеспечение их сбора как вторичного ресурса, предотвращение замусоривания территории.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использующих полиэтиленовую упаковку (склады, цеха упаковки), и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Полиэтиленовая пленка</w:t>
      </w:r>
      <w:r>
        <w:t xml:space="preserve"> </w:t>
      </w:r>
      <w:r>
        <w:t xml:space="preserve">– упаковочный материал на основе полиэтилена низкого или высокого давления, не загрязнённый химическими веществами, маслами, пищевыми остатками.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Отходы пленки полиэтилена и изделий из нее незагрязненные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4 34 110 02 29 5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(полимерная плёнка)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Распаковка материалов, упаковка продукции, использование пленки в хозяйственных целях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Плотность 0,92–0,96 г/см³, температура плавления 110–130 °C, легко воспламеняется.</w:t>
            </w:r>
          </w:p>
        </w:tc>
      </w:tr>
    </w:tbl>
    <w:bookmarkEnd w:id="14"/>
    <w:bookmarkStart w:id="15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практически неопасен. Легко воспламеняется, при горении выделяет токсичные продукты (окись углерода, формальдегид). Захоронение запрещено, является ценным вторичным сырьём.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Распаковка поступающих товаров, упаковка готовой продукции, использование пленки в складских и производственных процессах.</w:t>
      </w:r>
    </w:p>
    <w:bookmarkEnd w:id="16"/>
    <w:bookmarkStart w:id="17" w:name="способ-накопления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Плёнка собирается в мешки, контейнеры или прессуется в кипы для уменьшения объёма. Для прессования используется ручной или механический пресс. Чистая пленка накапливается отдельно от загрязнённой.</w:t>
      </w:r>
    </w:p>
    <w:bookmarkEnd w:id="17"/>
    <w:bookmarkStart w:id="18" w:name="место-накопления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Закрытое помещение или контейнер под навесом для исключения замусоривания территории ветром. Площадка должна иметь твёрдое покрытие.</w:t>
      </w:r>
    </w:p>
    <w:bookmarkEnd w:id="18"/>
    <w:bookmarkStart w:id="19" w:name="требование"/>
    <w:p>
      <w:pPr>
        <w:pStyle w:val="Heading3"/>
      </w:pPr>
      <w:r>
        <w:t xml:space="preserve">7.4. Требование</w:t>
      </w:r>
    </w:p>
    <w:p>
      <w:pPr>
        <w:pStyle w:val="FirstParagraph"/>
      </w:pPr>
      <w:r>
        <w:t xml:space="preserve">Накопление отдельно от пищевых отходов и загрязнённых материалов. Запрещается смешивание с другими видами полимерных отходов (ПВХ, полистирол) без возможности разделения.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определяется лимитами.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(после прессования или в мешках). Ответственный – кладовщик.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Передаётся специализированным организациям для переработки (агломерация, грануляция). Организация-получатель должна иметь лицензию на деятельность с отходами V класса опасности (если отход включён в перечень вторичных ресурсов, лицензия не требуется, но рекомендуется заключение договора с заготовителем).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прессованном виде (кипы) или навалом в контейнерах. Транспорт должен обеспечивать защиту от сдувания (тент, сетка). Загрузка производится с использованием погрузчика.</w:t>
      </w:r>
    </w:p>
    <w:bookmarkEnd w:id="25"/>
    <w:bookmarkStart w:id="2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04"/>
        </w:numPr>
      </w:pPr>
      <w:r>
        <w:t xml:space="preserve">Возгорание: тушить водой (распыленной), пеной, порошковыми огнетушителями. Вызвать пожарную охрану при невозможности ликвидации.</w:t>
      </w:r>
    </w:p>
    <w:p>
      <w:pPr>
        <w:pStyle w:val="Compact"/>
        <w:numPr>
          <w:ilvl w:val="0"/>
          <w:numId w:val="1004"/>
        </w:numPr>
      </w:pPr>
      <w:r>
        <w:t xml:space="preserve">Рассыпание (разлетание под ветром): немедленно собрать, уложить в тару, утяжелить.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"/>
    <w:bookmarkEnd w:id="27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2026-10-16T06:10:15Z</dcterms:created>
  <dcterms:modified xsi:type="dcterms:W3CDTF">2026-10-16T06:10:15Z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