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9"/>
    <w:p>
      <w:pPr>
        <w:pStyle w:val="Heading1"/>
      </w:pPr>
      <w:r>
        <w:t xml:space="preserve"># ИНСТРУКЦИЯ № 9</w:t>
      </w:r>
    </w:p>
    <w:bookmarkStart w:id="9" w:name="X806de402348f632f131e99ca3d44d454e389532"/>
    <w:p>
      <w:pPr>
        <w:pStyle w:val="Heading2"/>
      </w:pPr>
      <w:r>
        <w:t xml:space="preserve">ПО ОБРАЩЕНИЮ С ОТХОДОМ «ОТХОДЫ ПОЛИЭТИЛЕНОВОЙ ТАРЫ НЕЗАГРЯЗНЕННОЙ»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незагрязненной полиэтиленовой тарой, обеспечение её сбора для переработки и снижения объёма отходов, направляемых на захоронение.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использующих полиэтиленовую тару (канистры, бутылки, бочки) для хранения и транспортировки продукции,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Полиэтиленовая тара</w:t>
      </w:r>
      <w:r>
        <w:t xml:space="preserve"> </w:t>
      </w:r>
      <w:r>
        <w:t xml:space="preserve">– ёмкости из полиэтилена (бутылки, канистры, бочки) после использования по прямому назначению, не содержащие остатков опасных веществ.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полиэтиленовой тары незагрязненной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4 34 110 04 51 5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(полимерные изделия)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Использование полиэтиленовой тары для хранения и транспортировки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зависит от объёма (0,05–5 кг). Материал – полиэтилен низкого или высокого давления.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неопасен. Пожароопасен. Является ценным вторичным ресурсом. Захоронение запрещено (Распоряжение Правительства РФ от 25.07.2017 № 1589-р).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Использованная тара из-под неопасных веществ (вода, моющие средства, сыпучие продукты и т.п.).</w:t>
      </w:r>
    </w:p>
    <w:bookmarkEnd w:id="16"/>
    <w:bookmarkStart w:id="17" w:name="подготовка"/>
    <w:p>
      <w:pPr>
        <w:pStyle w:val="Heading3"/>
      </w:pPr>
      <w:r>
        <w:t xml:space="preserve">7.2. Подготовка</w:t>
      </w:r>
    </w:p>
    <w:p>
      <w:pPr>
        <w:pStyle w:val="FirstParagraph"/>
      </w:pPr>
      <w:r>
        <w:t xml:space="preserve">Тара должна быть освобождена от содержимого, промыта (при необходимости) и сплющена для уменьшения объёма.</w:t>
      </w:r>
    </w:p>
    <w:bookmarkEnd w:id="17"/>
    <w:bookmarkStart w:id="18" w:name="способ-накопления"/>
    <w:p>
      <w:pPr>
        <w:pStyle w:val="Heading3"/>
      </w:pPr>
      <w:r>
        <w:t xml:space="preserve">7.3. Способ накопления</w:t>
      </w:r>
    </w:p>
    <w:p>
      <w:pPr>
        <w:pStyle w:val="FirstParagraph"/>
      </w:pPr>
      <w:r>
        <w:t xml:space="preserve">В мешках, контейнерах или спрессованном виде. Накопление производится раздельно по типам полимеров (при возможности). Запрещается накопление вместе с тарой из-под опасных химических веществ.</w:t>
      </w:r>
    </w:p>
    <w:bookmarkEnd w:id="18"/>
    <w:bookmarkStart w:id="19" w:name="место-накопления"/>
    <w:p>
      <w:pPr>
        <w:pStyle w:val="Heading3"/>
      </w:pPr>
      <w:r>
        <w:t xml:space="preserve">7.4. Место накопления</w:t>
      </w:r>
    </w:p>
    <w:p>
      <w:pPr>
        <w:pStyle w:val="FirstParagraph"/>
      </w:pPr>
      <w:r>
        <w:t xml:space="preserve">Закрытое помещение или площадка с твёрдым покрытием под навесом.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взвешиванием. Ответственный – кладовщик.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Передаётся специализированным организациям для переработки. Лицензия на деятельность с отходами V класса опасности не требуется, но рекомендуется заключение договора с заготовителем.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или мешках, исключающих выпадение. При спрессованной таре – навалом.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Возгорание: тушить водой, пеной, порошковыми огнетушителями.</w:t>
      </w:r>
    </w:p>
    <w:p>
      <w:pPr>
        <w:pStyle w:val="Compact"/>
        <w:numPr>
          <w:ilvl w:val="0"/>
          <w:numId w:val="1004"/>
        </w:numPr>
      </w:pPr>
      <w:r>
        <w:t xml:space="preserve">Рассыпание: сбор и укладка в тару.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2026-10-16T06:10:15Z</dcterms:created>
  <dcterms:modified xsi:type="dcterms:W3CDTF">2026-10-16T06:10:15Z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