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инструкция-14"/>
    <w:p>
      <w:pPr>
        <w:pStyle w:val="Heading1"/>
      </w:pPr>
      <w:r>
        <w:t xml:space="preserve"># ИНСТРУКЦИЯ № 14</w:t>
      </w:r>
    </w:p>
    <w:bookmarkStart w:id="9" w:name="Xf36c1142487a5ea60ee229e199d0a4c78b14379"/>
    <w:p>
      <w:pPr>
        <w:pStyle w:val="Heading2"/>
      </w:pPr>
      <w:r>
        <w:t xml:space="preserve">ПО ОБРАЩЕНИЮ С ОТХОДОМ «АККУМУЛЯТОРЫ СВИНЦОВЫЕ ОТРАБОТАННЫЕ НЕПОВРЕЖДЕННЫЕ, С ЭЛЕКТРОЛИТОМ»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Обеспечение безопасного обращения с отходом II класса опасности, предотвращение загрязнения окружающей среды свинцом и серной кислотой, соблюдение требований учёта драгоценных металлов.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занятых заменой аккумуляторных батарей, и лиц,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26.03.1998 № 41-ФЗ «О драгоценных металлах и драгоценных камнях».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01"/>
        </w:numPr>
      </w:pPr>
      <w:r>
        <w:t xml:space="preserve">Постановление Правительства РФ от 28.09.2000 № 731.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Аккумуляторная батарея (АКБ)</w:t>
      </w:r>
      <w:r>
        <w:t xml:space="preserve"> </w:t>
      </w:r>
      <w:r>
        <w:t xml:space="preserve">– источник электрической энергии, содержащий свинцовые пластины и электролит (серная кислота).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Электролит</w:t>
      </w:r>
      <w:r>
        <w:t xml:space="preserve"> </w:t>
      </w:r>
      <w:r>
        <w:t xml:space="preserve">– водный раствор серной кислоты плотностью 1,27–1,29 г/см³.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Аккумуляторы свинцовые отработанные неповрежденные, с электролитом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9 20 110 01 53 2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II (высокоопасные)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(содержит жидкий электролит)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аккумуляторных батарей автотранспорта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АКБ – от 10 до 60 кг. Содержание свинца – 60–80 % от массы, электролит – 10–20 %. Серная кислота – концентрация 30–40 %.</w:t>
            </w:r>
          </w:p>
        </w:tc>
      </w:tr>
    </w:tbl>
    <w:bookmarkEnd w:id="14"/>
    <w:bookmarkStart w:id="15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Токсичность:</w:t>
      </w:r>
      <w:r>
        <w:t xml:space="preserve"> </w:t>
      </w:r>
      <w:r>
        <w:t xml:space="preserve">свинец – нейротоксичный металл, накапливается в организме, вызывает поражение нервной системы, почек, репродуктивной функции.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Коррозионная опасность:</w:t>
      </w:r>
      <w:r>
        <w:t xml:space="preserve"> </w:t>
      </w:r>
      <w:r>
        <w:t xml:space="preserve">серная кислота вызывает химические ожоги кожи, глаз, повреждает металлы, бетон.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Экологическая опасность:</w:t>
      </w:r>
      <w:r>
        <w:t xml:space="preserve"> </w:t>
      </w:r>
      <w:r>
        <w:t xml:space="preserve">разлив электролита и попадание свинца в почву и воду ведёт к долговременному загрязнению.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Запрещение захоронения:</w:t>
      </w:r>
      <w:r>
        <w:t xml:space="preserve"> </w:t>
      </w:r>
      <w:r>
        <w:t xml:space="preserve">отход подлежит обязательной переработке.</w:t>
      </w:r>
    </w:p>
    <w:bookmarkEnd w:id="15"/>
    <w:bookmarkStart w:id="21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аккумуляторных батарей при техническом обслуживании автотранспорта.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Аккумуляторы хранятся вертикально, с плотно закрытыми пробками, исключая опрокидывание. Размещаются на кислотостойких поддонах (паллетах) в один ярус. Не допускается штабелирование.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Отдельное помещение или закрытая площадка с кислотостойким покрытием, обвалованием, оборудованная приточно-вытяжной вентиляцией. Должны быть средства индивидуальной защиты и нейтрализации кислоты (сода, известь).</w:t>
      </w:r>
    </w:p>
    <w:bookmarkEnd w:id="18"/>
    <w:bookmarkStart w:id="19" w:name="запрещается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Слив электролита на землю, в канализацию, разборка АКБ, хранение вблизи источников огня, совместное хранение с легковоспламеняющимися веществами.</w:t>
      </w:r>
    </w:p>
    <w:bookmarkEnd w:id="19"/>
    <w:bookmarkStart w:id="20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Предельное количество – в соответствии с лимитами (обычно не более 10–20 единиц).</w:t>
      </w:r>
    </w:p>
    <w:bookmarkEnd w:id="20"/>
    <w:bookmarkEnd w:id="21"/>
    <w:bookmarkStart w:id="22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Единица измерения – тонна. Отдельный учёт по содержанию свинца ведётся в соответствии с Федеральным законом от 26.03.1998 № 41-ФЗ и Постановлением Правительства РФ от 28.09.2000 № 731. При передаче оформляются акты с указанием массы свинца (в пересчёте на металл).</w:t>
      </w:r>
    </w:p>
    <w:bookmarkEnd w:id="22"/>
    <w:bookmarkStart w:id="23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3"/>
    <w:bookmarkStart w:id="24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Только лицензированным организациям, имеющим лицензию на сбор, транспортирование, обработку, утилизацию отходов II класса опасности и на обращение с ломом цветных металлов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Передача оформляется актом с указанием массы и количества.</w:t>
      </w:r>
    </w:p>
    <w:bookmarkEnd w:id="24"/>
    <w:bookmarkStart w:id="25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Специализированным транспортом, допущенным к перевозке опасных грузов классов 8 (коррозионные вещества) и 9 (разные опасные вещества). Аккумуляторы укладываются в ящики или на поддоны, исключающие смещение груза и повреждение корпусов. Водитель должен иметь свидетельство о подготовке водителей транспортных средств, перевозящих опасные грузы.</w:t>
      </w:r>
    </w:p>
    <w:bookmarkEnd w:id="25"/>
    <w:bookmarkStart w:id="29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bookmarkStart w:id="26" w:name="разлив-электролита"/>
    <w:p>
      <w:pPr>
        <w:pStyle w:val="Heading3"/>
      </w:pPr>
      <w:r>
        <w:t xml:space="preserve">12.1. Разлив электролита</w:t>
      </w:r>
    </w:p>
    <w:p>
      <w:pPr>
        <w:pStyle w:val="Compact"/>
        <w:numPr>
          <w:ilvl w:val="0"/>
          <w:numId w:val="1005"/>
        </w:numPr>
      </w:pPr>
      <w:r>
        <w:t xml:space="preserve">Надеть средства индивидуальной защиты: защитный костюм (кислотостойкий), резиновые сапоги, фартук, перчатки, защитные очки.</w:t>
      </w:r>
    </w:p>
    <w:p>
      <w:pPr>
        <w:pStyle w:val="Compact"/>
        <w:numPr>
          <w:ilvl w:val="0"/>
          <w:numId w:val="1005"/>
        </w:numPr>
      </w:pPr>
      <w:r>
        <w:t xml:space="preserve">Ограничить растекание, обсыпать место разлива содой (кальцинированной) или известью для нейтрализации кислоты.</w:t>
      </w:r>
    </w:p>
    <w:p>
      <w:pPr>
        <w:pStyle w:val="Compact"/>
        <w:numPr>
          <w:ilvl w:val="0"/>
          <w:numId w:val="1005"/>
        </w:numPr>
      </w:pPr>
      <w:r>
        <w:t xml:space="preserve">Собрать нейтрализованную массу в отдельную кислотостойкую тару.</w:t>
      </w:r>
    </w:p>
    <w:p>
      <w:pPr>
        <w:pStyle w:val="Compact"/>
        <w:numPr>
          <w:ilvl w:val="0"/>
          <w:numId w:val="1005"/>
        </w:numPr>
      </w:pPr>
      <w:r>
        <w:t xml:space="preserve">Загрязнённые материалы (ветошь, сорбент) собрать в отдельный контейнер как отход, загрязнённый кислотой.</w:t>
      </w:r>
    </w:p>
    <w:bookmarkEnd w:id="26"/>
    <w:bookmarkStart w:id="27" w:name="механическое-повреждение-корпуса"/>
    <w:p>
      <w:pPr>
        <w:pStyle w:val="Heading3"/>
      </w:pPr>
      <w:r>
        <w:t xml:space="preserve">12.2. Механическое повреждение корпуса</w:t>
      </w:r>
    </w:p>
    <w:p>
      <w:pPr>
        <w:pStyle w:val="Compact"/>
        <w:numPr>
          <w:ilvl w:val="0"/>
          <w:numId w:val="1006"/>
        </w:numPr>
      </w:pPr>
      <w:r>
        <w:t xml:space="preserve">Изолировать АКБ в герметичную тару (полиэтиленовый мешок, контейнер).</w:t>
      </w:r>
    </w:p>
    <w:p>
      <w:pPr>
        <w:pStyle w:val="Compact"/>
        <w:numPr>
          <w:ilvl w:val="0"/>
          <w:numId w:val="1006"/>
        </w:numPr>
      </w:pPr>
      <w:r>
        <w:t xml:space="preserve">Вызвать специализированную службу для вывоза.</w:t>
      </w:r>
    </w:p>
    <w:p>
      <w:pPr>
        <w:pStyle w:val="Compact"/>
        <w:numPr>
          <w:ilvl w:val="0"/>
          <w:numId w:val="1006"/>
        </w:numPr>
      </w:pPr>
      <w:r>
        <w:t xml:space="preserve">Обеспечить проветривание помещения.</w:t>
      </w:r>
    </w:p>
    <w:bookmarkEnd w:id="27"/>
    <w:bookmarkStart w:id="28" w:name="возгорание"/>
    <w:p>
      <w:pPr>
        <w:pStyle w:val="Heading3"/>
      </w:pPr>
      <w:r>
        <w:t xml:space="preserve">12.3. Возгорание</w:t>
      </w:r>
    </w:p>
    <w:p>
      <w:pPr>
        <w:pStyle w:val="Compact"/>
        <w:numPr>
          <w:ilvl w:val="0"/>
          <w:numId w:val="1007"/>
        </w:numPr>
      </w:pPr>
      <w:r>
        <w:t xml:space="preserve">Тушить порошковыми огнетушителями, песком, не применять воду.</w:t>
      </w:r>
    </w:p>
    <w:p>
      <w:pPr>
        <w:pStyle w:val="Compact"/>
        <w:numPr>
          <w:ilvl w:val="0"/>
          <w:numId w:val="1007"/>
        </w:numPr>
      </w:pPr>
      <w:r>
        <w:t xml:space="preserve">Эвакуировать персонал при невозможности быстрой локализации.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2026-10-16T06:10:16Z</dcterms:created>
  <dcterms:modified xsi:type="dcterms:W3CDTF">2026-10-16T06:10:16Z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