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658ffcee28adb3ecdbe49c7dd95f4f9b1fd601"/>
    <w:p>
      <w:pPr>
        <w:pStyle w:val="Heading1"/>
      </w:pPr>
      <w:r>
        <w:t xml:space="preserve">Охрана труда и оценка профессиональных рисков: нормативная база с изменениями на 2026 год</w:t>
      </w:r>
    </w:p>
    <w:p>
      <w:pPr>
        <w:pStyle w:val="FirstParagraph"/>
      </w:pPr>
      <w:r>
        <w:rPr>
          <w:b/>
          <w:bCs/>
        </w:rPr>
        <w:t xml:space="preserve">Дата актуальности: 07 октября 2026 г.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справочник-приложение к системному промпту</w:t>
      </w:r>
      <w:r>
        <w:t xml:space="preserve"> </w:t>
      </w:r>
      <w:r>
        <w:rPr>
          <w:rStyle w:val="VerbatimChar"/>
        </w:rPr>
        <w:t xml:space="preserve">prompts/ot-op-risk-expert.md</w:t>
      </w:r>
      <w:r>
        <w:t xml:space="preserve">. Содержит карту действующих НПА, статусы, сроки</w:t>
      </w:r>
      <w:r>
        <w:t xml:space="preserve"> </w:t>
      </w:r>
      <w:r>
        <w:t xml:space="preserve">действия, изменения 2025–2026 гг. и план подготовки к 2027 году.</w:t>
      </w:r>
    </w:p>
    <w:p>
      <w:pPr>
        <w:pStyle w:val="BlockText"/>
      </w:pPr>
      <w:r>
        <w:t xml:space="preserve">⚠️ Ограничение. Нормативная база охраны труда обновляется несколько раз в год,</w:t>
      </w:r>
      <w:r>
        <w:t xml:space="preserve"> </w:t>
      </w:r>
      <w:r>
        <w:t xml:space="preserve">при этом подавляющее большинство подзаконных актов имеют</w:t>
      </w:r>
      <w:r>
        <w:t xml:space="preserve"> </w:t>
      </w:r>
      <w:r>
        <w:rPr>
          <w:b/>
          <w:bCs/>
        </w:rPr>
        <w:t xml:space="preserve">ограниченный срок</w:t>
      </w:r>
      <w:r>
        <w:rPr>
          <w:b/>
          <w:bCs/>
        </w:rPr>
        <w:t xml:space="preserve"> </w:t>
      </w:r>
      <w:r>
        <w:rPr>
          <w:b/>
          <w:bCs/>
        </w:rPr>
        <w:t xml:space="preserve">действия</w:t>
      </w:r>
      <w:r>
        <w:t xml:space="preserve">. Перед применением в конкретном деле проверяйте редакцию и срок</w:t>
      </w:r>
      <w:r>
        <w:t xml:space="preserve"> </w:t>
      </w:r>
      <w:r>
        <w:t xml:space="preserve">действия каждого акта: pravo.gov.ru, consultant.ru, garant.ru,</w:t>
      </w:r>
      <w:r>
        <w:t xml:space="preserve"> </w:t>
      </w:r>
      <w:r>
        <w:t xml:space="preserve">eisot.rosmintrud.ru, онлайнинспекция.рф. Позиции, где источники расходятся,</w:t>
      </w:r>
      <w:r>
        <w:t xml:space="preserve"> </w:t>
      </w:r>
      <w:r>
        <w:t xml:space="preserve">помечены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архитектура-регулирования-4-уровня"/>
    <w:p>
      <w:pPr>
        <w:pStyle w:val="Heading2"/>
      </w:pPr>
      <w:r>
        <w:t xml:space="preserve">1. Архитектура регулирования (4 уровня)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Законы</w:t>
            </w:r>
          </w:p>
        </w:tc>
        <w:tc>
          <w:tcPr/>
          <w:p>
            <w:pPr>
              <w:pStyle w:val="Compact"/>
            </w:pPr>
            <w:r>
              <w:t xml:space="preserve">Конституция РФ (ст. 37), ТК РФ (раздел X), ФЗ-426 (СОУТ), ФЗ-125 (ОСС от НС и ПЗ), ФЗ-323, ФЗ-52, ФЗ-248 (госконтроль), КоАП (5.27, 5.27.1, 19.5), УК (143)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Подзаконные акты</w:t>
            </w:r>
          </w:p>
        </w:tc>
        <w:tc>
          <w:tcPr/>
          <w:p>
            <w:pPr>
              <w:pStyle w:val="Compact"/>
            </w:pPr>
            <w:r>
              <w:t xml:space="preserve">Постановления Правительства РФ (2464, 1060, 336, 1830, 39 и др.), приказы Минтруда (ПОТ, СУОТ, СИЗ, СОУТ), приказы Минздрава (медосмотры, психиатрическое освидетельствование), приказы МЧС, Роспотребнадзора</w:t>
            </w:r>
          </w:p>
        </w:tc>
        <w:tc>
          <w:tcPr/>
          <w:p>
            <w:pPr>
              <w:pStyle w:val="Compact"/>
            </w:pPr>
            <w:r>
              <w:t xml:space="preserve">Обязательно (для актов, содержащих ГНТ ОТ)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Стандарты</w:t>
            </w:r>
          </w:p>
        </w:tc>
        <w:tc>
          <w:tcPr/>
          <w:p>
            <w:pPr>
              <w:pStyle w:val="Compact"/>
            </w:pPr>
            <w:r>
              <w:t xml:space="preserve">ГОСТ, ГОСТ Р (ССБТ 12.0.x, ИСО 45001/45002/45003/45004, менеджмент риска)</w:t>
            </w:r>
          </w:p>
        </w:tc>
        <w:tc>
          <w:tcPr/>
          <w:p>
            <w:pPr>
              <w:pStyle w:val="Compact"/>
            </w:pPr>
            <w:r>
              <w:t xml:space="preserve">Добровольно, кроме случаев прямой ссылки в договоре/законе; используются как доказательство должной осмотрительности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Локальные акты</w:t>
            </w:r>
          </w:p>
        </w:tc>
        <w:tc>
          <w:tcPr/>
          <w:p>
            <w:pPr>
              <w:pStyle w:val="Compact"/>
            </w:pPr>
            <w:r>
              <w:t xml:space="preserve">Политика, Положение о СУОТ, Положение об ОПР, инструкции, приказы, программы обучения, перечни, планы мероприятий</w:t>
            </w:r>
          </w:p>
        </w:tc>
        <w:tc>
          <w:tcPr/>
          <w:p>
            <w:pPr>
              <w:pStyle w:val="Compact"/>
            </w:pPr>
            <w:r>
              <w:t xml:space="preserve">Обязательно для работодателя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Ключевой принцип:</w:t>
      </w:r>
      <w:r>
        <w:t xml:space="preserve"> </w:t>
      </w:r>
      <w:r>
        <w:t xml:space="preserve">ОПР — это обязанность по</w:t>
      </w:r>
      <w:r>
        <w:t xml:space="preserve"> </w:t>
      </w:r>
      <w:r>
        <w:rPr>
          <w:b/>
          <w:bCs/>
        </w:rPr>
        <w:t xml:space="preserve">ТК РФ</w:t>
      </w:r>
      <w:r>
        <w:t xml:space="preserve">, а порядок её исполнения</w:t>
      </w:r>
      <w:r>
        <w:t xml:space="preserve"> </w:t>
      </w:r>
      <w:r>
        <w:t xml:space="preserve">задан</w:t>
      </w:r>
      <w:r>
        <w:t xml:space="preserve"> </w:t>
      </w:r>
      <w:r>
        <w:rPr>
          <w:b/>
          <w:bCs/>
        </w:rPr>
        <w:t xml:space="preserve">рекомендательными</w:t>
      </w:r>
      <w:r>
        <w:t xml:space="preserve"> </w:t>
      </w:r>
      <w:r>
        <w:t xml:space="preserve">документами Минтруда (№ 776н, № 926, № 36). Работодатель</w:t>
      </w:r>
      <w:r>
        <w:t xml:space="preserve"> </w:t>
      </w:r>
      <w:r>
        <w:t xml:space="preserve">вправе разработать собственный метод оценки (п. 4 Рекомендаций, приказ № 926),</w:t>
      </w:r>
      <w:r>
        <w:t xml:space="preserve"> </w:t>
      </w:r>
      <w:r>
        <w:t xml:space="preserve">но обязанность «систематически выявлять опасности и профессиональные риски, их</w:t>
      </w:r>
      <w:r>
        <w:t xml:space="preserve"> </w:t>
      </w:r>
      <w:r>
        <w:t xml:space="preserve">регулярно анализировать и оценивать» — безусловная (ст. 214 ТК РФ).</w:t>
      </w:r>
    </w:p>
    <w:p>
      <w:r>
        <w:pict>
          <v:rect style="width:0;height:1.5pt" o:hralign="center" o:hrstd="t" o:hr="t"/>
        </w:pict>
      </w:r>
    </w:p>
    <w:bookmarkEnd w:id="9"/>
    <w:bookmarkStart w:id="10" w:name="X1d96dc3f6368239470cd560c4cae8293b5c1f3c"/>
    <w:p>
      <w:pPr>
        <w:pStyle w:val="Heading2"/>
      </w:pPr>
      <w:r>
        <w:t xml:space="preserve">2. Базовая нормативная база оценки профессиональных рисков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даёт для ОПР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209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Определение профессионального риска; терминология (опасность, вредный/опасный производственный фактор, СУОТ)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214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Обязанности работодателя: СУОТ, систематическое выявление опасностей и ПР, их анализ и оценка, ОПР перед вводом объектов и новых рабочих мест, информирование работников об уровнях рисков, ЭДО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214.1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Запрет работы в опасных условиях (4 класс по СОУТ), приостановка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214.2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Право работодателя на видео-/аудиофиксацию, дистанционный доступ инспекции, ЭДО в 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216.1, 216.2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Приостановка работ с гарантиями работнику; учёт и рассмотрение микроповреждений (микротравм)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218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Управление профессиональными рисками как часть функционирования СУОТ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219–226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СИЗ, смывающие средства, молоко/ЛПП, служба ОТ (более 50 работников), гарантии отдельным категориям, обучение, финансирование (≥ 0,2 % затрат)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ТК РФ</w:t>
            </w:r>
            <w:r>
              <w:t xml:space="preserve">, ст. 227–231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Расследование и учёт НС на производстве и профзаболеваний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776н</w:t>
            </w:r>
            <w:r>
              <w:t xml:space="preserve"> </w:t>
            </w:r>
            <w:r>
              <w:t xml:space="preserve">— Примерное положение о СУОТ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Модель СУОТ; п. 21 — ОПР рекомендуется для всех выявленных опасностей; приложения — перечень опасностей, перечень работ повышенной 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28.12.2021 № 926</w:t>
            </w:r>
            <w:r>
              <w:t xml:space="preserve"> </w:t>
            </w:r>
            <w:r>
              <w:t xml:space="preserve">— Рекомендации по выбору методов оценки уровней профессиональных рисков и по снижению уровней таких рисков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15 методов (контрольные листы, матричный, матричный балльный, «галстук-бабочка», причинно-следственные связи, сценарии, дерево решений, уровни защиты, ТОиР/надёжность, HACCP, HAZOP, SWIFT, человеческий фактор, риск профзаболевания, «затраты-выгоды»), критерии выбора, иерархия 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31.01.2022 № 36</w:t>
            </w:r>
            <w:r>
              <w:t xml:space="preserve"> </w:t>
            </w:r>
            <w:r>
              <w:t xml:space="preserve">— Рекомендации по классификации, обнаружению, распознаванию и описанию опасностей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Процедура выявления опасностей, группы опасностей, источники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771н</w:t>
            </w:r>
            <w:r>
              <w:t xml:space="preserve"> </w:t>
            </w:r>
            <w:r>
              <w:t xml:space="preserve">— примерный перечень ежегодных мероприятий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срок действия]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по результатам ОПР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Порядок разработки правил и инструкций по 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28.12.2021 № 926 (Приложения 1–15)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Готовые контрольные листы (в т. ч. «Работа в офисе», «Скользкие поверхности»)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соут-что-действует-в-2026-году"/>
    <w:p>
      <w:pPr>
        <w:pStyle w:val="Heading2"/>
      </w:pPr>
      <w:r>
        <w:t xml:space="preserve">3. СОУТ: что действует в 2026 году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ФЗ от 28.12.2013 № 426-ФЗ</w:t>
            </w:r>
          </w:p>
        </w:tc>
        <w:tc>
          <w:tcPr/>
          <w:p>
            <w:pPr>
              <w:pStyle w:val="Compact"/>
            </w:pPr>
            <w:r>
              <w:t xml:space="preserve">База: периодичность не реже 1 раза в 5 лет, внеплановая СОУТ (новые рабочие места — в течение 12 мес., изменение техпроцесса, НС, профзаболевание, предписание ГИТ), декларация, ФГИС СОУТ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21.11.2023 № 817н</w:t>
            </w:r>
            <w:r>
              <w:t xml:space="preserve"> </w:t>
            </w:r>
            <w:r>
              <w:t xml:space="preserve">— Методика проведения СОУТ, Классификатор ВОПФ, форма отчёта</w:t>
            </w:r>
          </w:p>
        </w:tc>
        <w:tc>
          <w:tcPr/>
          <w:p>
            <w:pPr>
              <w:pStyle w:val="Compact"/>
            </w:pPr>
            <w:r>
              <w:t xml:space="preserve">Действует с</w:t>
            </w:r>
            <w:r>
              <w:t xml:space="preserve"> </w:t>
            </w:r>
            <w:r>
              <w:rPr>
                <w:b/>
                <w:bCs/>
              </w:rPr>
              <w:t xml:space="preserve">01.09.2024 до 01.09.2030</w:t>
            </w:r>
            <w:r>
              <w:t xml:space="preserve">. Приказ № 33н</w:t>
            </w:r>
            <w:r>
              <w:t xml:space="preserve"> </w:t>
            </w:r>
            <w:r>
              <w:rPr>
                <w:b/>
                <w:bCs/>
              </w:rPr>
              <w:t xml:space="preserve">не применять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14.10.2022 № 1830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 (видов деятельности) с особенностями проведения СОУТ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31.10.2022 № 699н</w:t>
            </w:r>
          </w:p>
        </w:tc>
        <w:tc>
          <w:tcPr/>
          <w:p>
            <w:pPr>
              <w:pStyle w:val="Compact"/>
            </w:pPr>
            <w:r>
              <w:t xml:space="preserve">Упрощённый порядок СОУТ для</w:t>
            </w:r>
            <w:r>
              <w:t xml:space="preserve"> </w:t>
            </w:r>
            <w:r>
              <w:rPr>
                <w:b/>
                <w:bCs/>
              </w:rPr>
              <w:t xml:space="preserve">микропредприятий</w:t>
            </w:r>
            <w:r>
              <w:t xml:space="preserve"> </w:t>
            </w:r>
            <w:r>
              <w:t xml:space="preserve">(проверочный лист; «нет» по всем пунктам → допустимые условия + декларация; «да» → СОУТ в общем порядке).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01.03.2027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07.08.2026 № 345н</w:t>
            </w:r>
            <w:r>
              <w:t xml:space="preserve"> </w:t>
            </w:r>
            <w:r>
              <w:t xml:space="preserve">(зарег. в Минюсте 09.09.2026)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01.03.2027</w:t>
            </w:r>
            <w:r>
              <w:t xml:space="preserve"> </w:t>
            </w:r>
            <w:r>
              <w:t xml:space="preserve">заменяет № 699н. Круг расширяется:</w:t>
            </w:r>
            <w:r>
              <w:t xml:space="preserve"> </w:t>
            </w:r>
            <w:r>
              <w:rPr>
                <w:b/>
                <w:bCs/>
              </w:rPr>
              <w:t xml:space="preserve">микропредприятия + малые предприятия + НКО</w:t>
            </w:r>
            <w:r>
              <w:t xml:space="preserve"> </w:t>
            </w:r>
            <w:r>
              <w:t xml:space="preserve">(общественные организации, ассоциации/союзы). Рекомендуемые образцы проверочного листа и декларации. Ограничение: если уже установлены вредные/опасные условия или есть рабочие места с правом на досрочную пенсию и компенсации за вредность — только общий порядок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26.01.2026 № 39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01.09.2026</w:t>
            </w:r>
            <w:r>
              <w:t xml:space="preserve"> </w:t>
            </w:r>
            <w:r>
              <w:t xml:space="preserve">расширяет перечень видов деятельности для упрощённой СОУТ. Количество позиций: было ~12, по принятому документу —</w:t>
            </w:r>
            <w:r>
              <w:t xml:space="preserve"> </w:t>
            </w:r>
            <w:r>
              <w:rPr>
                <w:b/>
                <w:bCs/>
              </w:rPr>
              <w:t xml:space="preserve">55</w:t>
            </w:r>
            <w:r>
              <w:t xml:space="preserve"> </w:t>
            </w:r>
            <w:r>
              <w:t xml:space="preserve">кодов ОКВЭД (в проекте Минтруда обсуждалось 86)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точное количество]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10.06.2026 № 246н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01.03.2027</w:t>
            </w:r>
            <w:r>
              <w:t xml:space="preserve"> </w:t>
            </w:r>
            <w:r>
              <w:t xml:space="preserve">декларация соответствия условий труда подаётся</w:t>
            </w:r>
            <w:r>
              <w:t xml:space="preserve"> </w:t>
            </w:r>
            <w:r>
              <w:rPr>
                <w:b/>
                <w:bCs/>
              </w:rPr>
              <w:t xml:space="preserve">только через портал «Госуслуги»</w:t>
            </w:r>
            <w:r>
              <w:t xml:space="preserve">; лично и по почте —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30.11.2021 № 838н</w:t>
            </w:r>
          </w:p>
        </w:tc>
        <w:tc>
          <w:tcPr/>
          <w:p>
            <w:pPr>
              <w:pStyle w:val="Compact"/>
            </w:pPr>
            <w:r>
              <w:t xml:space="preserve">Индикаторы риска ГИТ; срок действия перечня продлён приказом от 19.11.2025 № 658н</w:t>
            </w:r>
            <w:r>
              <w:t xml:space="preserve"> </w:t>
            </w:r>
            <w:r>
              <w:rPr>
                <w:b/>
                <w:bCs/>
              </w:rPr>
              <w:t xml:space="preserve">до 31.12.2026</w:t>
            </w:r>
            <w:r>
              <w:t xml:space="preserve">; проект нового перечня — до 31.12.2027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Изменения 2026 г. по СОУТ, влияющие на риск-менеджмент:</w:t>
      </w:r>
      <w:r>
        <w:t xml:space="preserve"> </w:t>
      </w:r>
      <w:r>
        <w:t xml:space="preserve">- упрощённая СОУТ становится массовой для малого бизнеса → возрастает роль</w:t>
      </w:r>
      <w:r>
        <w:t xml:space="preserve"> </w:t>
      </w:r>
      <w:r>
        <w:rPr>
          <w:b/>
          <w:bCs/>
        </w:rPr>
        <w:t xml:space="preserve">самостоятельной идентификации работодателем вредных факторов</w:t>
      </w:r>
      <w:r>
        <w:t xml:space="preserve"> </w:t>
      </w:r>
      <w:r>
        <w:t xml:space="preserve">(проверочный лист</w:t>
      </w:r>
      <w:r>
        <w:t xml:space="preserve"> </w:t>
      </w:r>
      <w:r>
        <w:t xml:space="preserve">— по сути та же процедура выявления опасностей, что и в ОПР);</w:t>
      </w:r>
      <w:r>
        <w:t xml:space="preserve"> </w:t>
      </w:r>
      <w:r>
        <w:t xml:space="preserve">- письма Минтруда: от 19.06.2026 № 15-1/ООГ-1038 (отнесение к классу при тепловом</w:t>
      </w:r>
      <w:r>
        <w:t xml:space="preserve"> </w:t>
      </w:r>
      <w:r>
        <w:t xml:space="preserve">излучении), от 25.08.2026 № 15-1/ООГ-1563 (заполнение строки 040 карты СОУТ по</w:t>
      </w:r>
      <w:r>
        <w:t xml:space="preserve"> </w:t>
      </w:r>
      <w:r>
        <w:t xml:space="preserve">праву на досрочную пенсию); письмо от 21.07.2026 № 15-2/ООГ-1263 (срок годности</w:t>
      </w:r>
      <w:r>
        <w:t xml:space="preserve"> </w:t>
      </w:r>
      <w:r>
        <w:t xml:space="preserve">дежурных СИЗ)</w:t>
      </w:r>
      <w:r>
        <w:t xml:space="preserve"> </w:t>
      </w:r>
      <w:r>
        <w:rPr>
          <w:rStyle w:val="VerbatimChar"/>
        </w:rPr>
        <w:t xml:space="preserve">[ПРОВЕРИТЬ реквизиты писем в вашей справочной системе]</w:t>
      </w:r>
      <w:r>
        <w:t xml:space="preserve">;</w:t>
      </w:r>
      <w:r>
        <w:t xml:space="preserve"> </w:t>
      </w:r>
      <w:r>
        <w:t xml:space="preserve">- готовятся изменения в Правила установления скидок и надбавок к тарифам ОСС</w:t>
      </w:r>
      <w:r>
        <w:t xml:space="preserve"> </w:t>
      </w:r>
      <w:r>
        <w:t xml:space="preserve">(проект Минтруда от 22.09.2026): ЧС природного/техногенного характера не по вине</w:t>
      </w:r>
      <w:r>
        <w:t xml:space="preserve"> </w:t>
      </w:r>
      <w:r>
        <w:t xml:space="preserve">страхователя не учитываются в показателях; снимается требование о 3 годах</w:t>
      </w:r>
      <w:r>
        <w:t xml:space="preserve"> </w:t>
      </w:r>
      <w:r>
        <w:t xml:space="preserve">деятельности страхователя.</w:t>
      </w:r>
    </w:p>
    <w:p>
      <w:r>
        <w:pict>
          <v:rect style="width:0;height:1.5pt" o:hralign="center" o:hrstd="t" o:hr="t"/>
        </w:pict>
      </w:r>
    </w:p>
    <w:bookmarkEnd w:id="11"/>
    <w:bookmarkStart w:id="12" w:name="Xea9dc0a93f644d9047808b922a3ed68d8be3af8"/>
    <w:p>
      <w:pPr>
        <w:pStyle w:val="Heading2"/>
      </w:pPr>
      <w:r>
        <w:t xml:space="preserve">4. Обучение по охране труда: ключевое изменение 2026 года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 акт</w:t>
            </w:r>
          </w:p>
        </w:tc>
        <w:tc>
          <w:tcPr/>
          <w:p>
            <w:pPr>
              <w:pStyle w:val="Compact"/>
            </w:pPr>
            <w:r>
              <w:t xml:space="preserve">Постановление Правительства РФ от 24.12.2021 № 2464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30.06.2026 № 805</w:t>
            </w:r>
            <w:r>
              <w:t xml:space="preserve">, вступило в силу</w:t>
            </w:r>
            <w:r>
              <w:t xml:space="preserve"> </w:t>
            </w:r>
            <w:r>
              <w:rPr>
                <w:b/>
                <w:bCs/>
              </w:rPr>
              <w:t xml:space="preserve">31.08.2026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действия правил</w:t>
            </w:r>
          </w:p>
        </w:tc>
        <w:tc>
          <w:tcPr/>
          <w:p>
            <w:pPr>
              <w:pStyle w:val="Compact"/>
            </w:pPr>
            <w:r>
              <w:t xml:space="preserve">Продлён с 01.09.2026</w:t>
            </w:r>
            <w:r>
              <w:t xml:space="preserve"> </w:t>
            </w:r>
            <w:r>
              <w:rPr>
                <w:b/>
                <w:bCs/>
              </w:rPr>
              <w:t xml:space="preserve">до 01.09.2032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Около 21–24 поправок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окончательное число]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изменилось с 31.08.2026 (практический срез):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Офисные работники</w:t>
            </w:r>
          </w:p>
        </w:tc>
        <w:tc>
          <w:tcPr/>
          <w:p>
            <w:pPr>
              <w:pStyle w:val="Compact"/>
            </w:pPr>
            <w:r>
              <w:t xml:space="preserve">Освобождение от первичного инструктажа при «отсутствии иных источников опасности»</w:t>
            </w:r>
          </w:p>
        </w:tc>
        <w:tc>
          <w:tcPr/>
          <w:p>
            <w:pPr>
              <w:pStyle w:val="Compact"/>
            </w:pPr>
            <w:r>
              <w:t xml:space="preserve">Формулировка «иных источников опасности» исключена; освобождение возможно, если работа связана</w:t>
            </w:r>
            <w:r>
              <w:t xml:space="preserve"> </w:t>
            </w:r>
            <w:r>
              <w:rPr>
                <w:b/>
                <w:bCs/>
              </w:rPr>
              <w:t xml:space="preserve">исключительно</w:t>
            </w:r>
            <w:r>
              <w:t xml:space="preserve"> </w:t>
            </w:r>
            <w:r>
              <w:t xml:space="preserve">с ПЭВМ/офисной техникой</w:t>
            </w:r>
            <w: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t xml:space="preserve"> </w:t>
            </w:r>
            <w:r>
              <w:t xml:space="preserve">по СОУТ класс 1 или 2. Перечень профессий утверждает работодатель; безопасные приёмы вносятся в программу</w:t>
            </w:r>
            <w:r>
              <w:t xml:space="preserve"> </w:t>
            </w:r>
            <w:r>
              <w:rPr>
                <w:b/>
                <w:bCs/>
              </w:rPr>
              <w:t xml:space="preserve">вводного</w:t>
            </w:r>
            <w:r>
              <w:t xml:space="preserve"> </w:t>
            </w:r>
            <w:r>
              <w:t xml:space="preserve">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совместители / перевод / переименование должности</w:t>
            </w:r>
          </w:p>
        </w:tc>
        <w:tc>
          <w:tcPr/>
          <w:p>
            <w:pPr>
              <w:pStyle w:val="Compact"/>
            </w:pPr>
            <w:r>
              <w:t xml:space="preserve">Повторное обучение при изменении условий труда</w:t>
            </w:r>
          </w:p>
        </w:tc>
        <w:tc>
          <w:tcPr/>
          <w:p>
            <w:pPr>
              <w:pStyle w:val="Compact"/>
            </w:pPr>
            <w:r>
              <w:t xml:space="preserve">Повторное обучение и проверка знаний</w:t>
            </w:r>
            <w:r>
              <w:t xml:space="preserve"> </w:t>
            </w:r>
            <w:r>
              <w:rPr>
                <w:b/>
                <w:bCs/>
              </w:rPr>
              <w:t xml:space="preserve">не требуются</w:t>
            </w:r>
            <w:r>
              <w:t xml:space="preserve">, если не изменились уровни профессионального риска и характер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Стажировка</w:t>
            </w:r>
          </w:p>
        </w:tc>
        <w:tc>
          <w:tcPr/>
          <w:p>
            <w:pPr>
              <w:pStyle w:val="Compact"/>
            </w:pPr>
            <w:r>
              <w:t xml:space="preserve">Минимум 2 смены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b/>
                <w:bCs/>
              </w:rPr>
              <w:t xml:space="preserve">впервые начинающих</w:t>
            </w:r>
            <w:r>
              <w:t xml:space="preserve"> </w:t>
            </w:r>
            <w:r>
              <w:t xml:space="preserve">трудовую деятельность —</w:t>
            </w:r>
            <w:r>
              <w:t xml:space="preserve"> </w:t>
            </w:r>
            <w:r>
              <w:rPr>
                <w:b/>
                <w:bCs/>
              </w:rPr>
              <w:t xml:space="preserve">не менее 5 смен</w:t>
            </w:r>
            <w:r>
              <w:t xml:space="preserve">; запрещено совмещать практические занятия со стажировкой (сначала обучение и проверка знаний, потом стажировка)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Первая помощь</w:t>
            </w:r>
          </w:p>
        </w:tc>
        <w:tc>
          <w:tcPr/>
          <w:p>
            <w:pPr>
              <w:pStyle w:val="Compact"/>
            </w:pPr>
            <w:r>
              <w:t xml:space="preserve">По общим правилам</w:t>
            </w:r>
          </w:p>
        </w:tc>
        <w:tc>
          <w:tcPr/>
          <w:p>
            <w:pPr>
              <w:pStyle w:val="Compact"/>
            </w:pPr>
            <w:r>
              <w:t xml:space="preserve">Обязательное обучение для</w:t>
            </w:r>
            <w:r>
              <w:t xml:space="preserve"> </w:t>
            </w:r>
            <w:r>
              <w:rPr>
                <w:b/>
                <w:bCs/>
              </w:rPr>
              <w:t xml:space="preserve">новичков без стажа в течение 30 дней</w:t>
            </w:r>
            <w:r>
              <w:t xml:space="preserve"> </w:t>
            </w:r>
            <w:r>
              <w:t xml:space="preserve">с момента приёма; проверяются</w:t>
            </w:r>
            <w:r>
              <w:t xml:space="preserve"> </w:t>
            </w:r>
            <w:r>
              <w:rPr>
                <w:b/>
                <w:bCs/>
              </w:rPr>
              <w:t xml:space="preserve">практические навыки</w:t>
            </w:r>
            <w:r>
              <w:t xml:space="preserve"> </w:t>
            </w:r>
            <w:r>
              <w:t xml:space="preserve">(жгут, ИВЛ, СЛР)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Программа «В» (работы повышенной опасности)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3 года</w:t>
            </w:r>
            <w:r>
              <w:t xml:space="preserve">, если нормативными актами не установлено иное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Дистанционное обучение</w:t>
            </w:r>
          </w:p>
        </w:tc>
        <w:tc>
          <w:tcPr/>
          <w:p>
            <w:pPr>
              <w:pStyle w:val="Compact"/>
            </w:pPr>
            <w:r>
              <w:t xml:space="preserve">Без прямых ограничений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Практические занятия</w:t>
            </w:r>
            <w:r>
              <w:t xml:space="preserve"> </w:t>
            </w:r>
            <w:r>
              <w:t xml:space="preserve">(программы Б/В, первая помощь, СИЗ, полигоны и тренажёры)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очно</w:t>
            </w:r>
            <w:r>
              <w:t xml:space="preserve">; теория — можно онлайн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времени обучения</w:t>
            </w:r>
          </w:p>
        </w:tc>
        <w:tc>
          <w:tcPr/>
          <w:p>
            <w:pPr>
              <w:pStyle w:val="Compact"/>
            </w:pPr>
            <w:r>
              <w:t xml:space="preserve">Обучение с отрывом от работы</w:t>
            </w:r>
          </w:p>
        </w:tc>
        <w:tc>
          <w:tcPr/>
          <w:p>
            <w:pPr>
              <w:pStyle w:val="Compact"/>
            </w:pPr>
            <w:r>
              <w:t xml:space="preserve">Порядок фиксации времени обучения устанавливается</w:t>
            </w:r>
            <w:r>
              <w:t xml:space="preserve"> </w:t>
            </w:r>
            <w:r>
              <w:rPr>
                <w:b/>
                <w:bCs/>
              </w:rPr>
              <w:t xml:space="preserve">локальным актом</w:t>
            </w:r>
            <w:r>
              <w:t xml:space="preserve"> </w:t>
            </w:r>
            <w:r>
              <w:t xml:space="preserve">работодателя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обученных (ЕИСОТ)</w:t>
            </w:r>
          </w:p>
        </w:tc>
        <w:tc>
          <w:tcPr/>
          <w:p>
            <w:pPr>
              <w:pStyle w:val="Compact"/>
            </w:pPr>
            <w:r>
              <w:t xml:space="preserve">Передача сведений после проверки знаний (п. 118 Порядка)</w:t>
            </w:r>
          </w:p>
        </w:tc>
        <w:tc>
          <w:tcPr/>
          <w:p>
            <w:pPr>
              <w:pStyle w:val="Compact"/>
            </w:pPr>
            <w:r>
              <w:t xml:space="preserve">В протокол вносится регистрационный номер записи в реестре; работодатель, обучающий своих работников,</w:t>
            </w:r>
            <w:r>
              <w:t xml:space="preserve"> </w:t>
            </w:r>
            <w:r>
              <w:rPr>
                <w:b/>
                <w:bCs/>
              </w:rPr>
              <w:t xml:space="preserve">актуализирует данные не реже 1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Инструктаж руководителя</w:t>
            </w:r>
          </w:p>
        </w:tc>
        <w:tc>
          <w:tcPr/>
          <w:p>
            <w:pPr>
              <w:pStyle w:val="Compact"/>
            </w:pPr>
            <w:r>
              <w:t xml:space="preserve">Проводит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  <w:r>
              <w:t xml:space="preserve"> </w:t>
            </w:r>
            <w:r>
              <w:rPr>
                <w:b/>
                <w:bCs/>
              </w:rPr>
              <w:t xml:space="preserve">или иной работник, уполномоченный приказом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Преподаватели и члены комиссий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Обучаются по ОТ на общих основаниях; лица, замещающие специалиста по ОТ, — по программам А и 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НПА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Изменение требований Минздрава (первая помощь) или требований к СИЗ → актуализация программ и внеплановое обучение</w:t>
            </w:r>
            <w:r>
              <w:t xml:space="preserve"> </w:t>
            </w:r>
            <w:r>
              <w:rPr>
                <w:b/>
                <w:bCs/>
              </w:rPr>
              <w:t xml:space="preserve">в течение 60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Связка с ОПР:</w:t>
      </w:r>
      <w:r>
        <w:t xml:space="preserve"> </w:t>
      </w:r>
      <w:r>
        <w:t xml:space="preserve">программы обучения должны формироваться</w:t>
      </w:r>
      <w:r>
        <w:t xml:space="preserve"> </w:t>
      </w:r>
      <w:r>
        <w:rPr>
          <w:b/>
          <w:bCs/>
        </w:rPr>
        <w:t xml:space="preserve">по результатам оценки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профессиональных рисков</w:t>
      </w:r>
      <w:r>
        <w:t xml:space="preserve"> </w:t>
      </w:r>
      <w:r>
        <w:t xml:space="preserve">— это то, что проверяет инспектор в первую очередь.</w:t>
      </w:r>
    </w:p>
    <w:p>
      <w:r>
        <w:pict>
          <v:rect style="width:0;height:1.5pt" o:hralign="center" o:hrstd="t" o:hr="t"/>
        </w:pict>
      </w:r>
    </w:p>
    <w:bookmarkEnd w:id="12"/>
    <w:bookmarkStart w:id="13" w:name="медицина-и-допуски-изменения-2026-года"/>
    <w:p>
      <w:pPr>
        <w:pStyle w:val="Heading2"/>
      </w:pPr>
      <w:r>
        <w:t xml:space="preserve">5. Медицина и допуски: изменения 2026 года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28.01.2021 № 29н</w:t>
            </w:r>
            <w:r>
              <w:t xml:space="preserve"> </w:t>
            </w:r>
            <w:r>
              <w:t xml:space="preserve">(ред. от 02.10.2024, приказ № 509н)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01.04.2027</w:t>
            </w:r>
          </w:p>
        </w:tc>
        <w:tc>
          <w:tcPr/>
          <w:p>
            <w:pPr>
              <w:pStyle w:val="Compact"/>
            </w:pPr>
            <w:r>
              <w:t xml:space="preserve">Обязательные предварительные и периодические медосмотры. 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  <w:r>
              <w:t xml:space="preserve">: в направлении указывается</w:t>
            </w:r>
            <w:r>
              <w:t xml:space="preserve"> </w:t>
            </w:r>
            <w:r>
              <w:rPr>
                <w:b/>
                <w:bCs/>
              </w:rPr>
              <w:t xml:space="preserve">СНИЛС</w:t>
            </w:r>
            <w:r>
              <w:t xml:space="preserve"> </w:t>
            </w:r>
            <w:r>
              <w:t xml:space="preserve">(полис ОМС — не обязателен, но работник предъявляет его в медорганизации);</w:t>
            </w:r>
            <w:r>
              <w:t xml:space="preserve"> </w:t>
            </w:r>
            <w:r>
              <w:rPr>
                <w:b/>
                <w:bCs/>
              </w:rPr>
              <w:t xml:space="preserve">заключение оформляется в течение 5 рабочих дней</w:t>
            </w:r>
            <w:r>
              <w:t xml:space="preserve">; сведения в ЕГИСЗ — в течение</w:t>
            </w:r>
            <w:r>
              <w:t xml:space="preserve"> </w:t>
            </w:r>
            <w:r>
              <w:rPr>
                <w:b/>
                <w:bCs/>
              </w:rPr>
              <w:t xml:space="preserve">1 рабочего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02.07.2025 № 392н</w:t>
            </w:r>
          </w:p>
        </w:tc>
        <w:tc>
          <w:tcPr/>
          <w:p>
            <w:pPr>
              <w:pStyle w:val="Compact"/>
            </w:pPr>
            <w:r>
              <w:t xml:space="preserve">Вступает в силу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  <w:r>
              <w:t xml:space="preserve">,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01.09.2028</w:t>
            </w:r>
          </w:p>
        </w:tc>
        <w:tc>
          <w:tcPr/>
          <w:p>
            <w:pPr>
              <w:pStyle w:val="Compact"/>
            </w:pPr>
            <w:r>
              <w:t xml:space="preserve">Изменения в порядок психиатрического освидетельствования (приказ № 342н): освидетельствование проводят</w:t>
            </w:r>
            <w:r>
              <w:t xml:space="preserve"> </w:t>
            </w:r>
            <w:r>
              <w:rPr>
                <w:b/>
                <w:bCs/>
              </w:rPr>
              <w:t xml:space="preserve">врачи-психиатры</w:t>
            </w:r>
            <w:r>
              <w:t xml:space="preserve">; работы, связанные с гостайной, исключены (особый порядок — приказ Минздрава России от 26.08.2011 № 989н)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30.07.2025 № 457н</w:t>
            </w:r>
          </w:p>
        </w:tc>
        <w:tc>
          <w:tcPr/>
          <w:p>
            <w:pPr>
              <w:pStyle w:val="Compact"/>
            </w:pPr>
            <w:r>
              <w:t xml:space="preserve">Отсрочка</w:t>
            </w:r>
          </w:p>
        </w:tc>
        <w:tc>
          <w:tcPr/>
          <w:p>
            <w:pPr>
              <w:pStyle w:val="Compact"/>
            </w:pPr>
            <w:r>
              <w:t xml:space="preserve">Бумажные медкнижки допустимы до</w:t>
            </w:r>
            <w:r>
              <w:t xml:space="preserve"> </w:t>
            </w:r>
            <w:r>
              <w:rPr>
                <w:b/>
                <w:bCs/>
              </w:rPr>
              <w:t xml:space="preserve">31.08.2026</w:t>
            </w:r>
            <w:r>
              <w:t xml:space="preserve">; с</w:t>
            </w:r>
            <w:r>
              <w:t xml:space="preserve"> </w:t>
            </w:r>
            <w:r>
              <w:rPr>
                <w:b/>
                <w:bCs/>
              </w:rPr>
              <w:t xml:space="preserve">01.09.2026</w:t>
            </w:r>
            <w:r>
              <w:t xml:space="preserve"> </w:t>
            </w:r>
            <w:r>
              <w:t xml:space="preserve">— электронный формат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02.04.2025 № 170н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</w:p>
        </w:tc>
        <w:tc>
          <w:tcPr/>
          <w:p>
            <w:pPr>
              <w:pStyle w:val="Compact"/>
            </w:pPr>
            <w:r>
              <w:t xml:space="preserve">Новые формы справки о степени утраты профессиональной трудоспособности и выписки из акта МСЭ; формируются в Единой цифровой платформе, подписываются УКЭП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10.06.2025 № 369н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</w:p>
        </w:tc>
        <w:tc>
          <w:tcPr/>
          <w:p>
            <w:pPr>
              <w:pStyle w:val="Compact"/>
            </w:pPr>
            <w:r>
              <w:t xml:space="preserve">Предельные нормы переноски и передвижения тяжестей работниками до 18 лет (нормы сохранены, но выделены в отдельный приказ)</w:t>
            </w:r>
          </w:p>
        </w:tc>
      </w:tr>
    </w:tbl>
    <w:p>
      <w:pPr>
        <w:pStyle w:val="BodyText"/>
      </w:pPr>
      <w:r>
        <w:t xml:space="preserve">Проекты приказов Минздрава, которые должны были заменить № 29н (ID 147079, 147085),</w:t>
      </w:r>
      <w:r>
        <w:t xml:space="preserve"> </w:t>
      </w:r>
      <w:r>
        <w:t xml:space="preserve">по состоянию на 2026 год</w:t>
      </w:r>
      <w:r>
        <w:t xml:space="preserve"> </w:t>
      </w:r>
      <w:r>
        <w:rPr>
          <w:b/>
          <w:bCs/>
        </w:rPr>
        <w:t xml:space="preserve">не приняты</w:t>
      </w:r>
      <w:r>
        <w:t xml:space="preserve"> </w:t>
      </w:r>
      <w:r>
        <w:t xml:space="preserve">— работаем по № 29н.</w:t>
      </w:r>
    </w:p>
    <w:p>
      <w:r>
        <w:pict>
          <v:rect style="width:0;height:1.5pt" o:hralign="center" o:hrstd="t" o:hr="t"/>
        </w:pict>
      </w:r>
    </w:p>
    <w:bookmarkEnd w:id="13"/>
    <w:bookmarkStart w:id="14" w:name="сиз-пожарная-безопасность-цифровизация"/>
    <w:p>
      <w:pPr>
        <w:pStyle w:val="Heading2"/>
      </w:pPr>
      <w:r>
        <w:t xml:space="preserve">6. СИЗ, пожарная безопасность, цифровизация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 / требование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766н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Обеспечение СИЗ, смывающими и обезвреживающими средствами; пп. 25–27 — электронный учёт выдачи (при ЭДО карточки на бумаге не обязательны)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767н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Единые типовые нормы выдачи СИЗ (ЕТН) — привязка к уровням рисков и результатам СОУТ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Маркировка СИЗ в «Честном знаке»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</w:p>
        </w:tc>
        <w:tc>
          <w:tcPr/>
          <w:p>
            <w:pPr>
              <w:pStyle w:val="Compact"/>
            </w:pPr>
            <w:r>
              <w:t xml:space="preserve">Обязательна для товаров лёгкой промышленности: огнестойкая одежда, спасательные жилеты, перчатки, средства защиты головы и др. Закупка без кодов маркировки недопустима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16.12.2024 № 1120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01.09.2025</w:t>
            </w:r>
            <w:r>
              <w:t xml:space="preserve">, до</w:t>
            </w:r>
            <w:r>
              <w:t xml:space="preserve"> </w:t>
            </w:r>
            <w:r>
              <w:rPr>
                <w:b/>
                <w:bCs/>
              </w:rPr>
              <w:t xml:space="preserve">01.09.2031</w:t>
            </w:r>
          </w:p>
        </w:tc>
        <w:tc>
          <w:tcPr/>
          <w:p>
            <w:pPr>
              <w:pStyle w:val="Compact"/>
            </w:pPr>
            <w:r>
              <w:t xml:space="preserve">Правила противопожарного режима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ЕИСОТ (eisot.rosmintrud.ru)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Реестр обученных лиц; реестр работодателей, обучающих своих работников; реестр аккредитованных организаций; ФГИС СОУТ; ЛКОТ (ikot.mintrud.gov.ru)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Приказы Роспотребнадзора от 20.07.2026 № 578, 579, 580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04.10.2026</w:t>
            </w:r>
          </w:p>
        </w:tc>
        <w:tc>
          <w:tcPr/>
          <w:p>
            <w:pPr>
              <w:pStyle w:val="Compact"/>
            </w:pPr>
            <w:r>
              <w:t xml:space="preserve">Новые проверочные листы санитарного контроля, затрагивающие параметры производственной среды и медосмотры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c3969aec37d92a0c01f6737d9e0d1fa31186860"/>
    <w:p>
      <w:pPr>
        <w:pStyle w:val="Heading2"/>
      </w:pPr>
      <w:r>
        <w:t xml:space="preserve">7. Правила по охране труда (ПОТ): продление сроков</w:t>
      </w:r>
    </w:p>
    <w:p>
      <w:pPr>
        <w:pStyle w:val="FirstParagraph"/>
      </w:pPr>
      <w:r>
        <w:rPr>
          <w:b/>
          <w:bCs/>
        </w:rPr>
        <w:t xml:space="preserve">Приказ Минтруда России от 29.04.2025 № 287н</w:t>
      </w:r>
      <w:r>
        <w:t xml:space="preserve"> </w:t>
      </w:r>
      <w:r>
        <w:t xml:space="preserve">(вступил в силу 01.09.2025,</w:t>
      </w:r>
      <w:r>
        <w:t xml:space="preserve"> </w:t>
      </w:r>
      <w:r>
        <w:t xml:space="preserve">зарег. в Минюсте 30.05.2025 № 82424) продлил срок действия</w:t>
      </w:r>
      <w:r>
        <w:t xml:space="preserve"> </w:t>
      </w:r>
      <w:r>
        <w:rPr>
          <w:b/>
          <w:bCs/>
        </w:rPr>
        <w:t xml:space="preserve">41 акта</w:t>
      </w:r>
      <w:r>
        <w:t xml:space="preserve">, которые</w:t>
      </w:r>
      <w:r>
        <w:t xml:space="preserve"> </w:t>
      </w:r>
      <w:r>
        <w:t xml:space="preserve">в массе своей истекали 31.12.2025: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Примеры 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01.09.2027</w:t>
            </w:r>
          </w:p>
        </w:tc>
        <w:tc>
          <w:tcPr/>
          <w:p>
            <w:pPr>
              <w:pStyle w:val="Compact"/>
            </w:pPr>
            <w:r>
              <w:t xml:space="preserve">ПОТ в морских и речных портах (№ 343н), лесозаготовка и деревообработка (№ 644н), инфраструктура ж/д транспорта (№ 652н), сельское хозяйство (№ 746н), погрузочно-разгрузочные работы (№ 753н), нанесение металлопокрытий (№ 776н), охрана объектов (№ 815н), полиграфия (№ 832н), работа с инструментом и приспособлениями (№ 835н), грузопассажирские перевозки ж/д транспортом (№ 836н)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01.09.2031</w:t>
            </w:r>
          </w:p>
        </w:tc>
        <w:tc>
          <w:tcPr/>
          <w:p>
            <w:pPr>
              <w:pStyle w:val="Compact"/>
            </w:pPr>
            <w:r>
              <w:t xml:space="preserve">ЖКХ (№ 758н), лёгкая промышленность (№ 780н),</w:t>
            </w:r>
            <w:r>
              <w:t xml:space="preserve"> </w:t>
            </w:r>
            <w:r>
              <w:rPr>
                <w:b/>
                <w:bCs/>
              </w:rPr>
              <w:t xml:space="preserve">работа на высоте (№ 782н)</w:t>
            </w:r>
            <w:r>
              <w:t xml:space="preserve">, промышленный транспорт (№ 814н), размещение/монтаж/ремонт техоборудования (№ 833н), химические вещества и чистка (№ 834н), окрасочные работы (№ 849н), целлюлозно-бумажная и лесохимическая промышленность (№ 859н), отдельные виды пищевой продукции (№ 866н), производство строительных материалов (№ 901н),</w:t>
            </w:r>
            <w:r>
              <w:t xml:space="preserve"> </w:t>
            </w:r>
            <w:r>
              <w:rPr>
                <w:b/>
                <w:bCs/>
              </w:rPr>
              <w:t xml:space="preserve">работы в ограниченных и замкнутых пространствах (№ 902н)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электроустановки (№ 903н)</w:t>
            </w:r>
            <w:r>
              <w:t xml:space="preserve">, теплоснабжение (№ 924н), строительство и содержание мостов (№ 872н), строительство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01.09.2032</w:t>
            </w:r>
          </w:p>
        </w:tc>
        <w:tc>
          <w:tcPr/>
          <w:p>
            <w:pPr>
              <w:pStyle w:val="Compact"/>
            </w:pPr>
            <w:r>
              <w:t xml:space="preserve">Метрополитен (№ 721н)</w:t>
            </w:r>
          </w:p>
        </w:tc>
      </w:tr>
    </w:tbl>
    <w:p>
      <w:pPr>
        <w:pStyle w:val="BlockText"/>
      </w:pPr>
      <w:r>
        <w:t xml:space="preserve">Продление действия ПОТ</w:t>
      </w:r>
      <w:r>
        <w:t xml:space="preserve"> </w:t>
      </w:r>
      <w:r>
        <w:rPr>
          <w:b/>
          <w:bCs/>
        </w:rPr>
        <w:t xml:space="preserve">не отменяет</w:t>
      </w:r>
      <w:r>
        <w:t xml:space="preserve"> </w:t>
      </w:r>
      <w:r>
        <w:t xml:space="preserve">обязанность пересматривать</w:t>
      </w:r>
      <w:r>
        <w:t xml:space="preserve"> </w:t>
      </w:r>
      <w:r>
        <w:rPr>
          <w:b/>
          <w:bCs/>
        </w:rPr>
        <w:t xml:space="preserve">локальные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инструкции</w:t>
      </w:r>
      <w:r>
        <w:t xml:space="preserve"> </w:t>
      </w:r>
      <w:r>
        <w:t xml:space="preserve">при изменении условий труда, оборудования, технологий, НПА-ссылок,</w:t>
      </w:r>
      <w:r>
        <w:t xml:space="preserve"> </w:t>
      </w:r>
      <w:r>
        <w:t xml:space="preserve">а также после НС или предписания ГИТ.</w:t>
      </w:r>
    </w:p>
    <w:p>
      <w:r>
        <w:pict>
          <v:rect style="width:0;height:1.5pt" o:hralign="center" o:hrstd="t" o:hr="t"/>
        </w:pict>
      </w:r>
    </w:p>
    <w:bookmarkEnd w:id="15"/>
    <w:bookmarkStart w:id="16" w:name="стандарты-гост-что-появилось-в-2026-году"/>
    <w:p>
      <w:pPr>
        <w:pStyle w:val="Heading2"/>
      </w:pPr>
      <w:r>
        <w:t xml:space="preserve">8. Стандарты (ГОСТ): что появилось в 2026 году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12.0.230-2007 и серия ГОСТ 12.0.230.1–12.0.230.6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  <w:tc>
          <w:tcPr/>
          <w:p>
            <w:pPr>
              <w:pStyle w:val="Compact"/>
            </w:pPr>
            <w:r>
              <w:t xml:space="preserve">ССБТ. Системы управления охраной 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12.0.010-2009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Определение опасностей и оценка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ИСО 45001-2020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Система менеджмента ОЗБТ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58771-2019, ГОСТ Р ИСО 31000-2019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  <w:tc>
          <w:tcPr/>
          <w:p>
            <w:pPr>
              <w:pStyle w:val="Compact"/>
            </w:pPr>
            <w:r>
              <w:t xml:space="preserve">Технологии и принципы оценки риска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Р ИСО 45002-2026</w:t>
            </w:r>
          </w:p>
        </w:tc>
        <w:tc>
          <w:tcPr/>
          <w:p>
            <w:pPr>
              <w:pStyle w:val="Compact"/>
            </w:pPr>
            <w:r>
              <w:t xml:space="preserve">Утверждён в 2026 г.</w:t>
            </w:r>
          </w:p>
        </w:tc>
        <w:tc>
          <w:tcPr/>
          <w:p>
            <w:pPr>
              <w:pStyle w:val="Compact"/>
            </w:pPr>
            <w:r>
              <w:t xml:space="preserve">Общие руководящие указания по внедрению СУОТ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Р ИСО 45003-2026</w:t>
            </w:r>
          </w:p>
        </w:tc>
        <w:tc>
          <w:tcPr/>
          <w:p>
            <w:pPr>
              <w:pStyle w:val="Compact"/>
            </w:pPr>
            <w:r>
              <w:t xml:space="preserve">Вводится в действие</w:t>
            </w:r>
            <w:r>
              <w:t xml:space="preserve"> </w:t>
            </w:r>
            <w:r>
              <w:rPr>
                <w:b/>
                <w:bCs/>
              </w:rPr>
              <w:t xml:space="preserve">01.02.2027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Менеджмент психосоциальных рисков</w:t>
            </w:r>
            <w:r>
              <w:t xml:space="preserve">: организация труда, перегрузки, неопределённость ролей, непредсказуемый график, буллинг, харассмент, социальная изоляция, конфликты, отсутствие поддержки. Методы: опросы, интервью, фокус-группы, анализ текучести/заболеваемости/жалоб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Р ИСО 45004-2026</w:t>
            </w:r>
          </w:p>
        </w:tc>
        <w:tc>
          <w:tcPr/>
          <w:p>
            <w:pPr>
              <w:pStyle w:val="Compact"/>
            </w:pPr>
            <w:r>
              <w:t xml:space="preserve">Утверждён в 2026 г.</w:t>
            </w:r>
          </w:p>
        </w:tc>
        <w:tc>
          <w:tcPr/>
          <w:p>
            <w:pPr>
              <w:pStyle w:val="Compact"/>
            </w:pPr>
            <w:r>
              <w:t xml:space="preserve">Оценка показателей (эффективности) деятельности в области ОЗБТ — метрики и мониторинг</w:t>
            </w:r>
          </w:p>
        </w:tc>
      </w:tr>
    </w:tbl>
    <w:p>
      <w:pPr>
        <w:pStyle w:val="BodyText"/>
      </w:pPr>
      <w:r>
        <w:t xml:space="preserve">Стандарты добровольны: они не вводят новых обязательных требований и не порождают</w:t>
      </w:r>
      <w:r>
        <w:t xml:space="preserve"> </w:t>
      </w:r>
      <w:r>
        <w:t xml:space="preserve">новых штрафов, но дают</w:t>
      </w:r>
      <w:r>
        <w:t xml:space="preserve"> </w:t>
      </w:r>
      <w:r>
        <w:rPr>
          <w:b/>
          <w:bCs/>
        </w:rPr>
        <w:t xml:space="preserve">методологию</w:t>
      </w:r>
      <w:r>
        <w:t xml:space="preserve">, которой удобно подтверждать исполнение</w:t>
      </w:r>
      <w:r>
        <w:t xml:space="preserve"> </w:t>
      </w:r>
      <w:r>
        <w:t xml:space="preserve">ст. 214 и 218 ТК РФ и требований приказа № 776н — в том числе при разборе НС.</w:t>
      </w:r>
    </w:p>
    <w:p>
      <w:r>
        <w:pict>
          <v:rect style="width:0;height:1.5pt" o:hralign="center" o:hrstd="t" o:hr="t"/>
        </w:pict>
      </w:r>
    </w:p>
    <w:bookmarkEnd w:id="16"/>
    <w:bookmarkStart w:id="17" w:name="контроль-и-ответственность"/>
    <w:p>
      <w:pPr>
        <w:pStyle w:val="Heading2"/>
      </w:pPr>
      <w:r>
        <w:t xml:space="preserve">9. Контроль и ответственность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Норма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Плановые проверки ГИТ</w:t>
            </w:r>
          </w:p>
        </w:tc>
        <w:tc>
          <w:tcPr/>
          <w:p>
            <w:pPr>
              <w:pStyle w:val="Compact"/>
            </w:pPr>
            <w:r>
              <w:t xml:space="preserve">ПП РФ от 30.06.2021 № 1060; критерии категорий риска — ПП РФ от 21.07.2021 № 1230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[ПРОВЕРИТЬ]</w:t>
            </w:r>
          </w:p>
        </w:tc>
        <w:tc>
          <w:tcPr/>
          <w:p>
            <w:pPr>
              <w:pStyle w:val="Compact"/>
            </w:pPr>
            <w:r>
              <w:t xml:space="preserve">Высокий риск — 1 раз в 2 года; значительный — 1 раз в 3 года; средний — 1 раз в 5 лет; умеренный — 1 раз в 6 лет; низкий — не проверяют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Мораторий на плановые проверки</w:t>
            </w:r>
          </w:p>
        </w:tc>
        <w:tc>
          <w:tcPr/>
          <w:p>
            <w:pPr>
              <w:pStyle w:val="Compact"/>
            </w:pPr>
            <w:r>
              <w:t xml:space="preserve">ПП РФ от 10.03.2022 № 336</w:t>
            </w:r>
          </w:p>
        </w:tc>
        <w:tc>
          <w:tcPr/>
          <w:p>
            <w:pPr>
              <w:pStyle w:val="Compact"/>
            </w:pPr>
            <w:r>
              <w:t xml:space="preserve">Для большинства субъектов МСП —</w:t>
            </w:r>
            <w:r>
              <w:t xml:space="preserve"> </w:t>
            </w:r>
            <w:r>
              <w:rPr>
                <w:b/>
                <w:bCs/>
              </w:rPr>
              <w:t xml:space="preserve">до 01.01.2030</w:t>
            </w:r>
            <w:r>
              <w:t xml:space="preserve">; сохраняются внеплановые КНМ, профилактические визиты, предостережения, проверки объектов высокого риска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Внеплановые КНМ</w:t>
            </w:r>
          </w:p>
        </w:tc>
        <w:tc>
          <w:tcPr/>
          <w:p>
            <w:pPr>
              <w:pStyle w:val="Compact"/>
            </w:pPr>
            <w:r>
              <w:t xml:space="preserve">ФЗ от 31.07.2020 № 248-ФЗ, ст. 57; индикаторы риска — приказ № 838н (до 31.12.2026)</w:t>
            </w:r>
          </w:p>
        </w:tc>
        <w:tc>
          <w:tcPr/>
          <w:p>
            <w:pPr>
              <w:pStyle w:val="Compact"/>
            </w:pPr>
            <w:r>
              <w:t xml:space="preserve">Основания: индикаторы риска, жалобы, НС, истечение срока предписания, поручения Президента/Правительства, угроза жизни и здоровью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Особый режим для пострадавших объектов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ПП РФ от 25.09.2026 № 1238</w:t>
            </w:r>
            <w:r>
              <w:t xml:space="preserve"> </w:t>
            </w:r>
            <w:r>
              <w:t xml:space="preserve">(вступило в силу 28.09.2026)</w:t>
            </w:r>
          </w:p>
        </w:tc>
        <w:tc>
          <w:tcPr/>
          <w:p>
            <w:pPr>
              <w:pStyle w:val="Compact"/>
            </w:pPr>
            <w:r>
              <w:t xml:space="preserve">До 01.10.2027 без плановых КНМ для производственных объектов, получивших ущерб от атак с 01.01.2026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Административная ответственность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ст. 5.27.1 КоАП РФ</w:t>
            </w:r>
          </w:p>
        </w:tc>
        <w:tc>
          <w:tcPr/>
          <w:p>
            <w:pPr>
              <w:pStyle w:val="Compact"/>
            </w:pPr>
            <w:r>
              <w:t xml:space="preserve">ч. 1: ДЛ/ИП 2–5 тыс., ЮЛ 50–80 тыс.; ч. 2 (СОУТ): 5–10 тыс. / 60–80 тыс.; ч. 3 (допуск без обучения, медосмотров, при противопоказаниях): 15–25 тыс. / 110–130 тыс.; ч. 4 (СИЗ): 20–30 тыс. / 130–150 тыс.; ч. 5 (повторно): 30–40 тыс. или</w:t>
            </w:r>
            <w:r>
              <w:t xml:space="preserve"> </w:t>
            </w:r>
            <w:r>
              <w:rPr>
                <w:b/>
                <w:bCs/>
              </w:rPr>
              <w:t xml:space="preserve">дисквалификация 1–3 года</w:t>
            </w:r>
            <w:r>
              <w:t xml:space="preserve"> </w:t>
            </w:r>
            <w:r>
              <w:t xml:space="preserve">/ 100–200 тыс. или</w:t>
            </w:r>
            <w:r>
              <w:t xml:space="preserve"> </w:t>
            </w:r>
            <w:r>
              <w:rPr>
                <w:b/>
                <w:bCs/>
              </w:rPr>
              <w:t xml:space="preserve">приостановление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Уголовная ответственность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ст. 143 УК РФ</w:t>
            </w:r>
          </w:p>
        </w:tc>
        <w:tc>
          <w:tcPr/>
          <w:p>
            <w:pPr>
              <w:pStyle w:val="Compact"/>
            </w:pPr>
            <w:r>
              <w:t xml:space="preserve">Тяжкий вред здоровью; смерть работника; смерть двух и более лиц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Невыполнение предписания</w:t>
            </w:r>
          </w:p>
        </w:tc>
        <w:tc>
          <w:tcPr/>
          <w:p>
            <w:pPr>
              <w:pStyle w:val="Compact"/>
            </w:pPr>
            <w:r>
              <w:t xml:space="preserve">ст. 19.5 КоАП РФ</w:t>
            </w:r>
          </w:p>
        </w:tc>
        <w:tc>
          <w:tcPr/>
          <w:p>
            <w:pPr>
              <w:pStyle w:val="Compact"/>
            </w:pPr>
            <w:r>
              <w:t xml:space="preserve">До 200 тыс., повторно — выше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Частые индикаторы риска (приказ № 838н, до 31.12.2026):</w:t>
      </w:r>
      <w:r>
        <w:t xml:space="preserve"> </w:t>
      </w:r>
      <w:r>
        <w:t xml:space="preserve">рост лёгких НС в</w:t>
      </w:r>
      <w:r>
        <w:t xml:space="preserve"> </w:t>
      </w:r>
      <w:r>
        <w:t xml:space="preserve">квартале к аналогичному периоду прошлого года; отсутствие СОУТ при рабочих местах</w:t>
      </w:r>
      <w:r>
        <w:t xml:space="preserve"> </w:t>
      </w:r>
      <w:r>
        <w:t xml:space="preserve">с вредными условиями или истечение 5-летнего срока; «одновременные» замеры СОУТ</w:t>
      </w:r>
      <w:r>
        <w:t xml:space="preserve"> </w:t>
      </w:r>
      <w:r>
        <w:t xml:space="preserve">одной организацией/прибором в разных регионах; банкротство работодателя с</w:t>
      </w:r>
      <w:r>
        <w:t xml:space="preserve"> </w:t>
      </w:r>
      <w:r>
        <w:t xml:space="preserve">численностью 50+; зарплата ниже МРОТ у 60 и более работников (≥ половины штата);</w:t>
      </w:r>
      <w:r>
        <w:t xml:space="preserve"> </w:t>
      </w:r>
      <w:r>
        <w:t xml:space="preserve">снижение зарплаты у 25 %+ медперсонала медучреждения.</w:t>
      </w:r>
    </w:p>
    <w:p>
      <w:r>
        <w:pict>
          <v:rect style="width:0;height:1.5pt" o:hralign="center" o:hrstd="t" o:hr="t"/>
        </w:pict>
      </w:r>
    </w:p>
    <w:bookmarkEnd w:id="17"/>
    <w:bookmarkStart w:id="18" w:name="X19459c515cf544a41a9b29e8075959e4dedc209"/>
    <w:p>
      <w:pPr>
        <w:pStyle w:val="Heading2"/>
      </w:pPr>
      <w:r>
        <w:t xml:space="preserve">10. Соседние изменения, влияющие на риск-менеджмент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25.05.2026 № 144-ФЗ</w:t>
            </w:r>
          </w:p>
        </w:tc>
        <w:tc>
          <w:tcPr/>
          <w:p>
            <w:pPr>
              <w:pStyle w:val="Compact"/>
            </w:pPr>
            <w:r>
              <w:t xml:space="preserve">Вступил в силу</w:t>
            </w:r>
            <w:r>
              <w:t xml:space="preserve"> </w:t>
            </w:r>
            <w:r>
              <w:rPr>
                <w:b/>
                <w:bCs/>
              </w:rPr>
              <w:t xml:space="preserve">01.09.2026</w:t>
            </w:r>
          </w:p>
        </w:tc>
        <w:tc>
          <w:tcPr/>
          <w:p>
            <w:pPr>
              <w:pStyle w:val="Compact"/>
            </w:pPr>
            <w:r>
              <w:t xml:space="preserve">Сверхурочная работа: предельный годовой лимит может быть увеличен со 120 до</w:t>
            </w:r>
            <w:r>
              <w:t xml:space="preserve"> </w:t>
            </w:r>
            <w:r>
              <w:rPr>
                <w:b/>
                <w:bCs/>
              </w:rPr>
              <w:t xml:space="preserve">240 часов</w:t>
            </w:r>
            <w:r>
              <w:t xml:space="preserve"> </w:t>
            </w:r>
            <w:r>
              <w:t xml:space="preserve">(если предусмотрено коллективным договором и/или отраслевым соглашением), свыше 120 часов — оплата не менее чем в двойном размере.</w:t>
            </w:r>
            <w:r>
              <w:t xml:space="preserve"> </w:t>
            </w:r>
            <w:r>
              <w:rPr>
                <w:b/>
                <w:bCs/>
              </w:rPr>
              <w:t xml:space="preserve">Но для работников, условия труда которых по СОУТ отнесены к подклассам 3.3 и 3.4, сверхурочная работа свыше 120 часов в год не применяется</w:t>
            </w:r>
            <w:r>
              <w:t xml:space="preserve"> </w:t>
            </w:r>
            <w:r>
              <w:t xml:space="preserve">— прямой вход в оценку рисков перегрузок и профзаболеваний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30.07.2026 № 324н</w:t>
            </w:r>
          </w:p>
        </w:tc>
        <w:tc>
          <w:tcPr/>
          <w:p>
            <w:pPr>
              <w:pStyle w:val="Compact"/>
            </w:pPr>
            <w:r>
              <w:t xml:space="preserve">Вступает в силу</w:t>
            </w:r>
            <w:r>
              <w:t xml:space="preserve"> </w:t>
            </w:r>
            <w:r>
              <w:rPr>
                <w:b/>
                <w:bCs/>
              </w:rPr>
              <w:t xml:space="preserve">01.03.2027</w:t>
            </w:r>
          </w:p>
        </w:tc>
        <w:tc>
          <w:tcPr/>
          <w:p>
            <w:pPr>
              <w:pStyle w:val="Compact"/>
            </w:pPr>
            <w:r>
              <w:t xml:space="preserve">Профстандарт «Специалист в области охраны труда» (взамен приказа от 22.04.2021 № 274н). Трудовые функции: обеспечение функционирования СУОТ; организация, внедрение и оценка эффективности СУОТ;</w:t>
            </w:r>
            <w:r>
              <w:t xml:space="preserve"> </w:t>
            </w:r>
            <w:r>
              <w:rPr>
                <w:b/>
                <w:bCs/>
              </w:rPr>
              <w:t xml:space="preserve">стратегическое управление профессиональными рисками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Финансирование предупредительных мер (СФР, 125-ФЗ)</w:t>
            </w:r>
          </w:p>
        </w:tc>
        <w:tc>
          <w:tcPr/>
          <w:p>
            <w:pPr>
              <w:pStyle w:val="Compact"/>
            </w:pPr>
            <w:r>
              <w:t xml:space="preserve">2025–2026</w:t>
            </w:r>
          </w:p>
        </w:tc>
        <w:tc>
          <w:tcPr/>
          <w:p>
            <w:pPr>
              <w:pStyle w:val="Compact"/>
            </w:pPr>
            <w:r>
              <w:t xml:space="preserve">Страхователь самостоятельно определяет состав мер; упрощена подача заявления; срок подачи — до</w:t>
            </w:r>
            <w:r>
              <w:t xml:space="preserve"> </w:t>
            </w:r>
            <w:r>
              <w:rPr>
                <w:b/>
                <w:bCs/>
              </w:rPr>
              <w:t xml:space="preserve">15 ноября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Взносы на травматизм для АУСН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01.01.2026</w:t>
            </w:r>
          </w:p>
        </w:tc>
        <w:tc>
          <w:tcPr/>
          <w:p>
            <w:pPr>
              <w:pStyle w:val="Compact"/>
            </w:pPr>
            <w:r>
              <w:t xml:space="preserve">Фиксированный размер проиндексирован в 1,076 раза —</w:t>
            </w:r>
            <w:r>
              <w:t xml:space="preserve"> </w:t>
            </w:r>
            <w:r>
              <w:rPr>
                <w:b/>
                <w:bCs/>
              </w:rPr>
              <w:t xml:space="preserve">2 959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классификатор профессий</w:t>
            </w:r>
            <w:r>
              <w:t xml:space="preserve"> </w:t>
            </w:r>
            <w:r>
              <w:rPr>
                <w:b/>
                <w:bCs/>
              </w:rPr>
              <w:t xml:space="preserve">ОК 016-2025</w:t>
            </w:r>
            <w:r>
              <w:t xml:space="preserve">, обновлённая форма отчётности</w:t>
            </w:r>
            <w:r>
              <w:t xml:space="preserve"> </w:t>
            </w:r>
            <w:r>
              <w:rPr>
                <w:b/>
                <w:bCs/>
              </w:rPr>
              <w:t xml:space="preserve">1-Т (условия труда)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Требуют актуализации перечней профессий и внутренней отчётности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сроки обязательного применения]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ded320ce83892785cfe0c6e01a76a9661ae4ae7"/>
    <w:p>
      <w:pPr>
        <w:pStyle w:val="Heading2"/>
      </w:pPr>
      <w:r>
        <w:t xml:space="preserve">11. Календарь подготовки (что сделать до конца 2026 — 2027)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31.12.2026</w:t>
            </w:r>
          </w:p>
        </w:tc>
        <w:tc>
          <w:tcPr/>
          <w:p>
            <w:pPr>
              <w:pStyle w:val="Compact"/>
            </w:pPr>
            <w:r>
              <w:t xml:space="preserve">Проверить актуальность ссылок на ПОТ во всех локальных актах (приказ № 287н: 01.09.2027 / 01.09.2031 / 01.09.2032). Пересмотреть карты рисков с учётом ФЗ-144 (перегрузки, сверхурочные для 3.3/3.4). Обновить данные в реестре обученных ЕИСОТ. Проверить категорию риска на онлайнинспекция.рф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31.12.2026</w:t>
            </w:r>
          </w:p>
        </w:tc>
        <w:tc>
          <w:tcPr/>
          <w:p>
            <w:pPr>
              <w:pStyle w:val="Compact"/>
            </w:pPr>
            <w:r>
              <w:t xml:space="preserve">Дождаться нового перечня индикаторов риска ГИТ (приказ № 838н истекает 31.12.2026) и сверить с ним свои показатели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Январь–февраль 2027</w:t>
            </w:r>
          </w:p>
        </w:tc>
        <w:tc>
          <w:tcPr/>
          <w:p>
            <w:pPr>
              <w:pStyle w:val="Compact"/>
            </w:pPr>
            <w:r>
              <w:t xml:space="preserve">Подготовить программу управления</w:t>
            </w:r>
            <w:r>
              <w:t xml:space="preserve"> </w:t>
            </w:r>
            <w:r>
              <w:rPr>
                <w:b/>
                <w:bCs/>
              </w:rPr>
              <w:t xml:space="preserve">психосоциальными рисками</w:t>
            </w:r>
            <w:r>
              <w:t xml:space="preserve"> </w:t>
            </w:r>
            <w:r>
              <w:t xml:space="preserve">к введению ГОСТ Р ИСО 45003-2026 (01.02.2027): опросы, анализ текучести/микротравм, реестр психосоциальных рисков, показатели по ГОСТ Р ИСО 45004-2026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01.03.2027</w:t>
            </w:r>
          </w:p>
        </w:tc>
        <w:tc>
          <w:tcPr/>
          <w:p>
            <w:pPr>
              <w:pStyle w:val="Compact"/>
            </w:pPr>
            <w:r>
              <w:t xml:space="preserve">Перестроить процедуру СОУТ по приказу № 345н (малые предприятия и НКО); подготовить подачу декларации через Госуслуги (приказ № 246н); сверить квалификацию специалиста по ОТ с новым профстандартом (приказ № 324н)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Пересматривать ОПР при любом триггере: новое оборудование/процесс/сырьё, НС, микротравма, профзаболевание, предписание ГИТ, изменение НПА, новая СОУТ, смена подрядчика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чек-лист-опр-выдержит-проверку"/>
    <w:p>
      <w:pPr>
        <w:pStyle w:val="Heading2"/>
      </w:pPr>
      <w:r>
        <w:t xml:space="preserve">12. Чек-лист «ОПР выдержит проверку»</w:t>
      </w:r>
    </w:p>
    <w:p>
      <w:pPr>
        <w:pStyle w:val="Compact"/>
        <w:numPr>
          <w:ilvl w:val="0"/>
          <w:numId w:val="1001"/>
        </w:numPr>
      </w:pPr>
      <w:r>
        <w:t xml:space="preserve">☐ Есть Положение о СУОТ (по приказу № 776н) и утверждённая Политика по ОТ.</w:t>
      </w:r>
    </w:p>
    <w:p>
      <w:pPr>
        <w:pStyle w:val="Compact"/>
        <w:numPr>
          <w:ilvl w:val="0"/>
          <w:numId w:val="1001"/>
        </w:numPr>
      </w:pPr>
      <w:r>
        <w:t xml:space="preserve">☐ Есть приказ о комиссии по ОПР (≥ 3 чел., включая представителя работников).</w:t>
      </w:r>
    </w:p>
    <w:p>
      <w:pPr>
        <w:pStyle w:val="Compact"/>
        <w:numPr>
          <w:ilvl w:val="0"/>
          <w:numId w:val="1001"/>
        </w:numPr>
      </w:pPr>
      <w:r>
        <w:t xml:space="preserve">☐ Есть Положение о порядке управления профессиональными рисками с</w:t>
      </w:r>
      <w:r>
        <w:t xml:space="preserve"> </w:t>
      </w:r>
      <w:r>
        <w:rPr>
          <w:b/>
          <w:bCs/>
        </w:rPr>
        <w:t xml:space="preserve">закреплённым</w:t>
      </w:r>
      <w:r>
        <w:rPr>
          <w:b/>
          <w:bCs/>
        </w:rPr>
        <w:t xml:space="preserve"> </w:t>
      </w:r>
      <w:r>
        <w:rPr>
          <w:b/>
          <w:bCs/>
        </w:rPr>
        <w:t xml:space="preserve">методом</w:t>
      </w:r>
      <w:r>
        <w:t xml:space="preserve"> </w:t>
      </w:r>
      <w:r>
        <w:t xml:space="preserve">оценки (по приказу № 926 или собственный).</w:t>
      </w:r>
    </w:p>
    <w:p>
      <w:pPr>
        <w:pStyle w:val="Compact"/>
        <w:numPr>
          <w:ilvl w:val="0"/>
          <w:numId w:val="1001"/>
        </w:numPr>
      </w:pPr>
      <w:r>
        <w:t xml:space="preserve">☐ Перечень рабочих мест актуален (включая аналогичные места, подрядчиков,</w:t>
      </w:r>
      <w:r>
        <w:t xml:space="preserve"> </w:t>
      </w:r>
      <w:r>
        <w:t xml:space="preserve">вновь созданные места).</w:t>
      </w:r>
    </w:p>
    <w:p>
      <w:pPr>
        <w:pStyle w:val="Compact"/>
        <w:numPr>
          <w:ilvl w:val="0"/>
          <w:numId w:val="1001"/>
        </w:numPr>
      </w:pPr>
      <w:r>
        <w:t xml:space="preserve">☐ Опасности идентифицированы по приказу № 36, включая психосоциальные.</w:t>
      </w:r>
    </w:p>
    <w:p>
      <w:pPr>
        <w:pStyle w:val="Compact"/>
        <w:numPr>
          <w:ilvl w:val="0"/>
          <w:numId w:val="1001"/>
        </w:numPr>
      </w:pPr>
      <w:r>
        <w:t xml:space="preserve">☐ По каждой опасности: вероятность, тяжесть, уровень риска, меры,</w:t>
      </w:r>
      <w:r>
        <w:t xml:space="preserve"> </w:t>
      </w:r>
      <w:r>
        <w:rPr>
          <w:b/>
          <w:bCs/>
        </w:rPr>
        <w:t xml:space="preserve">остаточный</w:t>
      </w:r>
      <w:r>
        <w:rPr>
          <w:b/>
          <w:bCs/>
        </w:rPr>
        <w:t xml:space="preserve"> </w:t>
      </w:r>
      <w:r>
        <w:rPr>
          <w:b/>
          <w:bCs/>
        </w:rPr>
        <w:t xml:space="preserve">риск</w:t>
      </w:r>
      <w:r>
        <w:t xml:space="preserve">, ответственный, срок.</w:t>
      </w:r>
    </w:p>
    <w:p>
      <w:pPr>
        <w:pStyle w:val="Compact"/>
        <w:numPr>
          <w:ilvl w:val="0"/>
          <w:numId w:val="1001"/>
        </w:numPr>
      </w:pPr>
      <w:r>
        <w:t xml:space="preserve">☐ Меры выстроены по иерархии (СИЗ — не первая строка).</w:t>
      </w:r>
    </w:p>
    <w:p>
      <w:pPr>
        <w:pStyle w:val="Compact"/>
        <w:numPr>
          <w:ilvl w:val="0"/>
          <w:numId w:val="1001"/>
        </w:numPr>
      </w:pPr>
      <w:r>
        <w:t xml:space="preserve">☐ План мероприятий увязан с финансированием (ст. 226 ТК РФ, приказ № 771н,</w:t>
      </w:r>
      <w:r>
        <w:t xml:space="preserve"> </w:t>
      </w:r>
      <w:r>
        <w:t xml:space="preserve">заявка в СФР).</w:t>
      </w:r>
    </w:p>
    <w:p>
      <w:pPr>
        <w:pStyle w:val="Compact"/>
        <w:numPr>
          <w:ilvl w:val="0"/>
          <w:numId w:val="1001"/>
        </w:numPr>
      </w:pPr>
      <w:r>
        <w:t xml:space="preserve">☐ Работники ознакомлены с результатами ОПР (ст. 214 ТК РФ).</w:t>
      </w:r>
    </w:p>
    <w:p>
      <w:pPr>
        <w:pStyle w:val="Compact"/>
        <w:numPr>
          <w:ilvl w:val="0"/>
          <w:numId w:val="1001"/>
        </w:numPr>
      </w:pPr>
      <w:r>
        <w:t xml:space="preserve">☐ Результаты ОПР «питают» обучение, СИЗ, медосмотры, наряды-допуски,</w:t>
      </w:r>
      <w:r>
        <w:t xml:space="preserve"> </w:t>
      </w:r>
      <w:r>
        <w:t xml:space="preserve">инструкции, показатели СУОТ.</w:t>
      </w:r>
    </w:p>
    <w:p>
      <w:pPr>
        <w:pStyle w:val="Compact"/>
        <w:numPr>
          <w:ilvl w:val="0"/>
          <w:numId w:val="1001"/>
        </w:numPr>
      </w:pPr>
      <w:r>
        <w:t xml:space="preserve">☐ Данные об обученных внесены в ЕИСОТ, программы актуализированы под</w:t>
      </w:r>
      <w:r>
        <w:t xml:space="preserve"> </w:t>
      </w:r>
      <w:r>
        <w:t xml:space="preserve">постановление № 2464 в ред. 2026 г.</w:t>
      </w:r>
    </w:p>
    <w:p>
      <w:pPr>
        <w:pStyle w:val="Compact"/>
        <w:numPr>
          <w:ilvl w:val="0"/>
          <w:numId w:val="1001"/>
        </w:numPr>
      </w:pPr>
      <w:r>
        <w:t xml:space="preserve">☐ Назначен пересмотр ОПР (не реже 1 раза в год + внепланово по триггерам).</w:t>
      </w:r>
    </w:p>
    <w:p>
      <w:r>
        <w:pict>
          <v:rect style="width:0;height:1.5pt" o:hralign="center" o:hrstd="t" o:hr="t"/>
        </w:pict>
      </w:r>
    </w:p>
    <w:bookmarkEnd w:id="20"/>
    <w:bookmarkStart w:id="21" w:name="источники-для-проверки"/>
    <w:p>
      <w:pPr>
        <w:pStyle w:val="Heading2"/>
      </w:pPr>
      <w:r>
        <w:t xml:space="preserve">13. Источники для проверки</w:t>
      </w:r>
    </w:p>
    <w:p>
      <w:pPr>
        <w:pStyle w:val="Compact"/>
        <w:numPr>
          <w:ilvl w:val="0"/>
          <w:numId w:val="1002"/>
        </w:numPr>
      </w:pPr>
      <w:r>
        <w:t xml:space="preserve">Официальный интернет-портал правовой информации — pravo.gov.ru</w:t>
      </w:r>
    </w:p>
    <w:p>
      <w:pPr>
        <w:pStyle w:val="Compact"/>
        <w:numPr>
          <w:ilvl w:val="0"/>
          <w:numId w:val="1002"/>
        </w:numPr>
      </w:pPr>
      <w:r>
        <w:t xml:space="preserve">КонсультантПлюс — consultant.ru; ГАРАНТ — garant.ru (в т. ч. лента новостей</w:t>
      </w:r>
      <w:r>
        <w:t xml:space="preserve"> </w:t>
      </w:r>
      <w:r>
        <w:t xml:space="preserve">для специалиста по охране труда)</w:t>
      </w:r>
    </w:p>
    <w:p>
      <w:pPr>
        <w:pStyle w:val="Compact"/>
        <w:numPr>
          <w:ilvl w:val="0"/>
          <w:numId w:val="1002"/>
        </w:numPr>
      </w:pPr>
      <w:r>
        <w:t xml:space="preserve">Минтруд России: ЕИСОТ — eisot.rosmintrud.ru; Личный кабинет работодателя —</w:t>
      </w:r>
      <w:r>
        <w:t xml:space="preserve"> </w:t>
      </w:r>
      <w:r>
        <w:t xml:space="preserve">ikot.mintrud.gov.ru; ФГИС СОУТ — akot.rosmintrud.ru</w:t>
      </w:r>
    </w:p>
    <w:p>
      <w:pPr>
        <w:pStyle w:val="Compact"/>
        <w:numPr>
          <w:ilvl w:val="0"/>
          <w:numId w:val="1002"/>
        </w:numPr>
      </w:pPr>
      <w:r>
        <w:t xml:space="preserve">Роструд: онлайнинспекция.рф (категория риска, проверочные листы, сервисы)</w:t>
      </w:r>
    </w:p>
    <w:p>
      <w:pPr>
        <w:pStyle w:val="Compact"/>
        <w:numPr>
          <w:ilvl w:val="0"/>
          <w:numId w:val="1002"/>
        </w:numPr>
      </w:pPr>
      <w:r>
        <w:t xml:space="preserve">СФР — сфинкс.рф (взносы, предупредительные меры)</w:t>
      </w:r>
    </w:p>
    <w:bookmarkEnd w:id="21"/>
    <w:bookmarkEnd w:id="22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2026-10-21T06:56:13Z</dcterms:created>
  <dcterms:modified xsi:type="dcterms:W3CDTF">2026-10-21T06:56:13Z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