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инструкция-4"/>
    <w:p>
      <w:pPr>
        <w:pStyle w:val="Heading1"/>
      </w:pPr>
      <w:r>
        <w:t xml:space="preserve"># ИНСТРУКЦИЯ № 4</w:t>
      </w:r>
    </w:p>
    <w:bookmarkStart w:id="9" w:name="X68290cd1d132fe3f84cf425a20a4802ecffd118"/>
    <w:p>
      <w:pPr>
        <w:pStyle w:val="Heading2"/>
      </w:pPr>
      <w:r>
        <w:t xml:space="preserve">ПО ОБРАЩЕНИЮ С ОТХОДОМ «ФИЛЬТРЫ ОЧИСТКИ МАСЛА АВТОТРАНСПОРТНЫХ СРЕДСТВ ОТРАБОТАННЫЕ»</w:t>
      </w:r>
    </w:p>
    <w:bookmarkEnd w:id="9"/>
    <w:bookmarkStart w:id="10" w:name="цель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Установление порядка обращения с отработанными масляными фильтрами, обеспечение безопасности и предотвращение загрязнения окружающей среды остатками моторных масел.</w:t>
      </w:r>
    </w:p>
    <w:bookmarkEnd w:id="10"/>
    <w:bookmarkStart w:id="11" w:name="область-применения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работников, выполняющих техническое обслуживание автомобилей (слесарей, механиков), а также на лиц, ответственных за обращение с отходами в автотранспортном подразделении.</w:t>
      </w:r>
    </w:p>
    <w:bookmarkEnd w:id="11"/>
    <w:bookmarkStart w:id="12" w:name="нормативные-правовые-акты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30.03.1999 № 52-ФЗ «О санитарно-эпидемиологическом благополучии населения».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21.12.1994 № 68-ФЗ «О защите населения и территорий от чрезвычайных ситуаций природного и техногенного характера».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04.05.2011 № 99-ФЗ «О лицензировании отдельных видов деятельности».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Постановление Правительства РФ от 02.06.2026 № 675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01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СанПиН 2.1.3684-21 (в редакции от 12.02.2026).</w:t>
      </w:r>
    </w:p>
    <w:p>
      <w:pPr>
        <w:pStyle w:val="Compact"/>
        <w:numPr>
          <w:ilvl w:val="0"/>
          <w:numId w:val="1001"/>
        </w:numPr>
      </w:pPr>
      <w:r>
        <w:t xml:space="preserve">Постановление Правительства РФ от 28.09.2000 № 731 (при наличии драгметаллов в фильтрах).</w:t>
      </w:r>
    </w:p>
    <w:bookmarkEnd w:id="12"/>
    <w:bookmarkStart w:id="13" w:name="термины-и-определения"/>
    <w:p>
      <w:pPr>
        <w:pStyle w:val="Heading2"/>
      </w:pPr>
      <w:r>
        <w:t xml:space="preserve">4. ТЕРМИНЫ И ОПРЕДЕЛЕНИЯ</w:t>
      </w:r>
    </w:p>
    <w:p>
      <w:pPr>
        <w:pStyle w:val="FirstParagraph"/>
      </w:pPr>
      <w:r>
        <w:t xml:space="preserve">В дополнение к основным терминам: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Масляный фильтр</w:t>
      </w:r>
      <w:r>
        <w:t xml:space="preserve"> </w:t>
      </w:r>
      <w:r>
        <w:t xml:space="preserve">– устройство для очистки моторного масла от механических примесей; после использования содержит остатки масла, металлический корпус и фильтрующий элемент.</w:t>
      </w:r>
    </w:p>
    <w:bookmarkEnd w:id="13"/>
    <w:bookmarkStart w:id="14" w:name="общие-сведения-об-отходах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Фильтры очистки масла автотранспортных средств отработанные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9 21 302 01 52 3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(металлический корпус с фильтрующим элементом, содержащим остатки масла)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Замена масляных фильтров при техническом обслуживании автомобилей, спецтехники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Масса одного фильтра – 0,3–1,5 кг. Остаточное содержание масла – до 0,2 л на фильтр. Корпус – сталь, фильтрующий элемент – бумага, синтетика.</w:t>
            </w:r>
          </w:p>
        </w:tc>
      </w:tr>
    </w:tbl>
    <w:bookmarkEnd w:id="14"/>
    <w:bookmarkStart w:id="15" w:name="X7f242d6e7ddd647a8a2b1e122537d959eb8a422"/>
    <w:p>
      <w:pPr>
        <w:pStyle w:val="Heading2"/>
      </w:pPr>
      <w:r>
        <w:t xml:space="preserve">6. ОПАСНЫЕ СВОЙСТВА И ВОЗДЕЙСТВИЕ КОМПОНЕНТОВ ОТХОДОВ НА ОКРУЖАЮЩУЮ СРЕДУ И ЧЕЛОВЕКА</w:t>
      </w:r>
    </w:p>
    <w:p>
      <w:pPr>
        <w:pStyle w:val="FirstParagraph"/>
      </w:pPr>
      <w:r>
        <w:t xml:space="preserve">Фильтры содержат остатки отработанного моторного масла, что обуславливает их пожароопасность и токсичность. При разгерметизации возможно вытекание масла и загрязнение почвы. Металлическая часть является вторичным ресурсом. Захоронение фильтров без предварительной обработки запрещено.</w:t>
      </w:r>
    </w:p>
    <w:bookmarkEnd w:id="15"/>
    <w:bookmarkStart w:id="21" w:name="образование-и-накопление"/>
    <w:p>
      <w:pPr>
        <w:pStyle w:val="Heading2"/>
      </w:pPr>
      <w:r>
        <w:t xml:space="preserve">7. ОБРАЗОВАНИЕ И НАКОПЛЕНИЕ</w:t>
      </w:r>
    </w:p>
    <w:bookmarkStart w:id="16" w:name="подготовка-перед-накоплением"/>
    <w:p>
      <w:pPr>
        <w:pStyle w:val="Heading3"/>
      </w:pPr>
      <w:r>
        <w:t xml:space="preserve">7.1. Подготовка перед накоплением</w:t>
      </w:r>
    </w:p>
    <w:p>
      <w:pPr>
        <w:pStyle w:val="FirstParagraph"/>
      </w:pPr>
      <w:r>
        <w:t xml:space="preserve">Перед накоплением фильтры демонтируются, из них удаляется свободное масло. Для этого фильтры выдерживаются в наклонном положении в специальной воронке над ёмкостью для отработанного масла не менее 12 часов. Допускается использование фильтр-дренажных стоек.</w:t>
      </w:r>
    </w:p>
    <w:bookmarkEnd w:id="16"/>
    <w:bookmarkStart w:id="17" w:name="способ-накопления"/>
    <w:p>
      <w:pPr>
        <w:pStyle w:val="Heading3"/>
      </w:pPr>
      <w:r>
        <w:t xml:space="preserve">7.2. Способ накопления</w:t>
      </w:r>
    </w:p>
    <w:p>
      <w:pPr>
        <w:pStyle w:val="FirstParagraph"/>
      </w:pPr>
      <w:r>
        <w:t xml:space="preserve">Обезжиренные фильтры складируются в металлические ящики с крышками или в контейнеры, исключающие доступ атмосферных осадков. Допускается прессование фильтров для уменьшения объёма.</w:t>
      </w:r>
    </w:p>
    <w:bookmarkEnd w:id="17"/>
    <w:bookmarkStart w:id="18" w:name="место-накопления"/>
    <w:p>
      <w:pPr>
        <w:pStyle w:val="Heading3"/>
      </w:pPr>
      <w:r>
        <w:t xml:space="preserve">7.3. Место накопления</w:t>
      </w:r>
    </w:p>
    <w:p>
      <w:pPr>
        <w:pStyle w:val="FirstParagraph"/>
      </w:pPr>
      <w:r>
        <w:t xml:space="preserve">Специально отведённое место в зоне технического обслуживания или на складе отходов, оборудованное поддонами для сбора возможных протечек. Площадка должна быть удалена от источников огня.</w:t>
      </w:r>
    </w:p>
    <w:bookmarkEnd w:id="18"/>
    <w:bookmarkStart w:id="19" w:name="запрещается"/>
    <w:p>
      <w:pPr>
        <w:pStyle w:val="Heading3"/>
      </w:pPr>
      <w:r>
        <w:t xml:space="preserve">7.4. Запрещается</w:t>
      </w:r>
    </w:p>
    <w:p>
      <w:pPr>
        <w:pStyle w:val="FirstParagraph"/>
      </w:pPr>
      <w:r>
        <w:t xml:space="preserve">Накопление фильтров без предварительного удаления свободного масла, совместное хранение с легковоспламеняющимися веществами.</w:t>
      </w:r>
    </w:p>
    <w:bookmarkEnd w:id="19"/>
    <w:bookmarkStart w:id="20" w:name="предельное-количество"/>
    <w:p>
      <w:pPr>
        <w:pStyle w:val="Heading3"/>
      </w:pPr>
      <w:r>
        <w:t xml:space="preserve">7.5. Предельное количество</w:t>
      </w:r>
    </w:p>
    <w:p>
      <w:pPr>
        <w:pStyle w:val="FirstParagraph"/>
      </w:pPr>
      <w:r>
        <w:t xml:space="preserve">Срок накопления – не более 11 месяцев. Предельный объём – согласно лимитам накопления.</w:t>
      </w:r>
    </w:p>
    <w:bookmarkEnd w:id="20"/>
    <w:bookmarkEnd w:id="21"/>
    <w:bookmarkStart w:id="22" w:name="учёт-образования-и-движения-отхода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 </w:t>
      </w:r>
      <w:r>
        <w:t xml:space="preserve">после совершения операции.</w:t>
      </w:r>
    </w:p>
    <w:p>
      <w:pPr>
        <w:pStyle w:val="Compact"/>
        <w:numPr>
          <w:ilvl w:val="0"/>
          <w:numId w:val="1003"/>
        </w:numPr>
      </w:pPr>
      <w:r>
        <w:t xml:space="preserve">Обобщение данных —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Материалы учёта хранятся</w:t>
      </w:r>
      <w:r>
        <w:t xml:space="preserve"> </w:t>
      </w:r>
      <w:r>
        <w:rPr>
          <w:b/>
          <w:bCs/>
        </w:rPr>
        <w:t xml:space="preserve">пять лет</w:t>
      </w:r>
      <w:r>
        <w:t xml:space="preserve">.</w:t>
      </w:r>
    </w:p>
    <w:p>
      <w:pPr>
        <w:pStyle w:val="FirstParagraph"/>
      </w:pPr>
      <w:r>
        <w:t xml:space="preserve">Масса определяется взвешиванием или расчётным путём (количество фильтров × средняя масса). При наличии драгоценных металлов ведётся отдельный учёт по форме, установленной Постановлением Правительства РФ № 731.</w:t>
      </w:r>
    </w:p>
    <w:bookmarkEnd w:id="22"/>
    <w:bookmarkStart w:id="23" w:name="паспортизация-отхода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Паспорт отхода оформляется по типовой форме, утверждённой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p>
      <w:pPr>
        <w:pStyle w:val="BodyText"/>
      </w:pPr>
      <w:r>
        <w:t xml:space="preserve">Паспорт подлежит переоформлению</w:t>
      </w:r>
      <w:r>
        <w:t xml:space="preserve"> </w:t>
      </w:r>
      <w:r>
        <w:rPr>
          <w:b/>
          <w:bCs/>
        </w:rPr>
        <w:t xml:space="preserve">не позднее 30 календарных дней</w:t>
      </w:r>
      <w:r>
        <w:t xml:space="preserve">.</w:t>
      </w:r>
    </w:p>
    <w:bookmarkEnd w:id="23"/>
    <w:bookmarkStart w:id="24" w:name="X696739770a02bd747ce0d8e0eee0d22a6286f9b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Передаются лицензированным организациям для утилизации (извлечение металла, термическое обезвреживание фильтрующих элементов). Организация-получатель должна иметь лицензию на деятельность с отходами III класса опасности (в соответствии с</w:t>
      </w:r>
      <w:r>
        <w:t xml:space="preserve"> </w:t>
      </w:r>
      <w:r>
        <w:rPr>
          <w:b/>
          <w:bCs/>
        </w:rPr>
        <w:t xml:space="preserve">Постановлением Правительства РФ от 02.06.2026 № 675</w:t>
      </w:r>
      <w:r>
        <w:t xml:space="preserve">).</w:t>
      </w:r>
    </w:p>
    <w:bookmarkEnd w:id="24"/>
    <w:bookmarkStart w:id="25" w:name="транспортирование-отхода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В закрытых контейнерах или навалом в специально оборудованном кузове с поддоном для сбора протечек. При транспортировании необходимо исключить вытекание остатков масла.</w:t>
      </w:r>
    </w:p>
    <w:bookmarkEnd w:id="25"/>
    <w:bookmarkStart w:id="26" w:name="X7d329f758924cf1e89c59fab3c55683d4353ac7"/>
    <w:p>
      <w:pPr>
        <w:pStyle w:val="Heading2"/>
      </w:pPr>
      <w:r>
        <w:t xml:space="preserve">12. МЕРОПРИЯТИЯ ПО ЛИКВИДАЦИИ ЧРЕЗВЫЧАЙНЫХ СИТУАЦИЙ</w:t>
      </w:r>
    </w:p>
    <w:p>
      <w:pPr>
        <w:pStyle w:val="Compact"/>
        <w:numPr>
          <w:ilvl w:val="0"/>
          <w:numId w:val="1004"/>
        </w:numPr>
      </w:pPr>
      <w:r>
        <w:t xml:space="preserve">При проливе масла из фильтров: действовать по пункту 12 Инструкции № 3 (пролив масла).</w:t>
      </w:r>
    </w:p>
    <w:p>
      <w:pPr>
        <w:pStyle w:val="Compact"/>
        <w:numPr>
          <w:ilvl w:val="0"/>
          <w:numId w:val="1004"/>
        </w:numPr>
      </w:pPr>
      <w:r>
        <w:t xml:space="preserve">При рассыпании фильтров: собрать в тару, при наличии загрязнения маслом – обработать сорбентом.</w:t>
      </w:r>
    </w:p>
    <w:p>
      <w:pPr>
        <w:pStyle w:val="Compact"/>
        <w:numPr>
          <w:ilvl w:val="0"/>
          <w:numId w:val="1004"/>
        </w:numPr>
      </w:pPr>
      <w:r>
        <w:t xml:space="preserve">При возгорании: тушить порошковыми огнетушителями, песком, кошмой. Запрещается использование воды.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26"/>
    <w:bookmarkEnd w:id="27"/>
    <w:sectPr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cs="Times New Roman" w:eastAsia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cs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2026-10-16T06:10:14Z</dcterms:created>
  <dcterms:modified xsi:type="dcterms:W3CDTF">2026-10-16T06:10:14Z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