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10"/>
    <w:p>
      <w:pPr>
        <w:pStyle w:val="Heading1"/>
      </w:pPr>
      <w:r>
        <w:t xml:space="preserve"># ИНСТРУКЦИЯ № 10</w:t>
      </w:r>
    </w:p>
    <w:bookmarkStart w:id="9" w:name="Xad38a281b67617eb925810aa2c731415ae72691"/>
    <w:p>
      <w:pPr>
        <w:pStyle w:val="Heading2"/>
      </w:pPr>
      <w:r>
        <w:t xml:space="preserve">ПО ОБРАЩЕНИЮ С ОТХОДОМ «СМЕТ С ТЕРРИТОРИИ ГАРАЖА, АВТОСТОЯНКИ МАЛООПАСНЫЙ»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со сметом, загрязнённым нефтепродуктами, для обеспечения пожарной и экологической безопасности.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гаражей, автостоянок,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гаража, автостоянки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7 33 310 01 71 4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песка, пыли, нефтепродуктов)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гаражей, стоянок, мест стоянки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Содержание нефтепродуктов – до 5 %. Насыпная плотность 1,2–1,5 т/м³.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содержит остатки топлива, масел, что делает его пожароопасным (возможность самовозгорания при длительном хранении). При попадании в почву и воду вызывает загрязнение нефтепродуктами.</w:t>
      </w:r>
    </w:p>
    <w:bookmarkEnd w:id="15"/>
    <w:bookmarkStart w:id="20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полов гаражей, стоянок, заездных карманов.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Смет собирается в металлические контейнеры с крышками, исключающие попадание осадков. Контейнеры размещаются на поддонах для сбора возможных протечек.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Специально оборудованная площадка с твёрдым покрытием, удалённая от источников открытого огня, с обвалованием для локализации проливов.</w:t>
      </w:r>
    </w:p>
    <w:bookmarkEnd w:id="18"/>
    <w:bookmarkStart w:id="19" w:name="предельное-количество"/>
    <w:p>
      <w:pPr>
        <w:pStyle w:val="Heading3"/>
      </w:pPr>
      <w:r>
        <w:t xml:space="preserve">7.4.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– согласно лимитам. Недопустимо длительное хранение на открытом воздухе без навеса.</w:t>
      </w:r>
    </w:p>
    <w:bookmarkEnd w:id="19"/>
    <w:bookmarkEnd w:id="20"/>
    <w:bookmarkStart w:id="21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взвешиванием. При передаче оформляется ТТН.</w:t>
      </w:r>
    </w:p>
    <w:bookmarkEnd w:id="21"/>
    <w:bookmarkStart w:id="22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2"/>
    <w:bookmarkStart w:id="23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лицензированной организации для обезвреживания или утилизации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В зависимости от содержания нефтепродуктов может передаваться на регенерацию или на полигон для обезвреженных отходов.</w:t>
      </w:r>
    </w:p>
    <w:bookmarkEnd w:id="23"/>
    <w:bookmarkStart w:id="24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с крышками или в самосвалах с герметичным кузовом. Исключить просыпание и пыление. При погрузке не допускать открытого огня.</w:t>
      </w:r>
    </w:p>
    <w:bookmarkEnd w:id="24"/>
    <w:bookmarkStart w:id="25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При возгорании: тушить порошковыми огнетушителями, песком, пеной. Запрещается использование воды при наличии разлитых нефтепродуктов.</w:t>
      </w:r>
    </w:p>
    <w:p>
      <w:pPr>
        <w:pStyle w:val="Compact"/>
        <w:numPr>
          <w:ilvl w:val="0"/>
          <w:numId w:val="1004"/>
        </w:numPr>
      </w:pPr>
      <w:r>
        <w:t xml:space="preserve">При рассыпании: собрать в контейнер, место зачистить, при необходимости использовать сорбент.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2026-10-16T06:10:16Z</dcterms:created>
  <dcterms:modified xsi:type="dcterms:W3CDTF">2026-10-16T06:10:16Z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