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5377d59ab16bea3e9f30b5743e6ae6b105c599"/>
    <w:p>
      <w:pPr>
        <w:pStyle w:val="Heading1"/>
      </w:pPr>
      <w:r>
        <w:t xml:space="preserve">КРАТКОЕ РЕЗЮМЕ ИЗМЕНЕНИЙ, ВНЕСЁННЫХ В ИНСТРУКЦИИ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Что изменено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Нормативные ссылки</w:t>
            </w:r>
          </w:p>
        </w:tc>
        <w:tc>
          <w:tcPr/>
          <w:p>
            <w:pPr>
              <w:pStyle w:val="Compact"/>
            </w:pPr>
            <w:r>
              <w:t xml:space="preserve">Приказ № 1028 заменён на Приказ № 227; Приказ № 1026 — на Приказ № 286; Приказ № 1027 — на Приказ № 246; Постановление № 2290 — на Постановление № 675; учтена редакция СанПиН 2.1.3684-21 от 12.02.2026.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Термины и определения</w:t>
            </w:r>
          </w:p>
        </w:tc>
        <w:tc>
          <w:tcPr/>
          <w:p>
            <w:pPr>
              <w:pStyle w:val="Compact"/>
            </w:pPr>
            <w:r>
              <w:t xml:space="preserve">Ссылки на Приказ № 1028 заменены на Приказ № 227.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 отходов</w:t>
            </w:r>
          </w:p>
        </w:tc>
        <w:tc>
          <w:tcPr/>
          <w:p>
            <w:pPr>
              <w:pStyle w:val="Compact"/>
            </w:pPr>
            <w:r>
              <w:t xml:space="preserve">Срок внесения данных — 10 рабочих дней; периодичность обобщения — ежемесячно, ежеквартально, за полугодие и год; срок хранения материалов учёта — пять лет.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Паспортизация</w:t>
            </w:r>
          </w:p>
        </w:tc>
        <w:tc>
          <w:tcPr/>
          <w:p>
            <w:pPr>
              <w:pStyle w:val="Compact"/>
            </w:pPr>
            <w:r>
              <w:t xml:space="preserve">Добавлен отдельный раздел с указанием новых форм паспортов и срока переоформления (30 календарных дней).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Передача отходов</w:t>
            </w:r>
          </w:p>
        </w:tc>
        <w:tc>
          <w:tcPr/>
          <w:p>
            <w:pPr>
              <w:pStyle w:val="Compact"/>
            </w:pPr>
            <w:r>
              <w:t xml:space="preserve">Ссылка на лицензионные требования обновлена на Постановление № 675.</w:t>
            </w:r>
          </w:p>
        </w:tc>
      </w:tr>
    </w:tbl>
    <w:p>
      <w:pPr>
        <w:pStyle w:val="BodyText"/>
      </w:pPr>
      <w:r>
        <w:t xml:space="preserve">Все 15 инструкций приведены в соответствие с нормативной базой, вступающей в силу с 1 сентября 2026 года.</w:t>
      </w:r>
    </w:p>
    <w:bookmarkEnd w:id="9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2026-10-16T06:10:17Z</dcterms:created>
  <dcterms:modified xsi:type="dcterms:W3CDTF">2026-10-16T06:10:17Z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