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a3fc605afe0f4507da81040182361b5c29c718"/>
    <w:p>
      <w:pPr>
        <w:pStyle w:val="Heading1"/>
      </w:pPr>
      <w:r>
        <w:t xml:space="preserve">Пожарная безопасность объектов защиты винодельческого предприятия</w:t>
      </w:r>
    </w:p>
    <w:bookmarkStart w:id="9" w:name="Xf11f4224cb69b13b5d2fdfe582ef856b06db827"/>
    <w:p>
      <w:pPr>
        <w:pStyle w:val="Heading2"/>
      </w:pPr>
      <w:r>
        <w:t xml:space="preserve">Общие положения, паспорт объектов, нормативная база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 (3 этажа); цех розлива вина; склад</w:t>
      </w:r>
      <w:r>
        <w:t xml:space="preserve"> </w:t>
      </w:r>
      <w:r>
        <w:t xml:space="preserve">готовой продукции; цех виноматериалов и вина; центральный материальный склад;</w:t>
      </w:r>
      <w:r>
        <w:t xml:space="preserve"> </w:t>
      </w:r>
      <w:r>
        <w:t xml:space="preserve">цех игристых вин.</w:t>
      </w:r>
    </w:p>
    <w:p>
      <w:pPr>
        <w:pStyle w:val="BodyText"/>
      </w:pPr>
      <w:r>
        <w:rPr>
          <w:b/>
          <w:bCs/>
        </w:rPr>
        <w:t xml:space="preserve">Дата разработки:</w:t>
      </w:r>
      <w:r>
        <w:t xml:space="preserve"> </w:t>
      </w:r>
      <w:r>
        <w:t xml:space="preserve">__________ 2026 г.</w:t>
      </w:r>
      <w:r>
        <w:t xml:space="preserve"> </w:t>
      </w:r>
      <w:r>
        <w:rPr>
          <w:b/>
          <w:bCs/>
        </w:rPr>
        <w:t xml:space="preserve">Нормативная база актуальна на:</w:t>
      </w:r>
      <w:r>
        <w:t xml:space="preserve"> </w:t>
      </w:r>
      <w:r>
        <w:t xml:space="preserve">07.10.2026</w:t>
      </w:r>
    </w:p>
    <w:p>
      <w:r>
        <w:pict>
          <v:rect style="width:0;height:1.5pt" o:hralign="center" o:hrstd="t" o:hr="t"/>
        </w:pict>
      </w:r>
    </w:p>
    <w:bookmarkEnd w:id="9"/>
    <w:bookmarkStart w:id="10" w:name="нормативная-база"/>
    <w:p>
      <w:pPr>
        <w:pStyle w:val="Heading2"/>
      </w:pPr>
      <w:r>
        <w:t xml:space="preserve">1. Нормативная база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21.12.1994 № 69-ФЗ</w:t>
            </w:r>
            <w:r>
              <w:t xml:space="preserve"> </w:t>
            </w:r>
            <w:r>
              <w:t xml:space="preserve">«О пожарной безопасности»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Обязанности организации и работников, противопожарный режим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22.07.2008 № 123-ФЗ</w:t>
            </w:r>
            <w:r>
              <w:t xml:space="preserve"> </w:t>
            </w:r>
            <w:r>
              <w:t xml:space="preserve">Технический регламент о требованиях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Классификация веществ, классы зон (гл. 5, 7, 8), требования к системам защиты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16.09.2020 № 1479</w:t>
            </w:r>
            <w:r>
              <w:t xml:space="preserve"> </w:t>
            </w:r>
            <w:r>
              <w:t xml:space="preserve">«Об утверждении Правил противопожарного режима в РФ» (ред. от 03.02.2025;</w:t>
            </w:r>
            <w:r>
              <w:t xml:space="preserve"> </w:t>
            </w:r>
            <w:r>
              <w:rPr>
                <w:b/>
                <w:bCs/>
              </w:rPr>
              <w:t xml:space="preserve">действует до 31.12.2026 включительно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Противопожарный режим;</w:t>
            </w:r>
            <w:r>
              <w:t xml:space="preserve"> </w:t>
            </w:r>
            <w:r>
              <w:rPr>
                <w:b/>
                <w:bCs/>
              </w:rPr>
              <w:t xml:space="preserve">раздел XVIII — требования к инструкции о мерах пожарной безопасности (п. 392–394)</w:t>
            </w:r>
            <w:r>
              <w:t xml:space="preserve">; раздел XIX и приложения № 1, 2 — нормы оснащения огнетушителями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МЧС России от 16.12.2024 № 1120</w:t>
            </w:r>
            <w:r>
              <w:t xml:space="preserve"> </w:t>
            </w:r>
            <w:r>
              <w:t xml:space="preserve">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 (вступил в силу 01.09.2025, действует до 01.09.2031; приказ МЧС № 806 утратил силу с 01.09.2025)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Виды, порядок и сроки противопожарных инструктажей; требования к содержанию программ; порядок утверждения и согласования (с ГПН не согласовываются); категории лиц для обучения по ДПП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МЧС России от 16.12.2024 № 1120</w:t>
            </w:r>
          </w:p>
        </w:tc>
        <w:tc>
          <w:tcPr/>
          <w:p>
            <w:pPr>
              <w:pStyle w:val="Compact"/>
            </w:pPr>
            <w:r>
              <w:t xml:space="preserve">Обязательно,</w:t>
            </w:r>
            <w:r>
              <w:t xml:space="preserve"> </w:t>
            </w:r>
            <w:r>
              <w:rPr>
                <w:b/>
                <w:bCs/>
              </w:rPr>
              <w:t xml:space="preserve">до 01.09.2031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наименование и область применения при вводе в действие]</w:t>
            </w:r>
          </w:p>
        </w:tc>
        <w:tc>
          <w:tcPr/>
          <w:p>
            <w:pPr>
              <w:pStyle w:val="Compact"/>
            </w:pPr>
            <w:r>
              <w:t xml:space="preserve">Требования в сфере пожарной безопасности; сверить с действующей редакцией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 12.13130</w:t>
            </w:r>
            <w:r>
              <w:t xml:space="preserve"> </w:t>
            </w:r>
            <w:r>
              <w:t xml:space="preserve">(в действующей редакции)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Определение категорий помещений, зданий и наружных установок по взрывопожарной и пожарной опасности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 1.13130, СП 2.13130, СП 3.13130, СП 4.13130, СП 5.13130, СП 6.13130, СП 7.13130, СП 10.13130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Эвакуационные пути, здания, СОУЭ, АУПТ, противодымная защита, внутренний противопожарный водопровод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ПУЭ (гл. 7.3)</w:t>
            </w:r>
            <w:r>
              <w:t xml:space="preserve"> </w:t>
            </w:r>
            <w:r>
              <w:t xml:space="preserve">— Правила устройства электроустановок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Классы взрывоопасных и пожароопасных зон, выбор электрооборудования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 12.1.044-89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Классификация жидкостей: ЛВЖ (t вспышки ≤ 61 °C в закрытом тигле / ≤ 66 °C в открытом), ГЖ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 12.1.004-91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ГОСТ 12.1.010-76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Общие требования ПБ, взрывобезопасность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772н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Порядок разработки инструкций (в т. ч. по пожарной безопасности как раздела инструкции по ОТ)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15.12.2020 № 903н</w:t>
            </w:r>
            <w:r>
              <w:t xml:space="preserve"> </w:t>
            </w:r>
            <w:r>
              <w:t xml:space="preserve">(ПОТ при эксплуатации электроустановок, до 01.09.2031)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Электробезопасность, отключение электроустановок при пожаре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СанПиН 1.2.3685-21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ПДК вредных веществ в воздухе рабочей зоны (CO₂, 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КоАП РФ ст. 20.4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УК РФ ст. 168, 219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 за нарушение требований пожарной безопасности</w:t>
            </w:r>
          </w:p>
        </w:tc>
      </w:tr>
    </w:tbl>
    <w:p>
      <w:pPr>
        <w:pStyle w:val="BlockText"/>
      </w:pPr>
      <w:r>
        <w:t xml:space="preserve">⚠️ ПП РФ № 1479 действует</w:t>
      </w:r>
      <w:r>
        <w:t xml:space="preserve"> </w:t>
      </w:r>
      <w:r>
        <w:rPr>
          <w:b/>
          <w:bCs/>
        </w:rPr>
        <w:t xml:space="preserve">до 31.12.2026</w:t>
      </w:r>
      <w:r>
        <w:t xml:space="preserve">. При принятии новых Правил</w:t>
      </w:r>
      <w:r>
        <w:t xml:space="preserve"> </w:t>
      </w:r>
      <w:r>
        <w:t xml:space="preserve">противопожарного режима инструкции подлежат пересмотру в течение 30 дней.</w:t>
      </w:r>
    </w:p>
    <w:p>
      <w:r>
        <w:pict>
          <v:rect style="width:0;height:1.5pt" o:hralign="center" o:hrstd="t" o:hr="t"/>
        </w:pict>
      </w:r>
    </w:p>
    <w:bookmarkEnd w:id="10"/>
    <w:bookmarkStart w:id="11" w:name="паспорт-объектов-защиты"/>
    <w:p>
      <w:pPr>
        <w:pStyle w:val="Heading2"/>
      </w:pPr>
      <w:r>
        <w:t xml:space="preserve">2. Паспорт объектов защиты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Класс функциональной пожарной опасности (ФЗ-123)</w:t>
            </w:r>
          </w:p>
        </w:tc>
        <w:tc>
          <w:tcPr/>
          <w:p>
            <w:pPr>
              <w:pStyle w:val="Compact"/>
            </w:pPr>
            <w:r>
              <w:t xml:space="preserve">Предварительная категория помещений по СП 12.13130</w:t>
            </w:r>
          </w:p>
        </w:tc>
        <w:tc>
          <w:tcPr/>
          <w:p>
            <w:pPr>
              <w:pStyle w:val="Compact"/>
            </w:pPr>
            <w:r>
              <w:t xml:space="preserve">Класс зоны (гл. 7.3 ПУЭ / ФЗ-123)</w:t>
            </w:r>
          </w:p>
        </w:tc>
        <w:tc>
          <w:tcPr/>
          <w:p>
            <w:pPr>
              <w:pStyle w:val="Compact"/>
            </w:pPr>
            <w:r>
              <w:t xml:space="preserve">Основная пожарная нагрузка</w:t>
            </w:r>
          </w:p>
        </w:tc>
        <w:tc>
          <w:tcPr/>
          <w:p>
            <w:pPr>
              <w:pStyle w:val="Compact"/>
            </w:pPr>
            <w:r>
              <w:t xml:space="preserve">Класс пожара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Административное здание, 3 этажа</w:t>
            </w:r>
          </w:p>
        </w:tc>
        <w:tc>
          <w:tcPr/>
          <w:p>
            <w:pPr>
              <w:pStyle w:val="Compact"/>
            </w:pPr>
            <w:r>
              <w:t xml:space="preserve">Ф4.3 (помещения органов управления)</w:t>
            </w:r>
          </w:p>
        </w:tc>
        <w:tc>
          <w:tcPr/>
          <w:p>
            <w:pPr>
              <w:pStyle w:val="Compact"/>
            </w:pPr>
            <w:r>
              <w:t xml:space="preserve">В4 / Д (уточнить расчётом)</w:t>
            </w:r>
          </w:p>
        </w:tc>
        <w:tc>
          <w:tcPr/>
          <w:p>
            <w:pPr>
              <w:pStyle w:val="Compact"/>
            </w:pPr>
            <w:r>
              <w:t xml:space="preserve">П-IIа</w:t>
            </w:r>
          </w:p>
        </w:tc>
        <w:tc>
          <w:tcPr/>
          <w:p>
            <w:pPr>
              <w:pStyle w:val="Compact"/>
            </w:pPr>
            <w:r>
              <w:t xml:space="preserve">Бумага, мебель, оргтехника, отделка</w:t>
            </w:r>
          </w:p>
        </w:tc>
        <w:tc>
          <w:tcPr/>
          <w:p>
            <w:pPr>
              <w:pStyle w:val="Compact"/>
            </w:pPr>
            <w:r>
              <w:t xml:space="preserve">A,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 </w:t>
            </w:r>
            <w:r>
              <w:t xml:space="preserve">(уточнить расчётом; при подтверждении — В)</w:t>
            </w:r>
          </w:p>
        </w:tc>
        <w:tc>
          <w:tcPr/>
          <w:p>
            <w:pPr>
              <w:pStyle w:val="Compact"/>
            </w:pPr>
            <w:r>
              <w:t xml:space="preserve">В-Iа / П-IIа (уточнить проектом)</w:t>
            </w:r>
          </w:p>
        </w:tc>
        <w:tc>
          <w:tcPr/>
          <w:p>
            <w:pPr>
              <w:pStyle w:val="Compact"/>
            </w:pPr>
            <w:r>
              <w:t xml:space="preserve">Вино (ЛВЖ, t всп ≈ 40–60 °C), картон, этикетки, полимерная тара, стрейч-плёнка, паллеты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 готовой продукции</w:t>
            </w:r>
            <w:r>
              <w:t xml:space="preserve"> </w:t>
            </w:r>
            <w:r>
              <w:t xml:space="preserve">(картон, этикетки, коробки)</w:t>
            </w:r>
          </w:p>
        </w:tc>
        <w:tc>
          <w:tcPr/>
          <w:p>
            <w:pPr>
              <w:pStyle w:val="Compact"/>
            </w:pPr>
            <w:r>
              <w:t xml:space="preserve">Ф5.2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</w:t>
            </w:r>
            <w:r>
              <w:t xml:space="preserve"> </w:t>
            </w:r>
            <w:r>
              <w:t xml:space="preserve">(пожароопасная)</w:t>
            </w:r>
          </w:p>
        </w:tc>
        <w:tc>
          <w:tcPr/>
          <w:p>
            <w:pPr>
              <w:pStyle w:val="Compact"/>
            </w:pPr>
            <w:r>
              <w:t xml:space="preserve">П-IIа</w:t>
            </w:r>
          </w:p>
        </w:tc>
        <w:tc>
          <w:tcPr/>
          <w:p>
            <w:pPr>
              <w:pStyle w:val="Compact"/>
            </w:pPr>
            <w:r>
              <w:t xml:space="preserve">Картон, бумага, коробки, этикетки, деревянные паллеты, полимерная плёнка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виноматериалов и вина</w:t>
            </w:r>
            <w:r>
              <w:t xml:space="preserve"> </w:t>
            </w:r>
            <w:r>
              <w:t xml:space="preserve">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 </w:t>
            </w:r>
            <w:r>
              <w:t xml:space="preserve">(уточнить расчётом)</w:t>
            </w:r>
          </w:p>
        </w:tc>
        <w:tc>
          <w:tcPr/>
          <w:p>
            <w:pPr>
              <w:pStyle w:val="Compact"/>
            </w:pPr>
            <w:r>
              <w:t xml:space="preserve">В-Iа (уточнить проектом)</w:t>
            </w:r>
          </w:p>
        </w:tc>
        <w:tc>
          <w:tcPr/>
          <w:p>
            <w:pPr>
              <w:pStyle w:val="Compact"/>
            </w:pPr>
            <w:r>
              <w:t xml:space="preserve">Виноматериалы и вино (ЛВЖ), CO₂ при брожении, 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Ф5.2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</w:t>
            </w:r>
            <w:r>
              <w:t xml:space="preserve"> </w:t>
            </w:r>
            <w:r>
              <w:t xml:space="preserve">(уточнить расчётом; при наличии ЛКМ — участок категории А/Б)</w:t>
            </w:r>
          </w:p>
        </w:tc>
        <w:tc>
          <w:tcPr/>
          <w:p>
            <w:pPr>
              <w:pStyle w:val="Compact"/>
            </w:pPr>
            <w:r>
              <w:t xml:space="preserve">П-IIа</w:t>
            </w:r>
          </w:p>
        </w:tc>
        <w:tc>
          <w:tcPr/>
          <w:p>
            <w:pPr>
              <w:pStyle w:val="Compact"/>
            </w:pPr>
            <w:r>
              <w:t xml:space="preserve">Упаковка, тара, запчасти, РТИ, пластмассы; отдельно — ЛКМ, аэрозоли, баллоны с газами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 </w:t>
            </w:r>
            <w:r>
              <w:t xml:space="preserve">(уточнить расчётом)</w:t>
            </w:r>
          </w:p>
        </w:tc>
        <w:tc>
          <w:tcPr/>
          <w:p>
            <w:pPr>
              <w:pStyle w:val="Compact"/>
            </w:pPr>
            <w:r>
              <w:t xml:space="preserve">В-Iа (уточнить проектом)</w:t>
            </w:r>
          </w:p>
        </w:tc>
        <w:tc>
          <w:tcPr/>
          <w:p>
            <w:pPr>
              <w:pStyle w:val="Compact"/>
            </w:pPr>
            <w:r>
              <w:t xml:space="preserve">Вино, тиражная смесь, экспедиционный ликёр (ЛВЖ), CO₂ под давлением, бутылки под давлением, картон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Требование:</w:t>
      </w:r>
      <w:r>
        <w:t xml:space="preserve"> </w:t>
      </w:r>
      <w:r>
        <w:t xml:space="preserve">категории помещений, зданий и наружных установок, а также классы</w:t>
      </w:r>
      <w:r>
        <w:t xml:space="preserve"> </w:t>
      </w:r>
      <w:r>
        <w:t xml:space="preserve">взрывоопасных и пожароопасных зон определяются</w:t>
      </w:r>
      <w:r>
        <w:t xml:space="preserve"> </w:t>
      </w:r>
      <w:r>
        <w:rPr>
          <w:b/>
          <w:bCs/>
        </w:rPr>
        <w:t xml:space="preserve">расчётом по СП 12.13130</w:t>
      </w:r>
      <w:r>
        <w:t xml:space="preserve"> </w:t>
      </w:r>
      <w:r>
        <w:t xml:space="preserve">и</w:t>
      </w:r>
      <w:r>
        <w:t xml:space="preserve"> </w:t>
      </w:r>
      <w:r>
        <w:t xml:space="preserve">приводятся в проектной документации и декларации пожарной безопасности.</w:t>
      </w:r>
      <w:r>
        <w:t xml:space="preserve"> </w:t>
      </w:r>
      <w:r>
        <w:t xml:space="preserve">На дверях помещений производственного и складского назначения размещается</w:t>
      </w:r>
      <w:r>
        <w:t xml:space="preserve"> </w:t>
      </w:r>
      <w:r>
        <w:t xml:space="preserve">маркировка с указанием категории и класса зоны (п. 12 ППР № 1479).</w:t>
      </w:r>
    </w:p>
    <w:p>
      <w:r>
        <w:pict>
          <v:rect style="width:0;height:1.5pt" o:hralign="center" o:hrstd="t" o:hr="t"/>
        </w:pict>
      </w:r>
    </w:p>
    <w:bookmarkEnd w:id="11"/>
    <w:bookmarkStart w:id="12" w:name="X3aa99261f8117dc990f2341752d7b69303d860d"/>
    <w:p>
      <w:pPr>
        <w:pStyle w:val="Heading2"/>
      </w:pPr>
      <w:r>
        <w:t xml:space="preserve">3. Пожароопасные свойства применяемых веществ (справочно, для инструкций)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Вещество / материал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 (справочно)</w:t>
            </w:r>
          </w:p>
        </w:tc>
        <w:tc>
          <w:tcPr/>
          <w:p>
            <w:pPr>
              <w:pStyle w:val="Compac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Вино, виноматериалы</w:t>
            </w:r>
            <w:r>
              <w:t xml:space="preserve"> </w:t>
            </w:r>
            <w:r>
              <w:t xml:space="preserve">(этиловый спирт 9–16 % об.)</w:t>
            </w:r>
          </w:p>
        </w:tc>
        <w:tc>
          <w:tcPr/>
          <w:p>
            <w:pPr>
              <w:pStyle w:val="Compact"/>
            </w:pPr>
            <w:r>
              <w:t xml:space="preserve">Температура вспышки (оценочно)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40–60 °C</w:t>
            </w:r>
          </w:p>
        </w:tc>
        <w:tc>
          <w:tcPr/>
          <w:p>
            <w:pPr>
              <w:pStyle w:val="Compact"/>
            </w:pPr>
            <w:r>
              <w:t xml:space="preserve">Относится к</w:t>
            </w:r>
            <w:r>
              <w:t xml:space="preserve"> </w:t>
            </w:r>
            <w:r>
              <w:rPr>
                <w:b/>
                <w:bCs/>
              </w:rPr>
              <w:t xml:space="preserve">ЛВЖ</w:t>
            </w:r>
            <w:r>
              <w:t xml:space="preserve"> </w:t>
            </w:r>
            <w:r>
              <w:t xml:space="preserve">(t всп ≤ 61 °C, закрытый тигель) — III разряд: «опасные при повышенной температуре». Подтверждается протоколом испытаний / паспортом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Температура самовоспламенения</w:t>
            </w:r>
          </w:p>
        </w:tc>
        <w:tc>
          <w:tcPr/>
          <w:p>
            <w:pPr>
              <w:pStyle w:val="Compact"/>
            </w:pPr>
            <w:r>
              <w:t xml:space="preserve">≈ 360–400 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КПР паров этанола</w:t>
            </w:r>
          </w:p>
        </w:tc>
        <w:tc>
          <w:tcPr/>
          <w:p>
            <w:pPr>
              <w:pStyle w:val="Compact"/>
            </w:pPr>
            <w:r>
              <w:t xml:space="preserve">3,6–17,7 % об.</w:t>
            </w:r>
          </w:p>
        </w:tc>
        <w:tc>
          <w:tcPr/>
          <w:p>
            <w:pPr>
              <w:pStyle w:val="Compact"/>
            </w:pPr>
            <w:r>
              <w:t xml:space="preserve">При нагреве и в замкнутых ёмкостях возможно образование взрывоопасной концентрации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Экспедиционный ликёр</w:t>
            </w:r>
            <w:r>
              <w:t xml:space="preserve"> </w:t>
            </w:r>
            <w:r>
              <w:t xml:space="preserve">(спирт + сахар)</w:t>
            </w:r>
          </w:p>
        </w:tc>
        <w:tc>
          <w:tcPr/>
          <w:p>
            <w:pPr>
              <w:pStyle w:val="Compact"/>
            </w:pPr>
            <w:r>
              <w:t xml:space="preserve">Содержание этанола выше, чем в вине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Относится к ЛВЖ; хранить в таре изготовителя, отдельно, в объёме не более сменной потребности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Диоксид углерода (CO₂)</w:t>
            </w:r>
          </w:p>
        </w:tc>
        <w:tc>
          <w:tcPr/>
          <w:p>
            <w:pPr>
              <w:pStyle w:val="Compact"/>
            </w:pPr>
            <w:r>
              <w:t xml:space="preserve">Негорюч, тяжелее воздуха в 1,5 раза, вытесняет кислород</w:t>
            </w:r>
          </w:p>
        </w:tc>
        <w:tc>
          <w:tcPr/>
          <w:p>
            <w:pPr>
              <w:pStyle w:val="Compact"/>
            </w:pPr>
            <w:r>
              <w:t xml:space="preserve">ПДК в воздухе рабочей зоны</w:t>
            </w:r>
            <w:r>
              <w:t xml:space="preserve"> </w:t>
            </w:r>
            <w:r>
              <w:rPr>
                <w:b/>
                <w:bCs/>
              </w:rPr>
              <w:t xml:space="preserve">9 000 мг/м³</w:t>
            </w:r>
            <w:r>
              <w:t xml:space="preserve"> </w:t>
            </w:r>
            <w:r>
              <w:t xml:space="preserve">(среднесменная); опасно при снижении O₂ ниже 19 % об.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  <w:r>
              <w:t xml:space="preserve"> </w:t>
            </w:r>
            <w:r>
              <w:rPr>
                <w:b/>
                <w:bCs/>
              </w:rPr>
              <w:t xml:space="preserve">удушья</w:t>
            </w:r>
            <w:r>
              <w:t xml:space="preserve">, особенно в приямках, подвалах, ёмкостях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Диоксид серы (SO₂)</w:t>
            </w:r>
          </w:p>
        </w:tc>
        <w:tc>
          <w:tcPr/>
          <w:p>
            <w:pPr>
              <w:pStyle w:val="Compact"/>
            </w:pPr>
            <w:r>
              <w:t xml:space="preserve">Применяется в виноделии (сульфитация), токсичен</w:t>
            </w:r>
          </w:p>
        </w:tc>
        <w:tc>
          <w:tcPr/>
          <w:p>
            <w:pPr>
              <w:pStyle w:val="Compact"/>
            </w:pPr>
            <w:r>
              <w:t xml:space="preserve">ПДК — по СанПиН 1.2.3685-21</w:t>
            </w:r>
          </w:p>
        </w:tc>
        <w:tc>
          <w:tcPr/>
          <w:p>
            <w:pPr>
              <w:pStyle w:val="Compact"/>
            </w:pPr>
            <w:r>
              <w:t xml:space="preserve">Выделяется при брожении и мойке ёмкостей — контроль газоанализатором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бумага, коробки, этикетки</w:t>
            </w:r>
          </w:p>
        </w:tc>
        <w:tc>
          <w:tcPr/>
          <w:p>
            <w:pPr>
              <w:pStyle w:val="Compact"/>
            </w:pPr>
            <w:r>
              <w:t xml:space="preserve">Легковоспламеняемые твёрдые материалы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Высокая скорость распространения горения; категория 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Полимерная тара, стрейч-плёнка, паллеты</w:t>
            </w:r>
          </w:p>
        </w:tc>
        <w:tc>
          <w:tcPr/>
          <w:p>
            <w:pPr>
              <w:pStyle w:val="Compact"/>
            </w:pPr>
            <w:r>
              <w:t xml:space="preserve">Горючие, при горении выделяют токсичные продукты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Ограничить единовременное хранение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Часть — горючие жидкости, при смешивании возможно выделение тепла/газа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Хранить по группам совместимости, не смешивать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 для тушения:</w:t>
      </w:r>
      <w:r>
        <w:t xml:space="preserve"> </w:t>
      </w:r>
      <w:r>
        <w:t xml:space="preserve">вино и виноматериалы — водорастворимые (полярные)</w:t>
      </w:r>
      <w:r>
        <w:t xml:space="preserve"> </w:t>
      </w:r>
      <w:r>
        <w:t xml:space="preserve">жидкости. Обычная воздушно-механическая пена на них</w:t>
      </w:r>
      <w:r>
        <w:t xml:space="preserve"> </w:t>
      </w:r>
      <w:r>
        <w:rPr>
          <w:b/>
          <w:bCs/>
        </w:rPr>
        <w:t xml:space="preserve">разрушается</w:t>
      </w:r>
      <w:r>
        <w:t xml:space="preserve">; для</w:t>
      </w:r>
      <w:r>
        <w:t xml:space="preserve"> </w:t>
      </w:r>
      <w:r>
        <w:t xml:space="preserve">тушения применяются</w:t>
      </w:r>
      <w:r>
        <w:t xml:space="preserve"> </w:t>
      </w:r>
      <w:r>
        <w:rPr>
          <w:b/>
          <w:bCs/>
        </w:rPr>
        <w:t xml:space="preserve">спиртостойкие пенные составы (AR/AFFF-AR)</w:t>
      </w:r>
      <w:r>
        <w:t xml:space="preserve">, порошковые</w:t>
      </w:r>
      <w:r>
        <w:t xml:space="preserve"> </w:t>
      </w:r>
      <w:r>
        <w:t xml:space="preserve">огнетушители, распылённая вода (с осторожностью — возможно растекание),</w:t>
      </w:r>
      <w:r>
        <w:t xml:space="preserve"> </w:t>
      </w:r>
      <w:r>
        <w:t xml:space="preserve">а также тушение покрывалом и песком на малых проливах.</w:t>
      </w:r>
    </w:p>
    <w:p>
      <w:r>
        <w:pict>
          <v:rect style="width:0;height:1.5pt" o:hralign="center" o:hrstd="t" o:hr="t"/>
        </w:pict>
      </w:r>
    </w:p>
    <w:bookmarkEnd w:id="12"/>
    <w:bookmarkStart w:id="13" w:name="ответственные-лица-п.-394-ппр-1479"/>
    <w:p>
      <w:pPr>
        <w:pStyle w:val="Heading2"/>
      </w:pPr>
      <w:r>
        <w:t xml:space="preserve">4. Ответственные лица (п. 394 ППР № 1479)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руководство, утверждение документов и финансирование</w:t>
            </w:r>
          </w:p>
        </w:tc>
        <w:tc>
          <w:tcPr/>
          <w:p>
            <w:pPr>
              <w:pStyle w:val="Compact"/>
            </w:pPr>
            <w:r>
              <w:t xml:space="preserve">Руководитель организации</w:t>
            </w:r>
          </w:p>
        </w:tc>
        <w:tc>
          <w:tcPr/>
          <w:p>
            <w:pPr>
              <w:pStyle w:val="Compact"/>
            </w:pPr>
            <w:r>
              <w:t xml:space="preserve">Приказом назначает ответственных, утверждает инструкции, планы и сметы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пожарную безопасность организации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t xml:space="preserve">Организация ПБ, инструктажи, контроль, взаимодействие с ГПН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пожарную безопасность по объекту (по каждому из 6 объектов)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Инструктажи на рабочем месте, осмотр по окончании работы, содержание путей эвакуации и первичных средств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сообщение о пожаре в пожарную охрану и оповещение руководства, дежурных и аварийных служб</w:t>
            </w:r>
          </w:p>
        </w:tc>
        <w:tc>
          <w:tcPr/>
          <w:p>
            <w:pPr>
              <w:pStyle w:val="Compact"/>
            </w:pPr>
            <w:r>
              <w:t xml:space="preserve">&lt;Ф. И. О.&gt; (диспетчер/дежурный)</w:t>
            </w:r>
          </w:p>
        </w:tc>
        <w:tc>
          <w:tcPr/>
          <w:p>
            <w:pPr>
              <w:pStyle w:val="Compact"/>
            </w:pPr>
            <w:r>
              <w:t xml:space="preserve">Вызов по 101 / 112, оповещение персонала, встреча подразделений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организацию спасения людей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Спасение имеющимися силами и средствами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проверку включения автоматических систем противопожарной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Контроль АУПС, СОУЭ, АУПТ, противодымной вентиляции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отключение электроэнергии, остановку оборудования и вентиляции</w:t>
            </w:r>
          </w:p>
        </w:tc>
        <w:tc>
          <w:tcPr/>
          <w:p>
            <w:pPr>
              <w:pStyle w:val="Compact"/>
            </w:pPr>
            <w:r>
              <w:t xml:space="preserve">&lt;Ф. И. О.&gt; (главный энергетик / дежурный электрик)</w:t>
            </w:r>
          </w:p>
        </w:tc>
        <w:tc>
          <w:tcPr/>
          <w:p>
            <w:pPr>
              <w:pStyle w:val="Compact"/>
            </w:pPr>
            <w:r>
              <w:t xml:space="preserve">Отключение, кроме систем противопожарной защиты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перекрытие сырьевых, газовых, паровых и водных коммуникаций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Перекрытие запорной арматуры, остановка технологических линий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прекращение всех работ, кроме ликвидации пожара, и удаление людей из опасной зоны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Организация эвакуации, перекличка по спискам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тушения до прибытия пожарной охраны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Общее руководство, обеспечение безопасности участников тушения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встречу подразделений пожарной охраны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Указание кратчайшего пути, сообщение сведений об опасных веществах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эвакуацию и защиту материальных ценностей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Организация одновременно с тушением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Дежурный персонал (при наличии)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Круглосуточный контроль, действия по инструкции при пожаре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Порядок при пожаре</w:t>
      </w:r>
      <w:r>
        <w:t xml:space="preserve"> </w:t>
      </w:r>
      <w:r>
        <w:t xml:space="preserve">— см. файл</w:t>
      </w:r>
      <w:r>
        <w:t xml:space="preserve"> </w:t>
      </w:r>
      <w:r>
        <w:rPr>
          <w:rStyle w:val="VerbatimChar"/>
        </w:rPr>
        <w:t xml:space="preserve">08-poryadok-deystviy-pri-pozhare.md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ff4147923f774483597c3601b8c0d1ad9bff317"/>
    <w:p>
      <w:pPr>
        <w:pStyle w:val="Heading2"/>
      </w:pPr>
      <w:r>
        <w:t xml:space="preserve">5. Обучение и инструктажи (приказ МЧС России от 16.12.2024 № 1120, п. 3 ППР № 1479)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 обучения</w:t>
            </w:r>
          </w:p>
        </w:tc>
        <w:tc>
          <w:tcPr/>
          <w:p>
            <w:pPr>
              <w:pStyle w:val="Compact"/>
            </w:pPr>
            <w:r>
              <w:t xml:space="preserve">Кто проходит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Вводный противопожарный инструктаж</w:t>
            </w:r>
          </w:p>
        </w:tc>
        <w:tc>
          <w:tcPr/>
          <w:p>
            <w:pPr>
              <w:pStyle w:val="Compact"/>
            </w:pPr>
            <w:r>
              <w:t xml:space="preserve">Все принимаемые, командированные, практиканты</w:t>
            </w:r>
          </w:p>
        </w:tc>
        <w:tc>
          <w:tcPr/>
          <w:p>
            <w:pPr>
              <w:pStyle w:val="Compact"/>
            </w:pPr>
            <w:r>
              <w:t xml:space="preserve">При приёме на работу (до допуска к работе)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Первичный инструктаж на рабочем месте (с практическим показом применения огнетушителей, эвакуации, оказания помощи)</w:t>
            </w:r>
          </w:p>
        </w:tc>
        <w:tc>
          <w:tcPr/>
          <w:p>
            <w:pPr>
              <w:pStyle w:val="Compact"/>
            </w:pPr>
            <w:r>
              <w:t xml:space="preserve">Все работники</w:t>
            </w:r>
          </w:p>
        </w:tc>
        <w:tc>
          <w:tcPr/>
          <w:p>
            <w:pPr>
              <w:pStyle w:val="Compact"/>
            </w:pPr>
            <w:r>
              <w:t xml:space="preserve">Перед допуском к самостоятельной работе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Повторный инструктаж</w:t>
            </w:r>
          </w:p>
        </w:tc>
        <w:tc>
          <w:tcPr/>
          <w:p>
            <w:pPr>
              <w:pStyle w:val="Compact"/>
            </w:pPr>
            <w:r>
              <w:t xml:space="preserve">Все работники; на взрывопожароопасных производствах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; на остальных —</w:t>
            </w:r>
            <w:r>
              <w:t xml:space="preserve"> </w:t>
            </w:r>
            <w:r>
              <w:rPr>
                <w:b/>
                <w:bCs/>
              </w:rP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Для объектов 2, 4, 6 (цеха розлива, виноматериалов, игристых вин) —</w:t>
            </w:r>
            <w:r>
              <w:t xml:space="preserve"> </w:t>
            </w:r>
            <w:r>
              <w:rPr>
                <w:b/>
                <w:bCs/>
              </w:rPr>
              <w:t xml:space="preserve">не реже 1 раза в 6 месяцев</w:t>
            </w:r>
            <w:r>
              <w:t xml:space="preserve">; для объектов 1, 3, 5 — не реже 1 раза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Внеплановый инструктаж</w:t>
            </w:r>
          </w:p>
        </w:tc>
        <w:tc>
          <w:tcPr/>
          <w:p>
            <w:pPr>
              <w:pStyle w:val="Compact"/>
            </w:pPr>
            <w:r>
              <w:t xml:space="preserve">Все работники</w:t>
            </w:r>
          </w:p>
        </w:tc>
        <w:tc>
          <w:tcPr/>
          <w:p>
            <w:pPr>
              <w:pStyle w:val="Compact"/>
            </w:pPr>
            <w:r>
              <w:t xml:space="preserve">При изменении технологического процесса, сырья, вводе новых объектов, изменении НПА, после пожара/аварии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инструктаж</w:t>
            </w:r>
          </w:p>
        </w:tc>
        <w:tc>
          <w:tcPr/>
          <w:p>
            <w:pPr>
              <w:pStyle w:val="Compact"/>
            </w:pPr>
            <w:r>
              <w:t xml:space="preserve">Исполнители разовых пожароопасных и огневых работ</w:t>
            </w:r>
          </w:p>
        </w:tc>
        <w:tc>
          <w:tcPr/>
          <w:p>
            <w:pPr>
              <w:pStyle w:val="Compact"/>
            </w:pPr>
            <w:r>
              <w:t xml:space="preserve">Перед работами по наряду-допуску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Обучение по дополнительным профессиональным программам (ДПП) в области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Категории лиц, установленные приложением № 4 к приказ МЧС России от 16.12.2024 № 1120 (в т. ч. лица, назначенные ответственными за обеспечение ПБ; лица, проводящие противопожарные инструктажи; работники взрывопожароопасных производств)</w:t>
            </w:r>
          </w:p>
        </w:tc>
        <w:tc>
          <w:tcPr/>
          <w:p>
            <w:pPr>
              <w:pStyle w:val="Compact"/>
            </w:pPr>
            <w:r>
              <w:t xml:space="preserve">В сроки, установленные программой ДПП; периодичность определяется работодателем с учётом требований приложения № 4.</w:t>
            </w:r>
            <w:r>
              <w:t xml:space="preserve"> </w:t>
            </w:r>
            <w:r>
              <w:rPr>
                <w:b/>
                <w:bCs/>
              </w:rPr>
              <w:t xml:space="preserve">Понятие «пожарно-технический минимум» (ПТМ) из регулирования исключено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Практические тренировки по эвакуации</w:t>
            </w:r>
          </w:p>
        </w:tc>
        <w:tc>
          <w:tcPr/>
          <w:p>
            <w:pPr>
              <w:pStyle w:val="Compact"/>
            </w:pPr>
            <w:r>
              <w:t xml:space="preserve">Все работники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полугодие</w:t>
            </w:r>
            <w:r>
              <w:t xml:space="preserve"> </w:t>
            </w:r>
            <w:r>
              <w:t xml:space="preserve">(п. 9 ППР № 1479 — на объектах с массовым пребыванием людей; для производственных объектов — порядок устанавливает руководитель, рекомендуемая периодичность — 1 раз в полугодие)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Допуск к работе</w:t>
      </w:r>
      <w:r>
        <w:t xml:space="preserve"> </w:t>
      </w:r>
      <w:r>
        <w:t xml:space="preserve">— только после прохождения обучения мерам пожарной</w:t>
      </w:r>
      <w:r>
        <w:t xml:space="preserve"> </w:t>
      </w:r>
      <w:r>
        <w:t xml:space="preserve">безопасности (п. 3 ППР № 1479).</w:t>
      </w:r>
    </w:p>
    <w:p>
      <w:r>
        <w:pict>
          <v:rect style="width:0;height:1.5pt" o:hralign="center" o:hrstd="t" o:hr="t"/>
        </w:pict>
      </w:r>
    </w:p>
    <w:bookmarkEnd w:id="14"/>
    <w:bookmarkStart w:id="15" w:name="перечень-инструкций-комплекта"/>
    <w:p>
      <w:pPr>
        <w:pStyle w:val="Heading2"/>
      </w:pPr>
      <w:r>
        <w:t xml:space="preserve">6. Перечень инструкций комплекта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Инструкция</w:t>
            </w:r>
          </w:p>
        </w:tc>
        <w:tc>
          <w:tcPr/>
          <w:p>
            <w:pPr>
              <w:pStyle w:val="Compact"/>
            </w:pPr>
            <w:r>
              <w:t xml:space="preserve">Объект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Инструкция № 1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Административное здание (3 этажа)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Инструкция № 2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Цех розлива вина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Инструкция № 3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Инструкция № 4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Инструкция № 5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Инструкция № 6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Инструкция о порядке действий персонала при обнаружении пожара и загорания</w:t>
            </w:r>
          </w:p>
        </w:tc>
        <w:tc>
          <w:tcPr/>
          <w:p>
            <w:pPr>
              <w:pStyle w:val="Compact"/>
            </w:pPr>
            <w:r>
              <w:t xml:space="preserve">Все объекты защиты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Пересмотр инструкций:</w:t>
      </w:r>
      <w:r>
        <w:t xml:space="preserve"> </w:t>
      </w:r>
      <w:r>
        <w:t xml:space="preserve">не реже</w:t>
      </w:r>
      <w:r>
        <w:t xml:space="preserve"> </w:t>
      </w:r>
      <w:r>
        <w:rPr>
          <w:b/>
          <w:bCs/>
        </w:rPr>
        <w:t xml:space="preserve">1 раза в 5 лет</w:t>
      </w:r>
      <w:r>
        <w:t xml:space="preserve">, а также при изменении</w:t>
      </w:r>
      <w:r>
        <w:t xml:space="preserve"> </w:t>
      </w:r>
      <w:r>
        <w:t xml:space="preserve">технологии, оборудования, сырья, НПА, после пожара или предписания ГПН.</w:t>
      </w:r>
    </w:p>
    <w:p>
      <w:r>
        <w:pict>
          <v:rect style="width:0;height:1.5pt" o:hralign="center" o:hrstd="t" o:hr="t"/>
        </w:pict>
      </w:r>
    </w:p>
    <w:bookmarkEnd w:id="15"/>
    <w:bookmarkStart w:id="16" w:name="общие-запреты-для-всех-объектов-защиты"/>
    <w:p>
      <w:pPr>
        <w:pStyle w:val="Heading2"/>
      </w:pPr>
      <w:r>
        <w:t xml:space="preserve">7. Общие запреты для всех объектов защиты</w:t>
      </w:r>
    </w:p>
    <w:p>
      <w:pPr>
        <w:pStyle w:val="Compact"/>
        <w:numPr>
          <w:ilvl w:val="0"/>
          <w:numId w:val="1001"/>
        </w:numPr>
      </w:pPr>
      <w:r>
        <w:t xml:space="preserve">Курить вне специально отведённых и оборудованных мест (п. 14 ППР).</w:t>
      </w:r>
    </w:p>
    <w:p>
      <w:pPr>
        <w:pStyle w:val="Compact"/>
        <w:numPr>
          <w:ilvl w:val="0"/>
          <w:numId w:val="1001"/>
        </w:numPr>
      </w:pPr>
      <w:r>
        <w:t xml:space="preserve">Применять открытый огонь, пользоваться электронагревательными приборами</w:t>
      </w:r>
      <w:r>
        <w:t xml:space="preserve"> </w:t>
      </w:r>
      <w:r>
        <w:t xml:space="preserve">вне установленных мест, применять пиротехнику.</w:t>
      </w:r>
    </w:p>
    <w:p>
      <w:pPr>
        <w:pStyle w:val="Compact"/>
        <w:numPr>
          <w:ilvl w:val="0"/>
          <w:numId w:val="1001"/>
        </w:numPr>
      </w:pPr>
      <w:r>
        <w:t xml:space="preserve">Загромождать эвакуационные пути, выходы, проходы, подступы к оборудованию</w:t>
      </w:r>
      <w:r>
        <w:t xml:space="preserve"> </w:t>
      </w:r>
      <w:r>
        <w:t xml:space="preserve">пожаротушения, пожарным кранам, гидрантам, электрощитам.</w:t>
      </w:r>
    </w:p>
    <w:p>
      <w:pPr>
        <w:pStyle w:val="Compact"/>
        <w:numPr>
          <w:ilvl w:val="0"/>
          <w:numId w:val="1001"/>
        </w:numPr>
      </w:pPr>
      <w:r>
        <w:t xml:space="preserve">Устраивать в производственных, складских и подсобных помещениях жилые</w:t>
      </w:r>
      <w:r>
        <w:t xml:space="preserve"> </w:t>
      </w:r>
      <w:r>
        <w:t xml:space="preserve">помещения, кладовые горючих материалов под лестницами и в тамбурах.</w:t>
      </w:r>
    </w:p>
    <w:p>
      <w:pPr>
        <w:pStyle w:val="Compact"/>
        <w:numPr>
          <w:ilvl w:val="0"/>
          <w:numId w:val="1001"/>
        </w:numPr>
      </w:pPr>
      <w:r>
        <w:t xml:space="preserve">Хранить ЛВЖ, ГЖ, ГГ, аэрозоли, баллоны с газами вне установленных мест</w:t>
      </w:r>
      <w:r>
        <w:t xml:space="preserve"> </w:t>
      </w:r>
      <w:r>
        <w:t xml:space="preserve">и сверх установленных норм.</w:t>
      </w:r>
    </w:p>
    <w:p>
      <w:pPr>
        <w:pStyle w:val="Compact"/>
        <w:numPr>
          <w:ilvl w:val="0"/>
          <w:numId w:val="1001"/>
        </w:numPr>
      </w:pPr>
      <w:r>
        <w:t xml:space="preserve">Оставлять без присмотра включённые электронагревательные приборы,</w:t>
      </w:r>
      <w:r>
        <w:t xml:space="preserve"> </w:t>
      </w:r>
      <w:r>
        <w:t xml:space="preserve">электрооборудование (кроме оборудования, работающего круглосуточно</w:t>
      </w:r>
      <w:r>
        <w:t xml:space="preserve"> </w:t>
      </w:r>
      <w:r>
        <w:t xml:space="preserve">по технической документации).</w:t>
      </w:r>
    </w:p>
    <w:p>
      <w:pPr>
        <w:pStyle w:val="Compact"/>
        <w:numPr>
          <w:ilvl w:val="0"/>
          <w:numId w:val="1001"/>
        </w:numPr>
      </w:pPr>
      <w:r>
        <w:t xml:space="preserve">Применять самодельные (кустарные) электронагревательные приборы,</w:t>
      </w:r>
      <w:r>
        <w:t xml:space="preserve"> </w:t>
      </w:r>
      <w:r>
        <w:t xml:space="preserve">удлинители, «скрутки», лампы без защитных колпаков (в производственных</w:t>
      </w:r>
      <w:r>
        <w:t xml:space="preserve"> </w:t>
      </w:r>
      <w:r>
        <w:t xml:space="preserve">помещениях), светильники со снятыми защитными стёклами.</w:t>
      </w:r>
    </w:p>
    <w:p>
      <w:pPr>
        <w:pStyle w:val="Compact"/>
        <w:numPr>
          <w:ilvl w:val="0"/>
          <w:numId w:val="1001"/>
        </w:numPr>
      </w:pPr>
      <w:r>
        <w:t xml:space="preserve">Производить огневые работы без оформления</w:t>
      </w:r>
      <w:r>
        <w:t xml:space="preserve"> </w:t>
      </w:r>
      <w:r>
        <w:rPr>
          <w:b/>
          <w:bCs/>
        </w:rPr>
        <w:t xml:space="preserve">наряда-допуска</w:t>
      </w:r>
      <w:r>
        <w:t xml:space="preserve"> </w:t>
      </w:r>
      <w:r>
        <w:t xml:space="preserve">и без</w:t>
      </w:r>
      <w:r>
        <w:t xml:space="preserve"> </w:t>
      </w:r>
      <w:r>
        <w:t xml:space="preserve">первичных средств пожаротушения.</w:t>
      </w:r>
    </w:p>
    <w:p>
      <w:pPr>
        <w:pStyle w:val="Compact"/>
        <w:numPr>
          <w:ilvl w:val="0"/>
          <w:numId w:val="1001"/>
        </w:numPr>
      </w:pPr>
      <w:r>
        <w:t xml:space="preserve">Использовать первичные средства пожаротушения, пожарный инвентарь</w:t>
      </w:r>
      <w:r>
        <w:t xml:space="preserve"> </w:t>
      </w:r>
      <w:r>
        <w:t xml:space="preserve">и немеханизированный инструмент для хозяйственных нужд (п. 413 ППР).</w:t>
      </w:r>
    </w:p>
    <w:p>
      <w:pPr>
        <w:pStyle w:val="Compact"/>
        <w:numPr>
          <w:ilvl w:val="0"/>
          <w:numId w:val="1001"/>
        </w:numPr>
      </w:pPr>
      <w:r>
        <w:t xml:space="preserve">Складировать горючие отходы, тару, упаковку на путях эвакуации,</w:t>
      </w:r>
      <w:r>
        <w:t xml:space="preserve"> </w:t>
      </w:r>
      <w:r>
        <w:t xml:space="preserve">у электрощитов, в вентиляционных камерах, на чердаках и в подвалах.</w:t>
      </w:r>
    </w:p>
    <w:p>
      <w:pPr>
        <w:pStyle w:val="Compact"/>
        <w:numPr>
          <w:ilvl w:val="0"/>
          <w:numId w:val="1001"/>
        </w:numPr>
      </w:pPr>
      <w:r>
        <w:t xml:space="preserve">Забивать, запирать на замки (кроме предусмотренных конструкцией),</w:t>
      </w:r>
      <w:r>
        <w:t xml:space="preserve"> </w:t>
      </w:r>
      <w:r>
        <w:t xml:space="preserve">загромождать двери эвакуационных выходов; снимать доводчики.</w:t>
      </w:r>
    </w:p>
    <w:p>
      <w:pPr>
        <w:pStyle w:val="Compact"/>
        <w:numPr>
          <w:ilvl w:val="0"/>
          <w:numId w:val="1001"/>
        </w:numPr>
      </w:pPr>
      <w:r>
        <w:t xml:space="preserve">Проезжать и парковать транспорт на путях подъезда пожарной техники,</w:t>
      </w:r>
      <w:r>
        <w:t xml:space="preserve"> </w:t>
      </w:r>
      <w:r>
        <w:t xml:space="preserve">на крышках пожарных гидрантов, на разворотных площадках.</w:t>
      </w:r>
    </w:p>
    <w:p>
      <w:pPr>
        <w:pStyle w:val="Compact"/>
        <w:numPr>
          <w:ilvl w:val="0"/>
          <w:numId w:val="1001"/>
        </w:numPr>
      </w:pPr>
      <w:r>
        <w:t xml:space="preserve">Допускать к работе лиц, не прошедших противопожарный инструктаж.</w:t>
      </w:r>
    </w:p>
    <w:p>
      <w:r>
        <w:pict>
          <v:rect style="width:0;height:1.5pt" o:hralign="center" o:hrstd="t" o:hr="t"/>
        </w:pict>
      </w:r>
    </w:p>
    <w:bookmarkEnd w:id="16"/>
    <w:bookmarkStart w:id="17" w:name="ответственность"/>
    <w:p>
      <w:pPr>
        <w:pStyle w:val="Heading2"/>
      </w:pPr>
      <w:r>
        <w:t xml:space="preserve">8. Ответственность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Нарушение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ст. 20.4 КоАП РФ: предупреждение или штраф — на граждан 5 000–15 000 ₽; на должностных лиц 20 000–30 000 ₽; на ИП 20 000–30 000 ₽ / 40 000–60 000 ₽; на юридических лиц 150 000–200 000 ₽ / 300 000–400 000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же, в условиях особого противопожарного режима</w:t>
            </w:r>
          </w:p>
        </w:tc>
        <w:tc>
          <w:tcPr/>
          <w:p>
            <w:pPr>
              <w:pStyle w:val="Compact"/>
            </w:pPr>
            <w:r>
              <w:t xml:space="preserve">ч. 2 ст. 20.4 КоАП РФ — повышенные штрафы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Повторное нарушение</w:t>
            </w:r>
          </w:p>
        </w:tc>
        <w:tc>
          <w:tcPr/>
          <w:p>
            <w:pPr>
              <w:pStyle w:val="Compact"/>
            </w:pPr>
            <w:r>
              <w:t xml:space="preserve">ч. 3–4 ст. 20.4 КоАП РФ — до 400 000–500 000 ₽ или приостановление деятельности до 90 суток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ПБ, повлёкшее уничтожение/повреждение имущества по неосторожности</w:t>
            </w:r>
          </w:p>
        </w:tc>
        <w:tc>
          <w:tcPr/>
          <w:p>
            <w:pPr>
              <w:pStyle w:val="Compact"/>
            </w:pPr>
            <w:r>
              <w:t xml:space="preserve">ст. 168 УК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ПБ, повлёкшее тяжкий вред здоровью или смерть</w:t>
            </w:r>
          </w:p>
        </w:tc>
        <w:tc>
          <w:tcPr/>
          <w:p>
            <w:pPr>
              <w:pStyle w:val="Compact"/>
            </w:pPr>
            <w:r>
              <w:t xml:space="preserve">ст. 219 УК РФ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[ПРОВЕРИТЬ: размеры санкций в действующей редакции КоАП РФ и УК РФ]</w:t>
      </w:r>
    </w:p>
    <w:bookmarkEnd w:id="17"/>
    <w:bookmarkEnd w:id="18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2026-10-21T06:49:45Z</dcterms:created>
  <dcterms:modified xsi:type="dcterms:W3CDTF">2026-10-21T06:49:45Z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