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0EE00" w14:textId="77777777" w:rsidR="00605641" w:rsidRDefault="00605641" w:rsidP="00605641">
      <w:pPr>
        <w:rPr>
          <w:b/>
          <w:bCs/>
          <w:sz w:val="28"/>
          <w:szCs w:val="28"/>
        </w:rPr>
      </w:pPr>
      <w:r w:rsidRPr="00605641">
        <w:rPr>
          <w:b/>
          <w:bCs/>
          <w:sz w:val="28"/>
          <w:szCs w:val="28"/>
        </w:rPr>
        <w:t>Do raptors migrate within their previously experienced magnetic field?</w:t>
      </w:r>
    </w:p>
    <w:p w14:paraId="5727465E" w14:textId="5DE6ADAF" w:rsidR="00605641" w:rsidRPr="00605641" w:rsidRDefault="00605641" w:rsidP="00605641">
      <w:pPr>
        <w:rPr>
          <w:i/>
          <w:iCs/>
          <w:sz w:val="22"/>
          <w:szCs w:val="22"/>
          <w:lang w:val="en-US"/>
        </w:rPr>
      </w:pPr>
      <w:r w:rsidRPr="00605641">
        <w:rPr>
          <w:i/>
          <w:iCs/>
          <w:sz w:val="22"/>
          <w:szCs w:val="22"/>
          <w:lang w:val="en-US"/>
        </w:rPr>
        <w:t>Filibert Heim and Steffen Oppel, Swiss Ornithological Institute</w:t>
      </w:r>
    </w:p>
    <w:p w14:paraId="1EB9E53E" w14:textId="77777777" w:rsidR="00605641" w:rsidRPr="00605641" w:rsidRDefault="00605641" w:rsidP="00605641">
      <w:pPr>
        <w:pStyle w:val="ListParagraph"/>
        <w:ind w:left="360"/>
        <w:rPr>
          <w:b/>
          <w:bCs/>
          <w:lang w:val="en-US"/>
        </w:rPr>
      </w:pPr>
    </w:p>
    <w:p w14:paraId="5CD2EC66" w14:textId="3BA75D7A" w:rsidR="0038303D" w:rsidRPr="00F02727" w:rsidRDefault="00B109A9" w:rsidP="001B69B8">
      <w:pPr>
        <w:pStyle w:val="ListParagraph"/>
        <w:numPr>
          <w:ilvl w:val="0"/>
          <w:numId w:val="1"/>
        </w:numPr>
        <w:rPr>
          <w:b/>
          <w:bCs/>
        </w:rPr>
      </w:pPr>
      <w:r>
        <w:rPr>
          <w:b/>
          <w:bCs/>
        </w:rPr>
        <w:t>Background</w:t>
      </w:r>
    </w:p>
    <w:p w14:paraId="78DFB8E9" w14:textId="77777777" w:rsidR="006C398A" w:rsidRDefault="001B69B8" w:rsidP="009F7D8E">
      <w:pPr>
        <w:jc w:val="both"/>
      </w:pPr>
      <w:r w:rsidRPr="00F02727">
        <w:t xml:space="preserve">A growing number of GPS-tagged migratory birds </w:t>
      </w:r>
      <w:r w:rsidR="00890514" w:rsidRPr="00F02727">
        <w:t xml:space="preserve">could </w:t>
      </w:r>
      <w:r w:rsidRPr="00F02727">
        <w:t xml:space="preserve">provide possibilities to study </w:t>
      </w:r>
      <w:r w:rsidR="00397B25">
        <w:t>navigation</w:t>
      </w:r>
      <w:r w:rsidRPr="00F02727">
        <w:t xml:space="preserve"> in birds</w:t>
      </w:r>
      <w:r w:rsidR="00397B25">
        <w:t xml:space="preserve"> </w:t>
      </w:r>
      <w:r w:rsidR="00397B25">
        <w:fldChar w:fldCharType="begin"/>
      </w:r>
      <w:r w:rsidR="00397B25">
        <w:instrText xml:space="preserve"> ADDIN ZOTERO_ITEM CSL_CITATION {"citationID":"TeNa8MvB","properties":{"formattedCitation":"(Guilford et al., 2011)","plainCitation":"(Guilford et al., 2011)","noteIndex":0},"citationItems":[{"id":2209,"uris":["http://zotero.org/users/9898907/items/QFRBX7AT"],"itemData":{"id":2209,"type":"article-journal","abstract":"Birds have remained the dominant model for studying the mechanisms of animal navigation for decades, with much of what has been discovered coming from laboratory studies or model systems. The miniaturisation of tracking technology in recent years now promises opportunities for studying navigation during migration itself (migratory navigation) on an unprecedented scale. Even if migration tracking studies are principally being designed for other purposes, we argue that attention to salient environmental variables during the design or analysis of a study may enable a host of navigational questions to be addressed, greatly enriching the field. We explore candidate variables in the form of a series of contrasts (e.g. land vs ocean or night vs day migration), which may vary naturally between migratory species, populations or even within the life span of a migrating individual. We discuss how these contrasts might help address questions of sensory mechanisms, spatiotemporal representational strategies and adaptive variation in navigational ability. We suggest that this comparative approach may help enrich our knowledge about the natural history of migratory navigation in birds.","container-title":"Journal of Experimental Biology","DOI":"10.1242/jeb.051292","ISSN":"0022-0949","issue":"22","journalAbbreviation":"Journal of Experimental Biology","page":"3705-3712","source":"Silverchair","title":"Migratory navigation in birds: new opportunities in an era of fast-developing tracking technology","title-short":"Migratory navigation in birds","volume":"214","author":[{"family":"Guilford","given":"Tim"},{"family":"Åkesson","given":"Susanne"},{"family":"Gagliardo","given":"Anna"},{"family":"Holland","given":"Richard A."},{"family":"Mouritsen","given":"Henrik"},{"family":"Muheim","given":"Rachel"},{"family":"Wiltschko","given":"Roswitha"},{"family":"Wiltschko","given":"Wolfgang"},{"family":"Bingman","given":"Verner P."}],"issued":{"date-parts":[["2011",11,15]]}}}],"schema":"https://github.com/citation-style-language/schema/raw/master/csl-citation.json"} </w:instrText>
      </w:r>
      <w:r w:rsidR="00397B25">
        <w:fldChar w:fldCharType="separate"/>
      </w:r>
      <w:r w:rsidR="00397B25" w:rsidRPr="00397B25">
        <w:rPr>
          <w:rFonts w:ascii="Aptos" w:hAnsi="Aptos"/>
        </w:rPr>
        <w:t>(Guilford et al., 2011)</w:t>
      </w:r>
      <w:r w:rsidR="00397B25">
        <w:fldChar w:fldCharType="end"/>
      </w:r>
      <w:r w:rsidRPr="00F02727">
        <w:t xml:space="preserve">, for example </w:t>
      </w:r>
      <w:r w:rsidR="00BD650A">
        <w:t xml:space="preserve">to test whether </w:t>
      </w:r>
      <w:r w:rsidR="006C398A">
        <w:t xml:space="preserve">observed routes are consistent with predictions based on </w:t>
      </w:r>
      <w:r w:rsidRPr="00F02727">
        <w:t xml:space="preserve">magnetic </w:t>
      </w:r>
      <w:r w:rsidR="006C398A">
        <w:t xml:space="preserve">cues being used for </w:t>
      </w:r>
      <w:r w:rsidR="00912BD9">
        <w:t>navigation</w:t>
      </w:r>
      <w:r w:rsidRPr="00F02727">
        <w:t xml:space="preserve"> </w:t>
      </w:r>
      <w:r w:rsidR="00397B25">
        <w:fldChar w:fldCharType="begin"/>
      </w:r>
      <w:r w:rsidR="00912BD9">
        <w:instrText xml:space="preserve"> ADDIN ZOTERO_ITEM CSL_CITATION {"citationID":"Xvjc2LU4","properties":{"formattedCitation":"(Wiltschko &amp; Wiltschko, 2022)","plainCitation":"(Wiltschko &amp; Wiltschko, 2022)","noteIndex":0},"citationItems":[{"id":2279,"uris":["http://zotero.org/users/9898907/items/4IN4FUYY"],"itemData":{"id":2279,"type":"article-journal","abstract":"The magnetic field of the Earth provides animals with various kinds of information. Its use as a compass was discovered in the mid-1960s in birds, when it was first met with considerable skepticism, because it initially proved difficult to obtain evidence for magnetic sensitivity by conditioning experiments. Meanwhile, a magnetic compass was found to be widespread. It has now been demonstrated in members of all vertebrate classes, in mollusks and several arthropod species, in crustaceans as well as in insects. The use of the geomagnetic field as a ‘map’ for determining position, although already considered in the nineteenth century, was demonstrated by magnetically simulating displacements only after 2000, namely when animals, tested in the magnetic field of a distant site, responded as if they were physically displaced to that site and compensated for the displacement. Another use of the magnetic field is that as a ‘sign post’ or trigger: specific magnetic conditions elicit spontaneous responses that are helpful when animals reach the regions where these magnetic characteristics occur. Altogether, the geomagnetic field is a widely used valuable source of navigational information for mobile animals.","container-title":"Journal of Comparative Physiology A","DOI":"10.1007/s00359-021-01507-0","ISSN":"1432-1351","issue":"1","journalAbbreviation":"J Comp Physiol A","language":"en","page":"9-18","source":"Springer Link","title":"The discovery of the use of magnetic navigational information","volume":"208","author":[{"family":"Wiltschko","given":"Roswitha"},{"family":"Wiltschko","given":"Wolfgang"}],"issued":{"date-parts":[["2022",1,1]]}}}],"schema":"https://github.com/citation-style-language/schema/raw/master/csl-citation.json"} </w:instrText>
      </w:r>
      <w:r w:rsidR="00397B25">
        <w:fldChar w:fldCharType="separate"/>
      </w:r>
      <w:r w:rsidR="00912BD9" w:rsidRPr="00912BD9">
        <w:rPr>
          <w:rFonts w:ascii="Aptos" w:hAnsi="Aptos"/>
        </w:rPr>
        <w:t>(Wiltschko &amp; Wiltschko, 2022)</w:t>
      </w:r>
      <w:r w:rsidR="00397B25">
        <w:fldChar w:fldCharType="end"/>
      </w:r>
      <w:r w:rsidRPr="00F02727">
        <w:t>.</w:t>
      </w:r>
    </w:p>
    <w:p w14:paraId="09A4E35A" w14:textId="77777777" w:rsidR="00E7007B" w:rsidRDefault="00890514" w:rsidP="009F7D8E">
      <w:pPr>
        <w:jc w:val="both"/>
      </w:pPr>
      <w:r w:rsidRPr="00F02727">
        <w:t xml:space="preserve">Thus, we </w:t>
      </w:r>
      <w:r w:rsidR="006C398A">
        <w:t>explored</w:t>
      </w:r>
      <w:r w:rsidR="00512175" w:rsidRPr="00F02727">
        <w:t xml:space="preserve"> whether</w:t>
      </w:r>
      <w:r w:rsidR="007C1174" w:rsidRPr="00F02727">
        <w:t xml:space="preserve"> the </w:t>
      </w:r>
      <w:r w:rsidR="00BF693E">
        <w:t xml:space="preserve">first </w:t>
      </w:r>
      <w:r w:rsidR="007C1174" w:rsidRPr="00F02727">
        <w:t>spring migration route of</w:t>
      </w:r>
      <w:r w:rsidR="00512175" w:rsidRPr="00F02727">
        <w:t xml:space="preserve"> young</w:t>
      </w:r>
      <w:r w:rsidR="009751E1" w:rsidRPr="00F02727">
        <w:t xml:space="preserve">, </w:t>
      </w:r>
      <w:r w:rsidR="00B109A9">
        <w:t>solitary</w:t>
      </w:r>
      <w:r w:rsidR="009751E1" w:rsidRPr="00F02727">
        <w:t xml:space="preserve"> migrating </w:t>
      </w:r>
      <w:r w:rsidR="00512175" w:rsidRPr="00F02727">
        <w:t>raptors</w:t>
      </w:r>
      <w:r w:rsidR="009751E1" w:rsidRPr="00F02727">
        <w:t xml:space="preserve"> (Red </w:t>
      </w:r>
      <w:r w:rsidR="00397B25">
        <w:t>k</w:t>
      </w:r>
      <w:r w:rsidR="009751E1" w:rsidRPr="00F02727">
        <w:t xml:space="preserve">ite </w:t>
      </w:r>
      <w:r w:rsidR="009751E1" w:rsidRPr="00F02727">
        <w:rPr>
          <w:i/>
          <w:iCs/>
        </w:rPr>
        <w:t xml:space="preserve">Milvus </w:t>
      </w:r>
      <w:proofErr w:type="spellStart"/>
      <w:r w:rsidR="009751E1" w:rsidRPr="00F02727">
        <w:rPr>
          <w:i/>
          <w:iCs/>
        </w:rPr>
        <w:t>milvus</w:t>
      </w:r>
      <w:proofErr w:type="spellEnd"/>
      <w:r w:rsidR="009751E1" w:rsidRPr="00F02727">
        <w:t xml:space="preserve">, and Egyptian </w:t>
      </w:r>
      <w:r w:rsidR="00397B25">
        <w:t>v</w:t>
      </w:r>
      <w:r w:rsidR="009751E1" w:rsidRPr="00F02727">
        <w:t xml:space="preserve">ulture </w:t>
      </w:r>
      <w:r w:rsidR="009751E1" w:rsidRPr="00F02727">
        <w:rPr>
          <w:i/>
          <w:iCs/>
        </w:rPr>
        <w:t xml:space="preserve">Neophron </w:t>
      </w:r>
      <w:proofErr w:type="spellStart"/>
      <w:r w:rsidR="009751E1" w:rsidRPr="00F02727">
        <w:rPr>
          <w:i/>
          <w:iCs/>
        </w:rPr>
        <w:t>percnopterus</w:t>
      </w:r>
      <w:proofErr w:type="spellEnd"/>
      <w:r w:rsidR="009751E1" w:rsidRPr="00F02727">
        <w:t>)</w:t>
      </w:r>
      <w:r w:rsidR="00512175" w:rsidRPr="00F02727">
        <w:t xml:space="preserve"> </w:t>
      </w:r>
      <w:r w:rsidR="00BF693E">
        <w:t>was contained</w:t>
      </w:r>
      <w:r w:rsidR="009751E1" w:rsidRPr="00F02727">
        <w:t xml:space="preserve"> within the </w:t>
      </w:r>
      <w:r w:rsidR="00512175" w:rsidRPr="00F02727">
        <w:t>magnetic envelopes (defined by inclination, declination and intensity)</w:t>
      </w:r>
      <w:r w:rsidR="009751E1" w:rsidRPr="00F02727">
        <w:t xml:space="preserve"> they </w:t>
      </w:r>
      <w:r w:rsidR="00BF693E">
        <w:t xml:space="preserve">had </w:t>
      </w:r>
      <w:r w:rsidR="009751E1" w:rsidRPr="00F02727">
        <w:t>already experienced</w:t>
      </w:r>
      <w:r w:rsidR="007C1174" w:rsidRPr="00F02727">
        <w:t xml:space="preserve"> during their first autumn migration</w:t>
      </w:r>
      <w:r w:rsidR="009751E1" w:rsidRPr="00F02727">
        <w:t>.</w:t>
      </w:r>
    </w:p>
    <w:p w14:paraId="4FA9E246" w14:textId="39710CA8" w:rsidR="00027B98" w:rsidRPr="00F02727" w:rsidRDefault="00E7007B" w:rsidP="009F7D8E">
      <w:pPr>
        <w:jc w:val="both"/>
      </w:pPr>
      <w:r>
        <w:t xml:space="preserve">This was an exploratory investigation – if birds </w:t>
      </w:r>
      <w:r w:rsidR="005140D1">
        <w:t xml:space="preserve">use routes with vastly different magnetic </w:t>
      </w:r>
      <w:proofErr w:type="gramStart"/>
      <w:r w:rsidR="005140D1">
        <w:t>fields</w:t>
      </w:r>
      <w:proofErr w:type="gramEnd"/>
      <w:r w:rsidR="005140D1">
        <w:t xml:space="preserve"> then it would be unlikely that previously experienced magnetic cues were vital for their </w:t>
      </w:r>
      <w:r w:rsidR="00AD3C82">
        <w:t xml:space="preserve">navigation. This exploratory analysis was </w:t>
      </w:r>
      <w:r w:rsidR="007915C6">
        <w:t>entirely</w:t>
      </w:r>
      <w:r w:rsidR="00AD3C82">
        <w:t xml:space="preserve"> opportunistic: we happened to have large GPS tracking datasets of both species, but </w:t>
      </w:r>
      <w:r w:rsidR="007915C6">
        <w:t>because these two species are</w:t>
      </w:r>
      <w:r w:rsidR="00AD3C82">
        <w:t xml:space="preserve"> diurnal soaring migrants</w:t>
      </w:r>
      <w:r w:rsidR="005B48DE">
        <w:t>,</w:t>
      </w:r>
      <w:r w:rsidR="00AD3C82">
        <w:t xml:space="preserve"> it is entirely possible that visual cues (coastlines, mountains) play a much stronger role for navigation in these two species.</w:t>
      </w:r>
      <w:r w:rsidR="009751E1" w:rsidRPr="00F02727">
        <w:t xml:space="preserve"> </w:t>
      </w:r>
    </w:p>
    <w:p w14:paraId="050DA7C6" w14:textId="4942BA12" w:rsidR="00890514" w:rsidRPr="00F02727" w:rsidRDefault="00890514" w:rsidP="001B69B8">
      <w:pPr>
        <w:pStyle w:val="ListParagraph"/>
        <w:numPr>
          <w:ilvl w:val="0"/>
          <w:numId w:val="1"/>
        </w:numPr>
        <w:rPr>
          <w:b/>
          <w:bCs/>
        </w:rPr>
      </w:pPr>
      <w:r w:rsidRPr="00F02727">
        <w:rPr>
          <w:b/>
          <w:bCs/>
        </w:rPr>
        <w:t>Methods</w:t>
      </w:r>
    </w:p>
    <w:p w14:paraId="50D52961" w14:textId="219EA8BC" w:rsidR="00041EA8" w:rsidRDefault="00027DF4" w:rsidP="009F7D8E">
      <w:pPr>
        <w:jc w:val="both"/>
      </w:pPr>
      <w:r w:rsidRPr="00F02727">
        <w:t xml:space="preserve">We </w:t>
      </w:r>
      <w:r w:rsidR="005B48DE">
        <w:t xml:space="preserve">first extracted the </w:t>
      </w:r>
      <w:r w:rsidR="00041EA8">
        <w:t>magnetic field experienced by a youn</w:t>
      </w:r>
      <w:r w:rsidR="00EF7AA3">
        <w:t xml:space="preserve">g naïve raptor </w:t>
      </w:r>
      <w:r w:rsidR="00041EA8" w:rsidRPr="00F02727">
        <w:t xml:space="preserve">during </w:t>
      </w:r>
      <w:r w:rsidR="00EF7AA3">
        <w:t>its</w:t>
      </w:r>
      <w:r w:rsidR="00041EA8" w:rsidRPr="00F02727">
        <w:t xml:space="preserve"> first autumn migration </w:t>
      </w:r>
      <w:r w:rsidR="00EF7AA3">
        <w:t>using daily GPS locations</w:t>
      </w:r>
      <w:r w:rsidR="00B050CB">
        <w:t xml:space="preserve"> and</w:t>
      </w:r>
      <w:r w:rsidR="00B050CB" w:rsidRPr="00F02727">
        <w:t xml:space="preserve"> the International Geomagnetic Reference Field (IGRF) 13 </w:t>
      </w:r>
      <w:r w:rsidR="00A057A1">
        <w:t>using the</w:t>
      </w:r>
      <w:r w:rsidR="00B050CB">
        <w:t xml:space="preserve"> </w:t>
      </w:r>
      <w:r w:rsidR="00A057A1">
        <w:t xml:space="preserve">R </w:t>
      </w:r>
      <w:r w:rsidR="00B050CB">
        <w:t xml:space="preserve">function </w:t>
      </w:r>
      <w:proofErr w:type="spellStart"/>
      <w:r w:rsidR="00B050CB" w:rsidRPr="00F02727">
        <w:t>oce</w:t>
      </w:r>
      <w:proofErr w:type="spellEnd"/>
      <w:r w:rsidR="00B050CB" w:rsidRPr="00F02727">
        <w:t>::</w:t>
      </w:r>
      <w:proofErr w:type="spellStart"/>
      <w:r w:rsidR="00B050CB" w:rsidRPr="00F02727">
        <w:t>magneticField</w:t>
      </w:r>
      <w:proofErr w:type="spellEnd"/>
      <w:r w:rsidR="00B050CB" w:rsidRPr="00F02727">
        <w:t xml:space="preserve"> </w:t>
      </w:r>
      <w:r w:rsidR="00B050CB">
        <w:fldChar w:fldCharType="begin"/>
      </w:r>
      <w:r w:rsidR="00B050CB">
        <w:instrText xml:space="preserve"> ADDIN ZOTERO_ITEM CSL_CITATION {"citationID":"11yEbKg7","properties":{"formattedCitation":"(Alken et al., 2021; Kelley &amp; Richards, 2024)","plainCitation":"(Alken et al., 2021; Kelley &amp; Richards, 2024)","noteIndex":0},"citationItems":[{"id":2274,"uris":["http://zotero.org/users/9898907/items/9GLDEDG8"],"itemData":{"id":2274,"type":"article-journal","abstract":"In December 2019, the International Association of Geomagnetism and Aeronomy (IAGA) Division V Working Group (V-MOD) adopted the thirteenth generation of the International Geomagnetic Reference Field (IGRF). This IGRF updates the previous generation with a definitive main field model for epoch 2015.0, a main field model for epoch 2020.0, and a predictive linear secular variation for 2020.0 to 2025.0. This letter provides the equations defining the IGRF, the spherical harmonic coefficients for this thirteenth generation model, maps of magnetic declination, inclination and total field intensity for the epoch 2020.0, and maps of their predicted rate of change for the 2020.0 to 2025.0 time period.","container-title":"Earth, Planets and Space","DOI":"10.1186/s40623-020-01288-x","ISSN":"1880-5981","issue":"1","journalAbbreviation":"Earth Planets Space","language":"en","page":"49","source":"Springer Link","title":"International Geomagnetic Reference Field: the thirteenth generation","title-short":"International Geomagnetic Reference Field","volume":"73","author":[{"family":"Alken","given":"P."},{"family":"Thébault","given":"E."},{"family":"Beggan","given":"C. D."},{"family":"Amit","given":"H."},{"family":"Aubert","given":"J."},{"family":"Baerenzung","given":"J."},{"family":"Bondar","given":"T. N."},{"family":"Brown","given":"W. J."},{"family":"Califf","given":"S."},{"family":"Chambodut","given":"A."},{"family":"Chulliat","given":"A."},{"family":"Cox","given":"G. A."},{"family":"Finlay","given":"C. C."},{"family":"Fournier","given":"A."},{"family":"Gillet","given":"N."},{"family":"Grayver","given":"A."},{"family":"Hammer","given":"M. D."},{"family":"Holschneider","given":"M."},{"family":"Huder","given":"L."},{"family":"Hulot","given":"G."},{"family":"Jager","given":"T."},{"family":"Kloss","given":"C."},{"family":"Korte","given":"M."},{"family":"Kuang","given":"W."},{"family":"Kuvshinov","given":"A."},{"family":"Langlais","given":"B."},{"family":"Léger","given":"J.-M."},{"family":"Lesur","given":"V."},{"family":"Livermore","given":"P. W."},{"family":"Lowes","given":"F. J."},{"family":"Macmillan","given":"S."},{"family":"Magnes","given":"W."},{"family":"Mandea","given":"M."},{"family":"Marsal","given":"S."},{"family":"Matzka","given":"J."},{"family":"Metman","given":"M. C."},{"family":"Minami","given":"T."},{"family":"Morschhauser","given":"A."},{"family":"Mound","given":"J. E."},{"family":"Nair","given":"M."},{"family":"Nakano","given":"S."},{"family":"Olsen","given":"N."},{"family":"Pavón-Carrasco","given":"F. J."},{"family":"Petrov","given":"V. G."},{"family":"Ropp","given":"G."},{"family":"Rother","given":"M."},{"family":"Sabaka","given":"T. J."},{"family":"Sanchez","given":"S."},{"family":"Saturnino","given":"D."},{"family":"Schnepf","given":"N. R."},{"family":"Shen","given":"X."},{"family":"Stolle","given":"C."},{"family":"Tangborn","given":"A."},{"family":"Tøffner-Clausen","given":"L."},{"family":"Toh","given":"H."},{"family":"Torta","given":"J. M."},{"family":"Varner","given":"J."},{"family":"Vervelidou","given":"F."},{"family":"Vigneron","given":"P."},{"family":"Wardinski","given":"I."},{"family":"Wicht","given":"J."},{"family":"Woods","given":"A."},{"family":"Yang","given":"Y."},{"family":"Zeren","given":"Z."},{"family":"Zhou","given":"B."}],"issued":{"date-parts":[["2021",2,11]]}}},{"id":2273,"uris":["http://zotero.org/users/9898907/items/SFZPDN8S"],"itemData":{"id":2273,"type":"software","medium":"R","title":"oce: Analysis of Oceanographic Data","URL":"https://CRAN.R-project.org/package=oce","version":"1.8-3","author":[{"family":"Kelley","given":"Dan"},{"family":"Richards","given":"Clark"}],"issued":{"date-parts":[["2024"]]}}}],"schema":"https://github.com/citation-style-language/schema/raw/master/csl-citation.json"} </w:instrText>
      </w:r>
      <w:r w:rsidR="00B050CB">
        <w:fldChar w:fldCharType="separate"/>
      </w:r>
      <w:r w:rsidR="00B050CB" w:rsidRPr="00B43CB7">
        <w:rPr>
          <w:rFonts w:ascii="Aptos" w:hAnsi="Aptos"/>
        </w:rPr>
        <w:t>(Alken et al., 2021; Kelley &amp; Richards, 2024)</w:t>
      </w:r>
      <w:r w:rsidR="00B050CB">
        <w:fldChar w:fldCharType="end"/>
      </w:r>
      <w:r w:rsidR="00B050CB" w:rsidRPr="00F02727">
        <w:t>.</w:t>
      </w:r>
    </w:p>
    <w:p w14:paraId="6CC2A5BD" w14:textId="6AB5AE45" w:rsidR="001C2CF4" w:rsidRDefault="00ED408C" w:rsidP="009F7D8E">
      <w:pPr>
        <w:jc w:val="both"/>
      </w:pPr>
      <w:r>
        <w:t>We then</w:t>
      </w:r>
      <w:r w:rsidR="001C2CF4" w:rsidRPr="00F02727">
        <w:t xml:space="preserve"> created a </w:t>
      </w:r>
      <w:r>
        <w:t xml:space="preserve">spatial </w:t>
      </w:r>
      <w:r w:rsidR="001C2CF4" w:rsidRPr="00F02727">
        <w:t xml:space="preserve">raster </w:t>
      </w:r>
      <w:r>
        <w:t xml:space="preserve">across the flyway domain of each </w:t>
      </w:r>
      <w:r w:rsidR="00CF7A58">
        <w:t xml:space="preserve">individual bird and extracted </w:t>
      </w:r>
      <w:r w:rsidR="001C2CF4" w:rsidRPr="00F02727">
        <w:t xml:space="preserve">the magnetic field values </w:t>
      </w:r>
      <w:r w:rsidR="00CF7A58">
        <w:t>for each grid cell</w:t>
      </w:r>
      <w:r w:rsidR="001C2CF4" w:rsidRPr="00F02727">
        <w:t xml:space="preserve"> </w:t>
      </w:r>
      <w:r w:rsidR="00CF7A58">
        <w:t>at an</w:t>
      </w:r>
      <w:r w:rsidR="001C2CF4" w:rsidRPr="00F02727">
        <w:t xml:space="preserve"> intermediate time of the first spring migration of this individual bird. </w:t>
      </w:r>
      <w:r w:rsidR="0079142D" w:rsidRPr="00F02727">
        <w:t>These magnetic field values were rounded to an assumed sensitivity of birds of 0.5 for inclination and declination and 200 for intensity</w:t>
      </w:r>
      <w:r w:rsidR="0079142D">
        <w:t xml:space="preserve"> </w:t>
      </w:r>
      <w:r w:rsidR="0079142D">
        <w:fldChar w:fldCharType="begin"/>
      </w:r>
      <w:r w:rsidR="0079142D">
        <w:instrText xml:space="preserve"> ADDIN ZOTERO_ITEM CSL_CITATION {"citationID":"irHyKel5","properties":{"formattedCitation":"(Schneider et al., 2023)","plainCitation":"(Schneider et al., 2023)","noteIndex":0},"citationItems":[{"id":2260,"uris":["http://zotero.org/users/9898907/items/SU5Y45IP"],"itemData":{"id":2260,"type":"article-journal","abstract":"Virtual magnetic displacements are used to examine the magnetoreceptive ability of animals by changing the local magnetic field to emulate one that exists elsewhere. This technique can be used to test whether animals use a magnetic map. The viability of a magnetic map is dependant upon which magnetic parameters an animal’s coordinate system is composed of, and how sensitive they are to those parameters. Previous research has not considered the degree to which sensitivity can change an animal’s impression of where a virtual magnetic displacement is located. We re-assessed all published studies that use virtual magnetic displacements assuming the highest likely level of sensitivity to magnetic parameters in animals. The vast majority are susceptible to the existence of alternate possible virtual locations. In some cases, this can cause results to become ambiguous. We present a tool for visualising all possible virtual magnetic displacement alternative locations (ViMDAL) and propose changes to how further research on animal magnetoreception is conducted and reported.","container-title":"Communications Biology","DOI":"10.1038/s42003-023-04530-w","ISSN":"2399-3642","issue":"1","journalAbbreviation":"Commun Biol","language":"en","license":"2023 The Author(s)","note":"publisher: Nature Publishing Group\nRead_Status: Read\nRead_Status_Date: 2024-11-25T13:17:00.568Z","page":"1-8","source":"www.nature.com","title":"Sense of doubt: inaccurate and alternate locations of virtual magnetic displacements may give a distorted view of animal magnetoreception ability","title-short":"Sense of doubt","volume":"6","author":[{"family":"Schneider","given":"Will T."},{"family":"Packmor","given":"Florian"},{"family":"Lindecke","given":"Oliver"},{"family":"Holland","given":"Richard A."}],"issued":{"date-parts":[["2023",2,20]]}}}],"schema":"https://github.com/citation-style-language/schema/raw/master/csl-citation.json"} </w:instrText>
      </w:r>
      <w:r w:rsidR="0079142D">
        <w:fldChar w:fldCharType="separate"/>
      </w:r>
      <w:r w:rsidR="0079142D" w:rsidRPr="00B43CB7">
        <w:rPr>
          <w:rFonts w:ascii="Aptos" w:hAnsi="Aptos"/>
        </w:rPr>
        <w:t>(Schneider et al., 2023)</w:t>
      </w:r>
      <w:r w:rsidR="0079142D">
        <w:fldChar w:fldCharType="end"/>
      </w:r>
      <w:r w:rsidR="0079142D" w:rsidRPr="00F02727">
        <w:t xml:space="preserve">. </w:t>
      </w:r>
      <w:r w:rsidR="00404643">
        <w:t>We then filtered</w:t>
      </w:r>
      <w:r w:rsidR="001C2CF4" w:rsidRPr="00F02727">
        <w:t xml:space="preserve"> all grid cells of the spring migration which </w:t>
      </w:r>
      <w:r w:rsidR="00E42586">
        <w:t>had magnetic field values</w:t>
      </w:r>
      <w:r w:rsidR="001C2CF4" w:rsidRPr="00F02727">
        <w:t xml:space="preserve"> within the range of the magnetic field </w:t>
      </w:r>
      <w:r w:rsidR="00E42586">
        <w:t>experienced during</w:t>
      </w:r>
      <w:r w:rsidR="001C2CF4" w:rsidRPr="00F02727">
        <w:t xml:space="preserve"> the autumn migration</w:t>
      </w:r>
      <w:r w:rsidR="00E42586">
        <w:t xml:space="preserve"> by the same individual</w:t>
      </w:r>
      <w:r w:rsidR="001C2CF4">
        <w:t xml:space="preserve"> </w:t>
      </w:r>
      <w:r w:rsidR="001C2CF4">
        <w:fldChar w:fldCharType="begin"/>
      </w:r>
      <w:r w:rsidR="001C2CF4">
        <w:instrText xml:space="preserve"> ADDIN ZOTERO_ITEM CSL_CITATION {"citationID":"7DK5AZSl","properties":{"formattedCitation":"(Schneider et al., 2023)","plainCitation":"(Schneider et al., 2023)","noteIndex":0},"citationItems":[{"id":2260,"uris":["http://zotero.org/users/9898907/items/SU5Y45IP"],"itemData":{"id":2260,"type":"article-journal","abstract":"Virtual magnetic displacements are used to examine the magnetoreceptive ability of animals by changing the local magnetic field to emulate one that exists elsewhere. This technique can be used to test whether animals use a magnetic map. The viability of a magnetic map is dependant upon which magnetic parameters an animal’s coordinate system is composed of, and how sensitive they are to those parameters. Previous research has not considered the degree to which sensitivity can change an animal’s impression of where a virtual magnetic displacement is located. We re-assessed all published studies that use virtual magnetic displacements assuming the highest likely level of sensitivity to magnetic parameters in animals. The vast majority are susceptible to the existence of alternate possible virtual locations. In some cases, this can cause results to become ambiguous. We present a tool for visualising all possible virtual magnetic displacement alternative locations (ViMDAL) and propose changes to how further research on animal magnetoreception is conducted and reported.","container-title":"Communications Biology","DOI":"10.1038/s42003-023-04530-w","ISSN":"2399-3642","issue":"1","journalAbbreviation":"Commun Biol","language":"en","license":"2023 The Author(s)","note":"publisher: Nature Publishing Group\nRead_Status: Read\nRead_Status_Date: 2024-11-25T13:17:00.568Z","page":"1-8","source":"www.nature.com","title":"Sense of doubt: inaccurate and alternate locations of virtual magnetic displacements may give a distorted view of animal magnetoreception ability","title-short":"Sense of doubt","volume":"6","author":[{"family":"Schneider","given":"Will T."},{"family":"Packmor","given":"Florian"},{"family":"Lindecke","given":"Oliver"},{"family":"Holland","given":"Richard A."}],"issued":{"date-parts":[["2023",2,20]]}}}],"schema":"https://github.com/citation-style-language/schema/raw/master/csl-citation.json"} </w:instrText>
      </w:r>
      <w:r w:rsidR="001C2CF4">
        <w:fldChar w:fldCharType="separate"/>
      </w:r>
      <w:r w:rsidR="001C2CF4" w:rsidRPr="00B43CB7">
        <w:rPr>
          <w:rFonts w:ascii="Aptos" w:hAnsi="Aptos"/>
        </w:rPr>
        <w:t>(Schneider et al., 2023)</w:t>
      </w:r>
      <w:r w:rsidR="001C2CF4">
        <w:fldChar w:fldCharType="end"/>
      </w:r>
      <w:r w:rsidR="001C2CF4" w:rsidRPr="00F02727">
        <w:t>. The spring migration routes were plotted on the</w:t>
      </w:r>
      <w:r w:rsidR="001C2CF4">
        <w:t>se</w:t>
      </w:r>
      <w:r w:rsidR="001C2CF4" w:rsidRPr="00F02727">
        <w:t xml:space="preserve"> </w:t>
      </w:r>
      <w:r w:rsidR="0071003C">
        <w:t>individual-</w:t>
      </w:r>
      <w:r w:rsidR="001C2CF4">
        <w:t xml:space="preserve">specific </w:t>
      </w:r>
      <w:r w:rsidR="001C2CF4" w:rsidRPr="00F02727">
        <w:t>magnetic field envelopes</w:t>
      </w:r>
      <w:r w:rsidR="0074727F">
        <w:t>, and the proportion of migratory locations within this ‘experienced magnetic envelope</w:t>
      </w:r>
      <w:r w:rsidR="00B84DC5">
        <w:t>’ was calculated</w:t>
      </w:r>
      <w:r w:rsidR="001C2CF4" w:rsidRPr="00F02727">
        <w:t>.</w:t>
      </w:r>
    </w:p>
    <w:p w14:paraId="05F8EA0C" w14:textId="50504F75" w:rsidR="000B3592" w:rsidRPr="00F02727" w:rsidRDefault="00027B98" w:rsidP="009F7D8E">
      <w:pPr>
        <w:jc w:val="both"/>
      </w:pPr>
      <w:r w:rsidRPr="00F02727">
        <w:t xml:space="preserve">We used tracking data of </w:t>
      </w:r>
      <w:r w:rsidR="00B84DC5">
        <w:t>176</w:t>
      </w:r>
      <w:r w:rsidRPr="00F02727">
        <w:t xml:space="preserve"> Red Kites and </w:t>
      </w:r>
      <w:r w:rsidR="00B84DC5">
        <w:t>25</w:t>
      </w:r>
      <w:r w:rsidRPr="00F02727">
        <w:t xml:space="preserve"> Egyptian Vultures with at least one complete migratory circle (from the hatching location to the wintering sites and back to the breeding region). We classified migratory periods </w:t>
      </w:r>
      <w:r w:rsidR="006E55FE" w:rsidRPr="00F02727">
        <w:t>on a weekly (</w:t>
      </w:r>
      <w:r w:rsidR="00397B25">
        <w:t>R</w:t>
      </w:r>
      <w:r w:rsidR="006E55FE" w:rsidRPr="00F02727">
        <w:t xml:space="preserve">ed kites) and monthly (Egyptian </w:t>
      </w:r>
      <w:r w:rsidR="00397B25">
        <w:t>v</w:t>
      </w:r>
      <w:r w:rsidR="006E55FE" w:rsidRPr="00F02727">
        <w:t xml:space="preserve">ulture) basis </w:t>
      </w:r>
      <w:r w:rsidRPr="00F02727">
        <w:t xml:space="preserve">using a random forest model explicitly trained with manually </w:t>
      </w:r>
      <w:r w:rsidRPr="00F02727">
        <w:lastRenderedPageBreak/>
        <w:t>annotated migratory periods on each species from the same data set.</w:t>
      </w:r>
      <w:r w:rsidR="00324AEC" w:rsidRPr="00F02727">
        <w:t xml:space="preserve"> </w:t>
      </w:r>
      <w:r w:rsidR="00760331">
        <w:t xml:space="preserve">For Red kites, we paired the first autumn migration of each bird with the first spring migration in the following year; for Egyptian Vultures, </w:t>
      </w:r>
      <w:r w:rsidR="00AA1119">
        <w:t xml:space="preserve">we paired the first autumn migration with the first 2 spring migrations in any following year due to the </w:t>
      </w:r>
      <w:proofErr w:type="gramStart"/>
      <w:r w:rsidR="00AA1119">
        <w:t>sometimes protracted</w:t>
      </w:r>
      <w:proofErr w:type="gramEnd"/>
      <w:r w:rsidR="00AA1119">
        <w:t xml:space="preserve"> vagrancy of Egyptian Vultures on wintering grounds (first return migration often at ages &gt; 2 years)</w:t>
      </w:r>
      <w:r w:rsidR="00D6475F">
        <w:t>.</w:t>
      </w:r>
    </w:p>
    <w:p w14:paraId="1265566C" w14:textId="77777777" w:rsidR="0063515D" w:rsidRDefault="009F7D8E" w:rsidP="0063515D">
      <w:pPr>
        <w:jc w:val="both"/>
      </w:pPr>
      <w:r w:rsidRPr="00F02727">
        <w:t xml:space="preserve">All data and code </w:t>
      </w:r>
      <w:r w:rsidR="009F6619" w:rsidRPr="00F02727">
        <w:t>are</w:t>
      </w:r>
      <w:r w:rsidRPr="00F02727">
        <w:t xml:space="preserve"> available at </w:t>
      </w:r>
      <w:hyperlink r:id="rId10" w:history="1">
        <w:r w:rsidRPr="00F02727">
          <w:rPr>
            <w:rStyle w:val="Hyperlink"/>
          </w:rPr>
          <w:t>https://github.com/Vogelwarte/MagneticNavigation</w:t>
        </w:r>
      </w:hyperlink>
      <w:r w:rsidRPr="00F02727">
        <w:t>.</w:t>
      </w:r>
    </w:p>
    <w:p w14:paraId="3CD71EF2" w14:textId="52372A5D" w:rsidR="0090686A" w:rsidRPr="004E054D" w:rsidRDefault="009312F5" w:rsidP="004E054D">
      <w:pPr>
        <w:pStyle w:val="ListParagraph"/>
        <w:numPr>
          <w:ilvl w:val="0"/>
          <w:numId w:val="1"/>
        </w:numPr>
        <w:jc w:val="both"/>
        <w:rPr>
          <w:b/>
          <w:bCs/>
        </w:rPr>
      </w:pPr>
      <w:r w:rsidRPr="004E054D">
        <w:rPr>
          <w:b/>
          <w:bCs/>
        </w:rPr>
        <w:t>Results</w:t>
      </w:r>
    </w:p>
    <w:p w14:paraId="1D4975B6" w14:textId="77777777" w:rsidR="00826511" w:rsidRDefault="00F02727" w:rsidP="00BA2A90">
      <w:pPr>
        <w:jc w:val="both"/>
      </w:pPr>
      <w:r w:rsidRPr="00F02727">
        <w:t>Most</w:t>
      </w:r>
      <w:r w:rsidR="00BA2A90" w:rsidRPr="00F02727">
        <w:t xml:space="preserve"> Red Kites stay</w:t>
      </w:r>
      <w:r w:rsidRPr="00F02727">
        <w:t>ed</w:t>
      </w:r>
      <w:r w:rsidR="00BA2A90" w:rsidRPr="00F02727">
        <w:t xml:space="preserve"> within the </w:t>
      </w:r>
      <w:r w:rsidR="00A0569E">
        <w:t>envelope</w:t>
      </w:r>
      <w:r w:rsidR="00BA2A90" w:rsidRPr="00F02727">
        <w:t xml:space="preserve"> of </w:t>
      </w:r>
      <w:r w:rsidR="00A0569E">
        <w:t>their previously experienced</w:t>
      </w:r>
      <w:r w:rsidR="006E55FE" w:rsidRPr="00F02727">
        <w:t xml:space="preserve"> magnetic field </w:t>
      </w:r>
      <w:r w:rsidR="00BA2A90" w:rsidRPr="00F02727">
        <w:t>during their first</w:t>
      </w:r>
      <w:r w:rsidR="006E55FE" w:rsidRPr="00F02727">
        <w:t xml:space="preserve"> return journey in spring</w:t>
      </w:r>
      <w:r w:rsidR="009312F5">
        <w:t xml:space="preserve">, with an average of </w:t>
      </w:r>
      <w:r w:rsidR="00F16AD0">
        <w:t>18%</w:t>
      </w:r>
      <w:r w:rsidR="009312F5">
        <w:t xml:space="preserve"> of spring migration locations </w:t>
      </w:r>
      <w:r w:rsidR="00826511">
        <w:t>outside the previously experienced magnetic envelope (range 0 – 88%)</w:t>
      </w:r>
      <w:r w:rsidR="00BA2A90" w:rsidRPr="00F02727">
        <w:t>.</w:t>
      </w:r>
    </w:p>
    <w:p w14:paraId="3C8AFA71" w14:textId="00ED83A2" w:rsidR="00AE7C12" w:rsidRDefault="00AE7C12" w:rsidP="00BA2A90">
      <w:pPr>
        <w:jc w:val="both"/>
      </w:pPr>
      <w:r>
        <w:t xml:space="preserve">Egyptian Vultures had on </w:t>
      </w:r>
      <w:r>
        <w:t xml:space="preserve">average </w:t>
      </w:r>
      <w:r>
        <w:t>53</w:t>
      </w:r>
      <w:r>
        <w:t xml:space="preserve">% of spring migration locations outside the previously experienced magnetic envelope (range </w:t>
      </w:r>
      <w:r w:rsidR="00C90607">
        <w:t>1 - 100</w:t>
      </w:r>
      <w:r>
        <w:t>%)</w:t>
      </w:r>
      <w:r w:rsidRPr="00F02727">
        <w:t>.</w:t>
      </w:r>
    </w:p>
    <w:p w14:paraId="2C5D9325" w14:textId="0EB9745E" w:rsidR="00C23F8B" w:rsidRDefault="00C23F8B" w:rsidP="00BA2A90">
      <w:pPr>
        <w:jc w:val="both"/>
      </w:pPr>
      <w:r>
        <w:t>Raw output tables are here for Red Kites and for Egyptian Vultures.</w:t>
      </w:r>
    </w:p>
    <w:p w14:paraId="746BBF7E" w14:textId="15AD6237" w:rsidR="00C23F8B" w:rsidRDefault="004D1ED2" w:rsidP="00BA2A90">
      <w:pPr>
        <w:jc w:val="both"/>
      </w:pPr>
      <w:r>
        <w:t>All plots are collated here for Red Kites and for Egyptian Vultures.</w:t>
      </w:r>
    </w:p>
    <w:p w14:paraId="076A0633" w14:textId="3CB6F7BA" w:rsidR="00077E66" w:rsidRDefault="003E49EB" w:rsidP="00BA2A90">
      <w:pPr>
        <w:jc w:val="both"/>
      </w:pPr>
      <w:r>
        <w:t>D</w:t>
      </w:r>
      <w:r w:rsidR="00A6699D">
        <w:t>eviations from the autumn migration magnetic envelopes during spring migration could originate from various sources:</w:t>
      </w:r>
    </w:p>
    <w:p w14:paraId="4C80F602" w14:textId="77777777" w:rsidR="00C262DF" w:rsidRDefault="00226C06" w:rsidP="00077E66">
      <w:pPr>
        <w:pStyle w:val="ListParagraph"/>
        <w:numPr>
          <w:ilvl w:val="0"/>
          <w:numId w:val="2"/>
        </w:numPr>
        <w:jc w:val="both"/>
      </w:pPr>
      <w:r>
        <w:t xml:space="preserve">Birds explore geographic areas outside of distinct ‘migration’ periods. Thus, by </w:t>
      </w:r>
      <w:r w:rsidR="00C262DF">
        <w:t>focussing only on migratory periods we may miss periods of exploration for some young birds that may have exposed them to a broader magnetic field.</w:t>
      </w:r>
    </w:p>
    <w:p w14:paraId="1465DF14" w14:textId="0AF9C8F0" w:rsidR="00B32E82" w:rsidRDefault="00077E66" w:rsidP="00077E66">
      <w:pPr>
        <w:pStyle w:val="ListParagraph"/>
        <w:numPr>
          <w:ilvl w:val="0"/>
          <w:numId w:val="2"/>
        </w:numPr>
        <w:jc w:val="both"/>
      </w:pPr>
      <w:r>
        <w:t xml:space="preserve">For young Egyptian Vultures determining the first return migration is difficult due to a protracted period </w:t>
      </w:r>
      <w:r w:rsidR="00E43AD7">
        <w:t xml:space="preserve">of vagrancy/roaming in Africa (up to 3-4 years). These movements </w:t>
      </w:r>
      <w:r w:rsidR="00E23411">
        <w:t xml:space="preserve">lead to difficulties in </w:t>
      </w:r>
      <w:r w:rsidR="00B32E82">
        <w:t>determining</w:t>
      </w:r>
      <w:r w:rsidR="00E23411">
        <w:t xml:space="preserve"> migratory periods</w:t>
      </w:r>
      <w:r w:rsidR="00B32E82">
        <w:t>, and the birds obviously expand their envelope of experienced magnetic fields during those roaming phases as well</w:t>
      </w:r>
      <w:r w:rsidR="001B4014">
        <w:t xml:space="preserve"> (see for example Iliaz and Zara)</w:t>
      </w:r>
      <w:r w:rsidR="00C23F8B">
        <w:t>.</w:t>
      </w:r>
    </w:p>
    <w:p w14:paraId="62519DA8" w14:textId="5A2A8226" w:rsidR="00D55FDE" w:rsidRDefault="00E23411" w:rsidP="00077E66">
      <w:pPr>
        <w:pStyle w:val="ListParagraph"/>
        <w:numPr>
          <w:ilvl w:val="0"/>
          <w:numId w:val="2"/>
        </w:numPr>
        <w:jc w:val="both"/>
      </w:pPr>
      <w:r>
        <w:t xml:space="preserve">migratory periods </w:t>
      </w:r>
      <w:r w:rsidR="00D32C97">
        <w:t xml:space="preserve">were </w:t>
      </w:r>
      <w:r w:rsidR="001B7FD1">
        <w:t xml:space="preserve">determined </w:t>
      </w:r>
      <w:proofErr w:type="gramStart"/>
      <w:r w:rsidR="001B4014">
        <w:t>on a monthly basis</w:t>
      </w:r>
      <w:proofErr w:type="gramEnd"/>
      <w:r w:rsidR="001B4014">
        <w:t xml:space="preserve"> which might introduce classification errors</w:t>
      </w:r>
      <w:r w:rsidR="00A6699D">
        <w:t xml:space="preserve"> </w:t>
      </w:r>
      <w:r w:rsidR="001B7FD1">
        <w:t xml:space="preserve">when individuals remain stationary for extended periods (e.g. </w:t>
      </w:r>
      <w:r w:rsidR="001B4014">
        <w:t>Elizabeth).</w:t>
      </w:r>
    </w:p>
    <w:p w14:paraId="73D723E7" w14:textId="6E726268" w:rsidR="00912BD9" w:rsidRDefault="007E019A" w:rsidP="00077E66">
      <w:pPr>
        <w:pStyle w:val="ListParagraph"/>
        <w:numPr>
          <w:ilvl w:val="0"/>
          <w:numId w:val="2"/>
        </w:numPr>
        <w:jc w:val="both"/>
      </w:pPr>
      <w:r>
        <w:t>Red</w:t>
      </w:r>
      <w:r w:rsidR="00B37674">
        <w:t xml:space="preserve"> kite migratory routes are spatially restricted on the </w:t>
      </w:r>
      <w:proofErr w:type="gramStart"/>
      <w:r w:rsidR="00B37674">
        <w:t>Iberian peninsula</w:t>
      </w:r>
      <w:proofErr w:type="gramEnd"/>
      <w:r w:rsidR="00B37674">
        <w:t xml:space="preserve"> leading to less diverse migration routes </w:t>
      </w:r>
      <w:r w:rsidR="0002464F">
        <w:t xml:space="preserve">and the confinement to the previous magnetic envelope may be </w:t>
      </w:r>
      <w:r w:rsidR="005B1E16">
        <w:t>coincidental</w:t>
      </w:r>
      <w:r w:rsidR="00B37674">
        <w:t>.</w:t>
      </w:r>
    </w:p>
    <w:p w14:paraId="6D1DD99D" w14:textId="77777777" w:rsidR="009E6F10" w:rsidRDefault="009E6F10" w:rsidP="009E6F10">
      <w:pPr>
        <w:pStyle w:val="ListParagraph"/>
        <w:jc w:val="both"/>
      </w:pPr>
    </w:p>
    <w:p w14:paraId="5BB42030" w14:textId="3F3466A0" w:rsidR="007E019A" w:rsidRDefault="006152DC" w:rsidP="007E019A">
      <w:pPr>
        <w:pStyle w:val="ListParagraph"/>
        <w:numPr>
          <w:ilvl w:val="0"/>
          <w:numId w:val="1"/>
        </w:numPr>
        <w:jc w:val="both"/>
      </w:pPr>
      <w:r>
        <w:rPr>
          <w:b/>
          <w:bCs/>
        </w:rPr>
        <w:t>Next steps</w:t>
      </w:r>
    </w:p>
    <w:p w14:paraId="0F5A2D89" w14:textId="0FC84A77" w:rsidR="006152DC" w:rsidRDefault="006152DC" w:rsidP="00BA2A90">
      <w:pPr>
        <w:jc w:val="both"/>
      </w:pPr>
      <w:r>
        <w:t>Staying within the experienced magnetic field during the first spring migration appears to be the rule rather than exception.</w:t>
      </w:r>
    </w:p>
    <w:p w14:paraId="6172D3A5" w14:textId="7C2EC78B" w:rsidR="006565B4" w:rsidRDefault="006152DC" w:rsidP="00BA2A90">
      <w:pPr>
        <w:jc w:val="both"/>
      </w:pPr>
      <w:r>
        <w:t xml:space="preserve">Hence, the next steps could </w:t>
      </w:r>
      <w:r w:rsidR="00EA676C">
        <w:t xml:space="preserve">be to </w:t>
      </w:r>
      <w:r>
        <w:t xml:space="preserve">explore </w:t>
      </w:r>
      <w:r w:rsidR="00EA676C">
        <w:t xml:space="preserve">the exceptions when </w:t>
      </w:r>
      <w:r w:rsidR="00FB18FF">
        <w:t xml:space="preserve">raptors left the magnetic envelopes to investigate whether disruptions </w:t>
      </w:r>
      <w:r w:rsidR="007E019A">
        <w:t>of</w:t>
      </w:r>
      <w:r w:rsidR="00FB18FF">
        <w:t xml:space="preserve"> the magnetic field or other events such as </w:t>
      </w:r>
      <w:r w:rsidR="00E419DA">
        <w:t xml:space="preserve">meteorological </w:t>
      </w:r>
      <w:r w:rsidR="00FB18FF">
        <w:t xml:space="preserve">weather could have led to disorientation of naïve raptors. </w:t>
      </w:r>
      <w:r w:rsidR="00EA676C">
        <w:t xml:space="preserve">For Egyptian </w:t>
      </w:r>
      <w:r w:rsidR="00EA676C">
        <w:lastRenderedPageBreak/>
        <w:t>Vultures, severe dust storms in the Sahara may occasionally lead to abrupt route changes</w:t>
      </w:r>
      <w:r w:rsidR="00396BDA">
        <w:t xml:space="preserve"> irrespective of navigational cues (escape movements). </w:t>
      </w:r>
      <w:r w:rsidR="00FB18FF">
        <w:t xml:space="preserve">Therefore, the investigation of </w:t>
      </w:r>
      <w:r w:rsidR="00E419DA">
        <w:t xml:space="preserve">an index for the global geomagnetic activity (for example </w:t>
      </w:r>
      <w:proofErr w:type="spellStart"/>
      <w:r w:rsidR="00E419DA">
        <w:t>Kp</w:t>
      </w:r>
      <w:proofErr w:type="spellEnd"/>
      <w:r w:rsidR="00E419DA">
        <w:t xml:space="preserve">) might provide </w:t>
      </w:r>
      <w:r w:rsidR="007E019A">
        <w:t xml:space="preserve">further </w:t>
      </w:r>
      <w:r w:rsidR="00E419DA">
        <w:t xml:space="preserve">interesting insights </w:t>
      </w:r>
      <w:r w:rsidR="007E019A">
        <w:fldChar w:fldCharType="begin"/>
      </w:r>
      <w:r w:rsidR="007E019A">
        <w:instrText xml:space="preserve"> ADDIN ZOTERO_ITEM CSL_CITATION {"citationID":"KkcLgp29","properties":{"formattedCitation":"(Matzka, Bronkalla, et al., 2021; Matzka, Stolle, et al., 2021)","plainCitation":"(Matzka, Bronkalla, et al., 2021; Matzka, Stolle, et al., 2021)","noteIndex":0},"citationItems":[{"id":2286,"uris":["http://zotero.org/users/9898907/items/8I7F5LYD"],"itemData":{"id":2286,"type":"dataset","abstract":"This data publication includes the IAGA-endorsed Kp index of geomagnetic activity as well as the derived indices ap, Ap, Cp and C9 in their definitive and nowcast version and the International Quiet and Disturbed Days. This dataset is provided by GFZ and derived from indices or near real-time geomagnetic observatory data provided by 13 contributing observatories. The Kp index and the derived products are distributed by GFZ and they are redistributed by various data centers and databases. When using the Kp index or any of the derived products of this dataset, please cite this data publication as well as the accompanying publication Matzka et al. (2021), which serves as a contemporary reference for users and describes the dataset and the state of the Kp index 70 years after its introduction.\n\nThe Kp index \nThe Kp index was introduced by Bartels (1949). We follow here generally the notation of Bartels (1957). A comprehensive list of references on the Kp index is provided in Matzka et al. (2021), which also describes the near real-time distribution of the indices. \n\nDOI and versioning\nWith the introduction of the DOI ‘https://doi.org/10.5880/Kp.0001’ for the dataset, the DOI landing page and the associated FTP server linked to this DOI become the dataset's primary archive (while the other established index distribution mechanisms at GFZ will be maintained in parallel). With the DOI, the dataset can grow with time, but a change of the data, once published, is not possible. If necessity arises in the future to correct already published values, then the corrected dataset will be published with a new DOI. Older DOIs and data sets will then still be available. For each DOI, an additional versioning mechanism will be available to document changes to the files such as format changes, which do not affect the integrity of the data. The DOI 10.5880/Kp.0001 identifies the current version.","DOI":"10.5880/KP.0001","license":"Creative Commons Attribution 4.0 International","publisher":"GFZ Data Services","source":"DOI.org (Datacite)","title":"Geomagnetic Kp index","URL":"https://dataservices.gfz-potsdam.de/panmetaworks/showshort.php?id=escidoc:5216888","version":"1.0","author":[{"family":"Matzka","given":"Jürgen"},{"family":"Bronkalla","given":"Oliver"},{"family":"Tornow","given":"Katrin"},{"family":"Elger","given":"Kirsten"},{"family":"Stolle","given":"Claudia"}],"contributor":[{"family":"Matzka","given":"Jürgen"},{"family":"Bronkalla","given":"Oliver"},{"family":"Tornow","given":"Katrin"},{"family":"Stolle","given":"Claudia"},{"family":"Baillie","given":"Orsi"},{"family":"Blais","given":"Charles"},{"family":"Calp","given":"David"},{"family":"Clarke","given":"Ellen"},{"family":"Claycomb","given":"Abram"},{"family":"Haseloff","given":"Jürgen"},{"family":"Lewis","given":"Andrew"},{"family":"Linthe","given":"Achim"},{"family":"Morris","given":"Jake"},{"family":"Morschhauser","given":"Achim"},{"family":"Petersen","given":"Tanja"},{"family":"Reay","given":"Sarah"},{"family":"Schwarz","given":"Gerhard"},{"family":"Willer","given":"Anna Naemi"},{"family":"Worthington","given":"Bill"},{"literal":"Geomagnetic Observatory Canberra (CNB) Maintained By: Geoscience Australia (Australia)"},{"literal":"Geomagnetic Observatory Brorfelde (BFE) Maintained By: Technical University Of Denmark (Denmark)"},{"literal":"Geomagnetic Observatory Eskdalemuir (ESK) Maintained By: British Geological Survey (UK)"},{"literal":"Geomagnetic Observatory Eyrewell (EYR) Maintained By: GNS Science (New Zealand)"},{"literal":"Geomagnetic Observatory Fredericksburg (FRD) Maintained By: U.S. Geological Survey (US)"},{"literal":"Geomagnetic Observatory Hartland (HAD) Maintained By: British Geological Survey (UK)"},{"literal":"Geomagnetic Observatory Lerwick (LER) Maintained By: British Geological Survey (UK)"},{"literal":"Geomagnetic Observatory Meanook (MEA) Maintained By: Natural Resources Canada (Canada)"},{"literal":"Geomagnetic Observatory Niemegk (NGK) Maintained By: GFZ German Research Centre For Geosciences (Germany)"},{"literal":"Geomagnetic Observatory Ottawa (OTT) Maintained By: Natural Resources Canada (Canada)"},{"literal":"Geomagnetic Observatory Sitka (SIT) Maintained By: U.S. Geological Survey (US)"},{"literal":"Geomagnetic Observatory Uppsala (UPS) Maintained By: Geological Survey Of Sweden (Sweden)"},{"literal":"Geomagnetic Observatory Wingst (WNG) Maintained By: GFZ German Research Centre For Geosciences (Germany)"}],"accessed":{"date-parts":[["2024",12,17]]},"issued":{"date-parts":[["2021"]]}}},{"id":2281,"uris":["http://zotero.org/users/9898907/items/IUKWUEXI"],"itemData":{"id":2281,"type":"article-journal","abstract":"The geomagnetic Kp index is one of the most extensively used indices of geomagnetic activity, both for scientific and operational purposes. This article reviews the properties of the Kp index and provides a reference for users of the Kp index and associated data products as derived and distributed by the GFZ German Research Centre for Geosciences. The near real-time production of the nowcast Kp index is of particular interest for space weather services and here we describe and evaluate its current setup.","container-title":"Space Weather","DOI":"10.1029/2020SW002641","ISSN":"1542-7390","issue":"5","language":"en","license":"© 2021. The Authors.","note":"_eprint: https://onlinelibrary.wiley.com/doi/pdf/10.1029/2020SW002641","page":"e2020SW002641","source":"Wiley Online Library","title":"The Geomagnetic Kp Index and Derived Indices of Geomagnetic Activity","volume":"19","author":[{"family":"Matzka","given":"J."},{"family":"Stolle","given":"C."},{"family":"Yamazaki","given":"Y."},{"family":"Bronkalla","given":"O."},{"family":"Morschhauser","given":"A."}],"issued":{"date-parts":[["2021"]]}}}],"schema":"https://github.com/citation-style-language/schema/raw/master/csl-citation.json"} </w:instrText>
      </w:r>
      <w:r w:rsidR="007E019A">
        <w:fldChar w:fldCharType="separate"/>
      </w:r>
      <w:r w:rsidR="007E019A" w:rsidRPr="007E019A">
        <w:rPr>
          <w:rFonts w:ascii="Aptos" w:hAnsi="Aptos"/>
        </w:rPr>
        <w:t>(Matzka, Bronkalla, et al., 2021; Matzka, Stolle, et al., 2021)</w:t>
      </w:r>
      <w:r w:rsidR="007E019A">
        <w:fldChar w:fldCharType="end"/>
      </w:r>
      <w:r w:rsidR="00E419DA">
        <w:t xml:space="preserve">. </w:t>
      </w:r>
    </w:p>
    <w:p w14:paraId="0295FFD1" w14:textId="5204F178" w:rsidR="001B69B8" w:rsidRPr="00F02727" w:rsidRDefault="001B69B8" w:rsidP="001B69B8">
      <w:pPr>
        <w:pStyle w:val="ListParagraph"/>
        <w:numPr>
          <w:ilvl w:val="0"/>
          <w:numId w:val="1"/>
        </w:numPr>
        <w:rPr>
          <w:b/>
          <w:bCs/>
        </w:rPr>
      </w:pPr>
      <w:r w:rsidRPr="00F02727">
        <w:rPr>
          <w:b/>
          <w:bCs/>
        </w:rPr>
        <w:t xml:space="preserve">References </w:t>
      </w:r>
    </w:p>
    <w:p w14:paraId="1EA96321" w14:textId="77777777" w:rsidR="00912BD9" w:rsidRPr="00912BD9" w:rsidRDefault="00B43CB7" w:rsidP="00912BD9">
      <w:pPr>
        <w:pStyle w:val="Bibliography"/>
        <w:spacing w:line="276" w:lineRule="auto"/>
        <w:rPr>
          <w:rFonts w:ascii="Aptos" w:hAnsi="Aptos"/>
        </w:rPr>
      </w:pPr>
      <w:r>
        <w:fldChar w:fldCharType="begin"/>
      </w:r>
      <w:r>
        <w:instrText xml:space="preserve"> ADDIN ZOTERO_BIBL {"uncited":[],"omitted":[],"custom":[]} CSL_BIBLIOGRAPHY </w:instrText>
      </w:r>
      <w:r>
        <w:fldChar w:fldCharType="separate"/>
      </w:r>
      <w:r w:rsidR="00912BD9" w:rsidRPr="00912BD9">
        <w:rPr>
          <w:rFonts w:ascii="Aptos" w:hAnsi="Aptos"/>
        </w:rPr>
        <w:t xml:space="preserve">Alken, P., Thébault, E., Beggan, C. D., Amit, H., Aubert, J., Baerenzung, J., Bondar, T. N., Brown, W. J., Califf, S., Chambodut, A., Chulliat, A., Cox, G. A., Finlay, C. C., Fournier, A., Gillet, N., Grayver, A., Hammer, M. D., Holschneider, M., Huder, L., … Zhou, B. (2021). International Geomagnetic Reference Field: The thirteenth generation. </w:t>
      </w:r>
      <w:r w:rsidR="00912BD9" w:rsidRPr="00912BD9">
        <w:rPr>
          <w:rFonts w:ascii="Aptos" w:hAnsi="Aptos"/>
          <w:i/>
          <w:iCs/>
        </w:rPr>
        <w:t>Earth, Planets and Space</w:t>
      </w:r>
      <w:r w:rsidR="00912BD9" w:rsidRPr="00912BD9">
        <w:rPr>
          <w:rFonts w:ascii="Aptos" w:hAnsi="Aptos"/>
        </w:rPr>
        <w:t xml:space="preserve">, </w:t>
      </w:r>
      <w:r w:rsidR="00912BD9" w:rsidRPr="00912BD9">
        <w:rPr>
          <w:rFonts w:ascii="Aptos" w:hAnsi="Aptos"/>
          <w:i/>
          <w:iCs/>
        </w:rPr>
        <w:t>73</w:t>
      </w:r>
      <w:r w:rsidR="00912BD9" w:rsidRPr="00912BD9">
        <w:rPr>
          <w:rFonts w:ascii="Aptos" w:hAnsi="Aptos"/>
        </w:rPr>
        <w:t>(1), 49. https://doi.org/10.1186/s40623-020-01288-x</w:t>
      </w:r>
    </w:p>
    <w:p w14:paraId="634CAFF2" w14:textId="77777777" w:rsidR="00912BD9" w:rsidRPr="00912BD9" w:rsidRDefault="00912BD9" w:rsidP="00912BD9">
      <w:pPr>
        <w:pStyle w:val="Bibliography"/>
        <w:spacing w:line="276" w:lineRule="auto"/>
        <w:rPr>
          <w:rFonts w:ascii="Aptos" w:hAnsi="Aptos"/>
        </w:rPr>
      </w:pPr>
      <w:r w:rsidRPr="00912BD9">
        <w:rPr>
          <w:rFonts w:ascii="Aptos" w:hAnsi="Aptos"/>
          <w:lang w:val="de-DE"/>
        </w:rPr>
        <w:t xml:space="preserve">Guilford, T., Åkesson, S., Gagliardo, A., Holland, R. A., Mouritsen, H., Muheim, R., Wiltschko, R., Wiltschko, W., &amp; Bingman, V. P. (2011). </w:t>
      </w:r>
      <w:r w:rsidRPr="00912BD9">
        <w:rPr>
          <w:rFonts w:ascii="Aptos" w:hAnsi="Aptos"/>
        </w:rPr>
        <w:t xml:space="preserve">Migratory navigation in birds: New opportunities in an era of fast-developing tracking technology. </w:t>
      </w:r>
      <w:r w:rsidRPr="00912BD9">
        <w:rPr>
          <w:rFonts w:ascii="Aptos" w:hAnsi="Aptos"/>
          <w:i/>
          <w:iCs/>
        </w:rPr>
        <w:t>Journal of Experimental Biology</w:t>
      </w:r>
      <w:r w:rsidRPr="00912BD9">
        <w:rPr>
          <w:rFonts w:ascii="Aptos" w:hAnsi="Aptos"/>
        </w:rPr>
        <w:t xml:space="preserve">, </w:t>
      </w:r>
      <w:r w:rsidRPr="00912BD9">
        <w:rPr>
          <w:rFonts w:ascii="Aptos" w:hAnsi="Aptos"/>
          <w:i/>
          <w:iCs/>
        </w:rPr>
        <w:t>214</w:t>
      </w:r>
      <w:r w:rsidRPr="00912BD9">
        <w:rPr>
          <w:rFonts w:ascii="Aptos" w:hAnsi="Aptos"/>
        </w:rPr>
        <w:t>(22), 3705–3712. https://doi.org/10.1242/jeb.051292</w:t>
      </w:r>
    </w:p>
    <w:p w14:paraId="1006B148" w14:textId="77777777" w:rsidR="00912BD9" w:rsidRPr="00912BD9" w:rsidRDefault="00912BD9" w:rsidP="00912BD9">
      <w:pPr>
        <w:pStyle w:val="Bibliography"/>
        <w:spacing w:line="276" w:lineRule="auto"/>
        <w:rPr>
          <w:rFonts w:ascii="Aptos" w:hAnsi="Aptos"/>
        </w:rPr>
      </w:pPr>
      <w:r w:rsidRPr="00912BD9">
        <w:rPr>
          <w:rFonts w:ascii="Aptos" w:hAnsi="Aptos"/>
        </w:rPr>
        <w:t xml:space="preserve">Kelley, D., &amp; Richards, C. (2024). </w:t>
      </w:r>
      <w:r w:rsidRPr="00912BD9">
        <w:rPr>
          <w:rFonts w:ascii="Aptos" w:hAnsi="Aptos"/>
          <w:i/>
          <w:iCs/>
        </w:rPr>
        <w:t>oce: Analysis of Oceanographic Data</w:t>
      </w:r>
      <w:r w:rsidRPr="00912BD9">
        <w:rPr>
          <w:rFonts w:ascii="Aptos" w:hAnsi="Aptos"/>
        </w:rPr>
        <w:t xml:space="preserve"> (Version 1.8-3) [R]. https://CRAN.R-project.org/package=oce</w:t>
      </w:r>
    </w:p>
    <w:p w14:paraId="6BCBCCE1" w14:textId="77777777" w:rsidR="00912BD9" w:rsidRPr="00912BD9" w:rsidRDefault="00912BD9" w:rsidP="00912BD9">
      <w:pPr>
        <w:pStyle w:val="Bibliography"/>
        <w:spacing w:line="276" w:lineRule="auto"/>
        <w:rPr>
          <w:rFonts w:ascii="Aptos" w:hAnsi="Aptos"/>
        </w:rPr>
      </w:pPr>
      <w:r w:rsidRPr="00912BD9">
        <w:rPr>
          <w:rFonts w:ascii="Aptos" w:hAnsi="Aptos"/>
        </w:rPr>
        <w:t xml:space="preserve">Matzka, J., Bronkalla, O., Tornow, K., Elger, K., &amp; Stolle, C. (2021). </w:t>
      </w:r>
      <w:r w:rsidRPr="00912BD9">
        <w:rPr>
          <w:rFonts w:ascii="Aptos" w:hAnsi="Aptos"/>
          <w:i/>
          <w:iCs/>
        </w:rPr>
        <w:t>Geomagnetic Kp index</w:t>
      </w:r>
      <w:r w:rsidRPr="00912BD9">
        <w:rPr>
          <w:rFonts w:ascii="Aptos" w:hAnsi="Aptos"/>
        </w:rPr>
        <w:t xml:space="preserve"> (Version 1.0) [Dataset]. GFZ Data Services. https://doi.org/10.5880/KP.0001</w:t>
      </w:r>
    </w:p>
    <w:p w14:paraId="047FB6A6" w14:textId="77777777" w:rsidR="00912BD9" w:rsidRPr="00912BD9" w:rsidRDefault="00912BD9" w:rsidP="00912BD9">
      <w:pPr>
        <w:pStyle w:val="Bibliography"/>
        <w:spacing w:line="276" w:lineRule="auto"/>
        <w:rPr>
          <w:rFonts w:ascii="Aptos" w:hAnsi="Aptos"/>
        </w:rPr>
      </w:pPr>
      <w:r w:rsidRPr="00912BD9">
        <w:rPr>
          <w:rFonts w:ascii="Aptos" w:hAnsi="Aptos"/>
        </w:rPr>
        <w:t xml:space="preserve">Matzka, J., Stolle, C., Yamazaki, Y., Bronkalla, O., &amp; Morschhauser, A. (2021). The Geomagnetic Kp Index and Derived Indices of Geomagnetic Activity. </w:t>
      </w:r>
      <w:r w:rsidRPr="00912BD9">
        <w:rPr>
          <w:rFonts w:ascii="Aptos" w:hAnsi="Aptos"/>
          <w:i/>
          <w:iCs/>
        </w:rPr>
        <w:t>Space Weather</w:t>
      </w:r>
      <w:r w:rsidRPr="00912BD9">
        <w:rPr>
          <w:rFonts w:ascii="Aptos" w:hAnsi="Aptos"/>
        </w:rPr>
        <w:t xml:space="preserve">, </w:t>
      </w:r>
      <w:r w:rsidRPr="00912BD9">
        <w:rPr>
          <w:rFonts w:ascii="Aptos" w:hAnsi="Aptos"/>
          <w:i/>
          <w:iCs/>
        </w:rPr>
        <w:t>19</w:t>
      </w:r>
      <w:r w:rsidRPr="00912BD9">
        <w:rPr>
          <w:rFonts w:ascii="Aptos" w:hAnsi="Aptos"/>
        </w:rPr>
        <w:t>(5), e2020SW002641. https://doi.org/10.1029/2020SW002641</w:t>
      </w:r>
    </w:p>
    <w:p w14:paraId="328EA8CA" w14:textId="77777777" w:rsidR="00912BD9" w:rsidRPr="00912BD9" w:rsidRDefault="00912BD9" w:rsidP="00912BD9">
      <w:pPr>
        <w:pStyle w:val="Bibliography"/>
        <w:spacing w:line="276" w:lineRule="auto"/>
        <w:rPr>
          <w:rFonts w:ascii="Aptos" w:hAnsi="Aptos"/>
        </w:rPr>
      </w:pPr>
      <w:r w:rsidRPr="00912BD9">
        <w:rPr>
          <w:rFonts w:ascii="Aptos" w:hAnsi="Aptos"/>
        </w:rPr>
        <w:t xml:space="preserve">Schneider, W. T., Packmor, F., Lindecke, O., &amp; Holland, R. A. (2023). Sense of doubt: Inaccurate and alternate locations of virtual magnetic displacements may give a distorted view of animal magnetoreception ability. </w:t>
      </w:r>
      <w:r w:rsidRPr="00912BD9">
        <w:rPr>
          <w:rFonts w:ascii="Aptos" w:hAnsi="Aptos"/>
          <w:i/>
          <w:iCs/>
        </w:rPr>
        <w:t>Communications Biology</w:t>
      </w:r>
      <w:r w:rsidRPr="00912BD9">
        <w:rPr>
          <w:rFonts w:ascii="Aptos" w:hAnsi="Aptos"/>
        </w:rPr>
        <w:t xml:space="preserve">, </w:t>
      </w:r>
      <w:r w:rsidRPr="00912BD9">
        <w:rPr>
          <w:rFonts w:ascii="Aptos" w:hAnsi="Aptos"/>
          <w:i/>
          <w:iCs/>
        </w:rPr>
        <w:t>6</w:t>
      </w:r>
      <w:r w:rsidRPr="00912BD9">
        <w:rPr>
          <w:rFonts w:ascii="Aptos" w:hAnsi="Aptos"/>
        </w:rPr>
        <w:t>(1), 1–8. https://doi.org/10.1038/s42003-023-04530-w</w:t>
      </w:r>
    </w:p>
    <w:p w14:paraId="25EE26D9" w14:textId="77777777" w:rsidR="00912BD9" w:rsidRPr="00912BD9" w:rsidRDefault="00912BD9" w:rsidP="00912BD9">
      <w:pPr>
        <w:pStyle w:val="Bibliography"/>
        <w:spacing w:line="276" w:lineRule="auto"/>
        <w:rPr>
          <w:rFonts w:ascii="Aptos" w:hAnsi="Aptos"/>
        </w:rPr>
      </w:pPr>
      <w:r w:rsidRPr="00912BD9">
        <w:rPr>
          <w:rFonts w:ascii="Aptos" w:hAnsi="Aptos"/>
        </w:rPr>
        <w:t xml:space="preserve">Wiltschko, R., &amp; Wiltschko, W. (2022). The discovery of the use of magnetic navigational information. </w:t>
      </w:r>
      <w:r w:rsidRPr="00912BD9">
        <w:rPr>
          <w:rFonts w:ascii="Aptos" w:hAnsi="Aptos"/>
          <w:i/>
          <w:iCs/>
        </w:rPr>
        <w:t>Journal of Comparative Physiology A</w:t>
      </w:r>
      <w:r w:rsidRPr="00912BD9">
        <w:rPr>
          <w:rFonts w:ascii="Aptos" w:hAnsi="Aptos"/>
        </w:rPr>
        <w:t xml:space="preserve">, </w:t>
      </w:r>
      <w:r w:rsidRPr="00912BD9">
        <w:rPr>
          <w:rFonts w:ascii="Aptos" w:hAnsi="Aptos"/>
          <w:i/>
          <w:iCs/>
        </w:rPr>
        <w:t>208</w:t>
      </w:r>
      <w:r w:rsidRPr="00912BD9">
        <w:rPr>
          <w:rFonts w:ascii="Aptos" w:hAnsi="Aptos"/>
        </w:rPr>
        <w:t>(1), 9–18. https://doi.org/10.1007/s00359-021-01507-0</w:t>
      </w:r>
    </w:p>
    <w:p w14:paraId="3C552807" w14:textId="3922E3D3" w:rsidR="00912BD9" w:rsidRPr="00912BD9" w:rsidRDefault="00912BD9" w:rsidP="00912BD9">
      <w:pPr>
        <w:pStyle w:val="Bibliography"/>
        <w:spacing w:line="276" w:lineRule="auto"/>
        <w:rPr>
          <w:rFonts w:ascii="Aptos" w:hAnsi="Aptos"/>
        </w:rPr>
      </w:pPr>
    </w:p>
    <w:p w14:paraId="08A22675" w14:textId="11F5F6B4" w:rsidR="001B69B8" w:rsidRPr="00F02727" w:rsidRDefault="00B43CB7" w:rsidP="00912BD9">
      <w:pPr>
        <w:spacing w:line="276" w:lineRule="auto"/>
      </w:pPr>
      <w:r>
        <w:fldChar w:fldCharType="end"/>
      </w:r>
    </w:p>
    <w:sectPr w:rsidR="001B69B8" w:rsidRPr="00F02727" w:rsidSect="0090686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6DD8C" w14:textId="77777777" w:rsidR="005F4BAF" w:rsidRDefault="005F4BAF" w:rsidP="005F4BAF">
      <w:pPr>
        <w:spacing w:after="0" w:line="240" w:lineRule="auto"/>
      </w:pPr>
      <w:r>
        <w:separator/>
      </w:r>
    </w:p>
  </w:endnote>
  <w:endnote w:type="continuationSeparator" w:id="0">
    <w:p w14:paraId="1FA23621" w14:textId="77777777" w:rsidR="005F4BAF" w:rsidRDefault="005F4BAF" w:rsidP="005F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12390" w14:textId="77777777" w:rsidR="005F4BAF" w:rsidRDefault="005F4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598380"/>
      <w:docPartObj>
        <w:docPartGallery w:val="Page Numbers (Bottom of Page)"/>
        <w:docPartUnique/>
      </w:docPartObj>
    </w:sdtPr>
    <w:sdtEndPr>
      <w:rPr>
        <w:noProof/>
      </w:rPr>
    </w:sdtEndPr>
    <w:sdtContent>
      <w:p w14:paraId="1144EC9C" w14:textId="6C1B9DF5" w:rsidR="005F4BAF" w:rsidRDefault="005F4B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A319B" w14:textId="77777777" w:rsidR="005F4BAF" w:rsidRDefault="005F4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9EFC" w14:textId="77777777" w:rsidR="005F4BAF" w:rsidRDefault="005F4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76EBA" w14:textId="77777777" w:rsidR="005F4BAF" w:rsidRDefault="005F4BAF" w:rsidP="005F4BAF">
      <w:pPr>
        <w:spacing w:after="0" w:line="240" w:lineRule="auto"/>
      </w:pPr>
      <w:r>
        <w:separator/>
      </w:r>
    </w:p>
  </w:footnote>
  <w:footnote w:type="continuationSeparator" w:id="0">
    <w:p w14:paraId="18F74B40" w14:textId="77777777" w:rsidR="005F4BAF" w:rsidRDefault="005F4BAF" w:rsidP="005F4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B7D62" w14:textId="77777777" w:rsidR="005F4BAF" w:rsidRDefault="005F4B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8C5D1" w14:textId="77777777" w:rsidR="005F4BAF" w:rsidRDefault="005F4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E096A" w14:textId="77777777" w:rsidR="005F4BAF" w:rsidRDefault="005F4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46D59"/>
    <w:multiLevelType w:val="hybridMultilevel"/>
    <w:tmpl w:val="3BC8DF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F5E2638"/>
    <w:multiLevelType w:val="hybridMultilevel"/>
    <w:tmpl w:val="2B40C47A"/>
    <w:lvl w:ilvl="0" w:tplc="B734B7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371472">
    <w:abstractNumId w:val="0"/>
  </w:num>
  <w:num w:numId="2" w16cid:durableId="7216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A9"/>
    <w:rsid w:val="00013652"/>
    <w:rsid w:val="00020D25"/>
    <w:rsid w:val="0002464F"/>
    <w:rsid w:val="00027B98"/>
    <w:rsid w:val="00027DF4"/>
    <w:rsid w:val="000349A8"/>
    <w:rsid w:val="00041EA8"/>
    <w:rsid w:val="00077E66"/>
    <w:rsid w:val="000A4F56"/>
    <w:rsid w:val="000B3592"/>
    <w:rsid w:val="00134D0D"/>
    <w:rsid w:val="001B4014"/>
    <w:rsid w:val="001B69B8"/>
    <w:rsid w:val="001B7FD1"/>
    <w:rsid w:val="001C2CF4"/>
    <w:rsid w:val="00226C06"/>
    <w:rsid w:val="0027135A"/>
    <w:rsid w:val="00324AEC"/>
    <w:rsid w:val="0038303D"/>
    <w:rsid w:val="00396BDA"/>
    <w:rsid w:val="00397B25"/>
    <w:rsid w:val="003B51EA"/>
    <w:rsid w:val="003C12B7"/>
    <w:rsid w:val="003E49EB"/>
    <w:rsid w:val="003F4079"/>
    <w:rsid w:val="00400C17"/>
    <w:rsid w:val="00404643"/>
    <w:rsid w:val="004233A1"/>
    <w:rsid w:val="00452FA0"/>
    <w:rsid w:val="004579EC"/>
    <w:rsid w:val="00480E0B"/>
    <w:rsid w:val="004D1ED2"/>
    <w:rsid w:val="004E054D"/>
    <w:rsid w:val="00512175"/>
    <w:rsid w:val="005140D1"/>
    <w:rsid w:val="005B1E16"/>
    <w:rsid w:val="005B48DE"/>
    <w:rsid w:val="005F4BAF"/>
    <w:rsid w:val="00600731"/>
    <w:rsid w:val="00605641"/>
    <w:rsid w:val="006152DC"/>
    <w:rsid w:val="0063515D"/>
    <w:rsid w:val="006565B4"/>
    <w:rsid w:val="006C398A"/>
    <w:rsid w:val="006E55FE"/>
    <w:rsid w:val="006F1EB0"/>
    <w:rsid w:val="0071003C"/>
    <w:rsid w:val="00736D5E"/>
    <w:rsid w:val="0074727F"/>
    <w:rsid w:val="00760331"/>
    <w:rsid w:val="0079142D"/>
    <w:rsid w:val="007915C6"/>
    <w:rsid w:val="007C0FBD"/>
    <w:rsid w:val="007C1174"/>
    <w:rsid w:val="007E019A"/>
    <w:rsid w:val="0080321E"/>
    <w:rsid w:val="00826511"/>
    <w:rsid w:val="00841629"/>
    <w:rsid w:val="00842A9D"/>
    <w:rsid w:val="0088744F"/>
    <w:rsid w:val="00890514"/>
    <w:rsid w:val="008A3F9F"/>
    <w:rsid w:val="0090686A"/>
    <w:rsid w:val="00912BD9"/>
    <w:rsid w:val="009312F5"/>
    <w:rsid w:val="00945AF4"/>
    <w:rsid w:val="00963725"/>
    <w:rsid w:val="009751E1"/>
    <w:rsid w:val="009C66F8"/>
    <w:rsid w:val="009E6F10"/>
    <w:rsid w:val="009F6619"/>
    <w:rsid w:val="009F7D8E"/>
    <w:rsid w:val="00A0569E"/>
    <w:rsid w:val="00A057A1"/>
    <w:rsid w:val="00A54041"/>
    <w:rsid w:val="00A6699D"/>
    <w:rsid w:val="00AA1119"/>
    <w:rsid w:val="00AD3C82"/>
    <w:rsid w:val="00AE7C12"/>
    <w:rsid w:val="00B050CB"/>
    <w:rsid w:val="00B109A9"/>
    <w:rsid w:val="00B32E82"/>
    <w:rsid w:val="00B37674"/>
    <w:rsid w:val="00B43CB7"/>
    <w:rsid w:val="00B84DC5"/>
    <w:rsid w:val="00BA2A90"/>
    <w:rsid w:val="00BD650A"/>
    <w:rsid w:val="00BF693E"/>
    <w:rsid w:val="00C23F8B"/>
    <w:rsid w:val="00C262DF"/>
    <w:rsid w:val="00C34FA9"/>
    <w:rsid w:val="00C50026"/>
    <w:rsid w:val="00C90607"/>
    <w:rsid w:val="00CC6FEB"/>
    <w:rsid w:val="00CE0DE8"/>
    <w:rsid w:val="00CF7A58"/>
    <w:rsid w:val="00D32C97"/>
    <w:rsid w:val="00D46131"/>
    <w:rsid w:val="00D55FDE"/>
    <w:rsid w:val="00D6475F"/>
    <w:rsid w:val="00DA364E"/>
    <w:rsid w:val="00DE11B8"/>
    <w:rsid w:val="00E23411"/>
    <w:rsid w:val="00E419DA"/>
    <w:rsid w:val="00E42586"/>
    <w:rsid w:val="00E43AD7"/>
    <w:rsid w:val="00E7007B"/>
    <w:rsid w:val="00EA676C"/>
    <w:rsid w:val="00EB535A"/>
    <w:rsid w:val="00ED3655"/>
    <w:rsid w:val="00ED408C"/>
    <w:rsid w:val="00EF73F9"/>
    <w:rsid w:val="00EF7AA3"/>
    <w:rsid w:val="00F02727"/>
    <w:rsid w:val="00F16AD0"/>
    <w:rsid w:val="00FB1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47BD"/>
  <w15:chartTrackingRefBased/>
  <w15:docId w15:val="{5B23280B-4A27-4484-B25C-2ABC44D7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F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F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F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F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F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F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FA9"/>
    <w:rPr>
      <w:rFonts w:eastAsiaTheme="majorEastAsia" w:cstheme="majorBidi"/>
      <w:color w:val="272727" w:themeColor="text1" w:themeTint="D8"/>
    </w:rPr>
  </w:style>
  <w:style w:type="paragraph" w:styleId="Title">
    <w:name w:val="Title"/>
    <w:basedOn w:val="Normal"/>
    <w:next w:val="Normal"/>
    <w:link w:val="TitleChar"/>
    <w:uiPriority w:val="10"/>
    <w:qFormat/>
    <w:rsid w:val="00C34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FA9"/>
    <w:pPr>
      <w:spacing w:before="160"/>
      <w:jc w:val="center"/>
    </w:pPr>
    <w:rPr>
      <w:i/>
      <w:iCs/>
      <w:color w:val="404040" w:themeColor="text1" w:themeTint="BF"/>
    </w:rPr>
  </w:style>
  <w:style w:type="character" w:customStyle="1" w:styleId="QuoteChar">
    <w:name w:val="Quote Char"/>
    <w:basedOn w:val="DefaultParagraphFont"/>
    <w:link w:val="Quote"/>
    <w:uiPriority w:val="29"/>
    <w:rsid w:val="00C34FA9"/>
    <w:rPr>
      <w:i/>
      <w:iCs/>
      <w:color w:val="404040" w:themeColor="text1" w:themeTint="BF"/>
    </w:rPr>
  </w:style>
  <w:style w:type="paragraph" w:styleId="ListParagraph">
    <w:name w:val="List Paragraph"/>
    <w:basedOn w:val="Normal"/>
    <w:uiPriority w:val="34"/>
    <w:qFormat/>
    <w:rsid w:val="00C34FA9"/>
    <w:pPr>
      <w:ind w:left="720"/>
      <w:contextualSpacing/>
    </w:pPr>
  </w:style>
  <w:style w:type="character" w:styleId="IntenseEmphasis">
    <w:name w:val="Intense Emphasis"/>
    <w:basedOn w:val="DefaultParagraphFont"/>
    <w:uiPriority w:val="21"/>
    <w:qFormat/>
    <w:rsid w:val="00C34FA9"/>
    <w:rPr>
      <w:i/>
      <w:iCs/>
      <w:color w:val="0F4761" w:themeColor="accent1" w:themeShade="BF"/>
    </w:rPr>
  </w:style>
  <w:style w:type="paragraph" w:styleId="IntenseQuote">
    <w:name w:val="Intense Quote"/>
    <w:basedOn w:val="Normal"/>
    <w:next w:val="Normal"/>
    <w:link w:val="IntenseQuoteChar"/>
    <w:uiPriority w:val="30"/>
    <w:qFormat/>
    <w:rsid w:val="00C34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FA9"/>
    <w:rPr>
      <w:i/>
      <w:iCs/>
      <w:color w:val="0F4761" w:themeColor="accent1" w:themeShade="BF"/>
    </w:rPr>
  </w:style>
  <w:style w:type="character" w:styleId="IntenseReference">
    <w:name w:val="Intense Reference"/>
    <w:basedOn w:val="DefaultParagraphFont"/>
    <w:uiPriority w:val="32"/>
    <w:qFormat/>
    <w:rsid w:val="00C34FA9"/>
    <w:rPr>
      <w:b/>
      <w:bCs/>
      <w:smallCaps/>
      <w:color w:val="0F4761" w:themeColor="accent1" w:themeShade="BF"/>
      <w:spacing w:val="5"/>
    </w:rPr>
  </w:style>
  <w:style w:type="character" w:styleId="Hyperlink">
    <w:name w:val="Hyperlink"/>
    <w:basedOn w:val="DefaultParagraphFont"/>
    <w:uiPriority w:val="99"/>
    <w:unhideWhenUsed/>
    <w:rsid w:val="009F7D8E"/>
    <w:rPr>
      <w:color w:val="467886" w:themeColor="hyperlink"/>
      <w:u w:val="single"/>
    </w:rPr>
  </w:style>
  <w:style w:type="character" w:styleId="UnresolvedMention">
    <w:name w:val="Unresolved Mention"/>
    <w:basedOn w:val="DefaultParagraphFont"/>
    <w:uiPriority w:val="99"/>
    <w:semiHidden/>
    <w:unhideWhenUsed/>
    <w:rsid w:val="009F7D8E"/>
    <w:rPr>
      <w:color w:val="605E5C"/>
      <w:shd w:val="clear" w:color="auto" w:fill="E1DFDD"/>
    </w:rPr>
  </w:style>
  <w:style w:type="character" w:styleId="FollowedHyperlink">
    <w:name w:val="FollowedHyperlink"/>
    <w:basedOn w:val="DefaultParagraphFont"/>
    <w:uiPriority w:val="99"/>
    <w:semiHidden/>
    <w:unhideWhenUsed/>
    <w:rsid w:val="009F7D8E"/>
    <w:rPr>
      <w:color w:val="96607D" w:themeColor="followedHyperlink"/>
      <w:u w:val="single"/>
    </w:rPr>
  </w:style>
  <w:style w:type="paragraph" w:styleId="NormalWeb">
    <w:name w:val="Normal (Web)"/>
    <w:basedOn w:val="Normal"/>
    <w:uiPriority w:val="99"/>
    <w:semiHidden/>
    <w:unhideWhenUsed/>
    <w:rsid w:val="009F66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90686A"/>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B43CB7"/>
    <w:pPr>
      <w:spacing w:after="0" w:line="480" w:lineRule="auto"/>
      <w:ind w:left="720" w:hanging="720"/>
    </w:pPr>
  </w:style>
  <w:style w:type="character" w:styleId="CommentReference">
    <w:name w:val="annotation reference"/>
    <w:basedOn w:val="DefaultParagraphFont"/>
    <w:uiPriority w:val="99"/>
    <w:semiHidden/>
    <w:unhideWhenUsed/>
    <w:rsid w:val="00912BD9"/>
    <w:rPr>
      <w:sz w:val="16"/>
      <w:szCs w:val="16"/>
    </w:rPr>
  </w:style>
  <w:style w:type="paragraph" w:styleId="CommentText">
    <w:name w:val="annotation text"/>
    <w:basedOn w:val="Normal"/>
    <w:link w:val="CommentTextChar"/>
    <w:uiPriority w:val="99"/>
    <w:unhideWhenUsed/>
    <w:rsid w:val="00912BD9"/>
    <w:pPr>
      <w:spacing w:line="240" w:lineRule="auto"/>
    </w:pPr>
    <w:rPr>
      <w:sz w:val="20"/>
      <w:szCs w:val="20"/>
    </w:rPr>
  </w:style>
  <w:style w:type="character" w:customStyle="1" w:styleId="CommentTextChar">
    <w:name w:val="Comment Text Char"/>
    <w:basedOn w:val="DefaultParagraphFont"/>
    <w:link w:val="CommentText"/>
    <w:uiPriority w:val="99"/>
    <w:rsid w:val="00912BD9"/>
    <w:rPr>
      <w:sz w:val="20"/>
      <w:szCs w:val="20"/>
    </w:rPr>
  </w:style>
  <w:style w:type="paragraph" w:styleId="CommentSubject">
    <w:name w:val="annotation subject"/>
    <w:basedOn w:val="CommentText"/>
    <w:next w:val="CommentText"/>
    <w:link w:val="CommentSubjectChar"/>
    <w:uiPriority w:val="99"/>
    <w:semiHidden/>
    <w:unhideWhenUsed/>
    <w:rsid w:val="00912BD9"/>
    <w:rPr>
      <w:b/>
      <w:bCs/>
    </w:rPr>
  </w:style>
  <w:style w:type="character" w:customStyle="1" w:styleId="CommentSubjectChar">
    <w:name w:val="Comment Subject Char"/>
    <w:basedOn w:val="CommentTextChar"/>
    <w:link w:val="CommentSubject"/>
    <w:uiPriority w:val="99"/>
    <w:semiHidden/>
    <w:rsid w:val="00912BD9"/>
    <w:rPr>
      <w:b/>
      <w:bCs/>
      <w:sz w:val="20"/>
      <w:szCs w:val="20"/>
    </w:rPr>
  </w:style>
  <w:style w:type="paragraph" w:styleId="Header">
    <w:name w:val="header"/>
    <w:basedOn w:val="Normal"/>
    <w:link w:val="HeaderChar"/>
    <w:uiPriority w:val="99"/>
    <w:unhideWhenUsed/>
    <w:rsid w:val="005F4BAF"/>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BAF"/>
  </w:style>
  <w:style w:type="paragraph" w:styleId="Footer">
    <w:name w:val="footer"/>
    <w:basedOn w:val="Normal"/>
    <w:link w:val="FooterChar"/>
    <w:uiPriority w:val="99"/>
    <w:unhideWhenUsed/>
    <w:rsid w:val="005F4BAF"/>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6333">
      <w:bodyDiv w:val="1"/>
      <w:marLeft w:val="0"/>
      <w:marRight w:val="0"/>
      <w:marTop w:val="0"/>
      <w:marBottom w:val="0"/>
      <w:divBdr>
        <w:top w:val="none" w:sz="0" w:space="0" w:color="auto"/>
        <w:left w:val="none" w:sz="0" w:space="0" w:color="auto"/>
        <w:bottom w:val="none" w:sz="0" w:space="0" w:color="auto"/>
        <w:right w:val="none" w:sz="0" w:space="0" w:color="auto"/>
      </w:divBdr>
    </w:div>
    <w:div w:id="580140767">
      <w:bodyDiv w:val="1"/>
      <w:marLeft w:val="0"/>
      <w:marRight w:val="0"/>
      <w:marTop w:val="0"/>
      <w:marBottom w:val="0"/>
      <w:divBdr>
        <w:top w:val="none" w:sz="0" w:space="0" w:color="auto"/>
        <w:left w:val="none" w:sz="0" w:space="0" w:color="auto"/>
        <w:bottom w:val="none" w:sz="0" w:space="0" w:color="auto"/>
        <w:right w:val="none" w:sz="0" w:space="0" w:color="auto"/>
      </w:divBdr>
    </w:div>
    <w:div w:id="671956302">
      <w:bodyDiv w:val="1"/>
      <w:marLeft w:val="0"/>
      <w:marRight w:val="0"/>
      <w:marTop w:val="0"/>
      <w:marBottom w:val="0"/>
      <w:divBdr>
        <w:top w:val="none" w:sz="0" w:space="0" w:color="auto"/>
        <w:left w:val="none" w:sz="0" w:space="0" w:color="auto"/>
        <w:bottom w:val="none" w:sz="0" w:space="0" w:color="auto"/>
        <w:right w:val="none" w:sz="0" w:space="0" w:color="auto"/>
      </w:divBdr>
    </w:div>
    <w:div w:id="1383599312">
      <w:bodyDiv w:val="1"/>
      <w:marLeft w:val="0"/>
      <w:marRight w:val="0"/>
      <w:marTop w:val="0"/>
      <w:marBottom w:val="0"/>
      <w:divBdr>
        <w:top w:val="none" w:sz="0" w:space="0" w:color="auto"/>
        <w:left w:val="none" w:sz="0" w:space="0" w:color="auto"/>
        <w:bottom w:val="none" w:sz="0" w:space="0" w:color="auto"/>
        <w:right w:val="none" w:sz="0" w:space="0" w:color="auto"/>
      </w:divBdr>
    </w:div>
    <w:div w:id="20383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github.com/Vogelwarte/MagneticNavig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9CA660D3E81F4BAC22A62A266C497C" ma:contentTypeVersion="17" ma:contentTypeDescription="Create a new document." ma:contentTypeScope="" ma:versionID="a6e2295a4bb010c4bb7efefa00856a73">
  <xsd:schema xmlns:xsd="http://www.w3.org/2001/XMLSchema" xmlns:xs="http://www.w3.org/2001/XMLSchema" xmlns:p="http://schemas.microsoft.com/office/2006/metadata/properties" xmlns:ns2="8cf1a7b9-701b-4ae9-a75b-8e583c6b18f9" xmlns:ns3="3e409798-ec06-43eb-aeb0-bcf9477283bb" targetNamespace="http://schemas.microsoft.com/office/2006/metadata/properties" ma:root="true" ma:fieldsID="31c4ecdf6c9e28f803c11563a79f4060" ns2:_="" ns3:_="">
    <xsd:import namespace="8cf1a7b9-701b-4ae9-a75b-8e583c6b18f9"/>
    <xsd:import namespace="3e409798-ec06-43eb-aeb0-bcf9477283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a7b9-701b-4ae9-a75b-8e583c6b1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2f7f86-b127-404d-a8be-07456755a1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409798-ec06-43eb-aeb0-bcf9477283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d0fbd73-19f8-4bc7-90c8-4bba560bd68b}" ma:internalName="TaxCatchAll" ma:showField="CatchAllData" ma:web="3e409798-ec06-43eb-aeb0-bcf9477283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409798-ec06-43eb-aeb0-bcf9477283bb" xsi:nil="true"/>
    <lcf76f155ced4ddcb4097134ff3c332f xmlns="8cf1a7b9-701b-4ae9-a75b-8e583c6b18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AFA964-7DEF-47ED-B44F-B5F933E93386}"/>
</file>

<file path=customXml/itemProps2.xml><?xml version="1.0" encoding="utf-8"?>
<ds:datastoreItem xmlns:ds="http://schemas.openxmlformats.org/officeDocument/2006/customXml" ds:itemID="{B75677B6-D02C-4222-AF87-4FFBC39B2C2B}">
  <ds:schemaRefs>
    <ds:schemaRef ds:uri="http://schemas.microsoft.com/sharepoint/v3/contenttype/forms"/>
  </ds:schemaRefs>
</ds:datastoreItem>
</file>

<file path=customXml/itemProps3.xml><?xml version="1.0" encoding="utf-8"?>
<ds:datastoreItem xmlns:ds="http://schemas.openxmlformats.org/officeDocument/2006/customXml" ds:itemID="{1322A7A1-9582-499E-ABDC-7EAA41326D77}">
  <ds:schemaRefs>
    <ds:schemaRef ds:uri="http://schemas.microsoft.com/office/2006/metadata/properties"/>
    <ds:schemaRef ds:uri="http://schemas.microsoft.com/office/infopath/2007/PartnerControls"/>
    <ds:schemaRef ds:uri="3e409798-ec06-43eb-aeb0-bcf9477283bb"/>
    <ds:schemaRef ds:uri="8cf1a7b9-701b-4ae9-a75b-8e583c6b18f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4018</Words>
  <Characters>22907</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 Filibert</dc:creator>
  <cp:keywords/>
  <dc:description/>
  <cp:lastModifiedBy>Steffen Oppel</cp:lastModifiedBy>
  <cp:revision>73</cp:revision>
  <dcterms:created xsi:type="dcterms:W3CDTF">2024-12-19T20:04:00Z</dcterms:created>
  <dcterms:modified xsi:type="dcterms:W3CDTF">2025-01-04T05:38:00Z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id="aGCuqFqI"/&gt;&lt;style id="http://www.zotero.org/styles/apa" locale="de-DE" hasBibliography="1" bibliographyStyleHasBeenSet="1"/&gt;&lt;prefs&gt;&lt;pref name="fieldType" value="Field"/&gt;&lt;/prefs&gt;&lt;/data&gt;</vt:lpwstr>
  </property>
  <property fmtid="{D5CDD505-2E9C-101B-9397-08002B2CF9AE}" pid="3" name="ContentTypeId">
    <vt:lpwstr>0x010100FE9CA660D3E81F4BAC22A62A266C497C</vt:lpwstr>
  </property>
  <property fmtid="{D5CDD505-2E9C-101B-9397-08002B2CF9AE}" pid="4" name="MediaServiceImageTags">
    <vt:lpwstr/>
  </property>
</Properties>
</file>