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Topshiriq bayonnomasi</w:t>
      </w:r>
    </w:p>
    <w:p>
      <w:pPr>
        <w:pStyle w:val="Heading2"/>
      </w:pPr>
      <w:r>
        <w:t>1. Muddat</w:t>
      </w:r>
    </w:p>
    <w:p>
      <w:r>
        <w:t>Topshiriqning yakuniy muddati 15-avgust 2026-yil deb belgilandi.</w:t>
      </w:r>
    </w:p>
    <w:p>
      <w:pPr>
        <w:pStyle w:val="Heading2"/>
      </w:pPr>
      <w:r>
        <w:t>2. Mas’ullar</w:t>
      </w:r>
    </w:p>
    <w:p>
      <w:r>
        <w:t>Tahliliy bo‘lim ma’lumotlarni yig‘adi, huquqiy bo‘lim asoslarni tekshiradi.</w:t>
      </w:r>
    </w:p>
    <w:p>
      <w:pPr>
        <w:pStyle w:val="Heading2"/>
      </w:pPr>
      <w:r>
        <w:t>3. Yakuniy kelishuv</w:t>
      </w:r>
    </w:p>
    <w:p>
      <w:r>
        <w:t>Yig‘ilish yakunida topshiriqning yakuniy muddati 20-avgust 2026-yil ekani qayd etildi.</w:t>
      </w:r>
    </w:p>
    <w:p>
      <w:r>
        <w:t>Ikki sana o‘rtasidagi tafovut aniqlashtirilishi lozim.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