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0E586E">
      <w:pPr>
        <w:spacing w:before="0" w:after="40"/>
        <w:jc w:val="left"/>
        <w:rPr>
          <w:rFonts w:hint="default" w:ascii="Times New Roman" w:hAnsi="Times New Roman" w:cs="Times New Roman"/>
          <w:color w:val="auto"/>
        </w:rPr>
      </w:pPr>
      <w:r>
        <w:rPr>
          <w:rFonts w:hint="default" w:ascii="Times New Roman" w:hAnsi="Times New Roman" w:cs="Times New Roman"/>
          <w:b/>
          <w:color w:val="auto"/>
          <w:sz w:val="36"/>
          <w:szCs w:val="36"/>
        </w:rPr>
        <w:t>DECISION BRIEF FOR THE INCIDENT MANAGER</w:t>
      </w:r>
    </w:p>
    <w:p w14:paraId="20175A8C">
      <w:pPr>
        <w:spacing w:after="80"/>
        <w:jc w:val="both"/>
        <w:rPr>
          <w:rFonts w:hint="default" w:ascii="Times New Roman" w:hAnsi="Times New Roman" w:cs="Times New Roman"/>
          <w:color w:val="auto"/>
        </w:rPr>
      </w:pPr>
      <w:r>
        <w:rPr>
          <w:rFonts w:hint="default" w:ascii="Times New Roman" w:hAnsi="Times New Roman" w:cs="Times New Roman"/>
          <w:i/>
          <w:color w:val="auto"/>
          <w:sz w:val="28"/>
        </w:rPr>
        <w:t>Where to deploy 24 hours of mop-up capacity</w:t>
      </w:r>
    </w:p>
    <w:p w14:paraId="6F938246">
      <w:pPr>
        <w:spacing w:after="280"/>
        <w:jc w:val="left"/>
        <w:rPr>
          <w:rFonts w:hint="default" w:ascii="Times New Roman" w:hAnsi="Times New Roman" w:cs="Times New Roman"/>
          <w:color w:val="auto"/>
        </w:rPr>
      </w:pPr>
      <w:r>
        <w:rPr>
          <w:rFonts w:hint="default" w:ascii="Times New Roman" w:hAnsi="Times New Roman" w:cs="Times New Roman"/>
          <w:color w:val="auto"/>
          <w:sz w:val="19"/>
        </w:rPr>
        <w:t>March 2026 Supplementary Immunization Activity | Bansara State</w:t>
      </w:r>
      <w:r>
        <w:rPr>
          <w:rFonts w:hint="default" w:ascii="Times New Roman" w:hAnsi="Times New Roman" w:cs="Times New Roman"/>
          <w:color w:val="auto"/>
          <w:sz w:val="19"/>
        </w:rPr>
        <w:br w:type="textWrapping"/>
      </w:r>
      <w:r>
        <w:rPr>
          <w:rFonts w:hint="default" w:ascii="Times New Roman" w:hAnsi="Times New Roman" w:cs="Times New Roman"/>
          <w:color w:val="auto"/>
          <w:sz w:val="19"/>
        </w:rPr>
        <w:t>Prepared by the GIS &amp; Data Analytics Unit, August 2026</w:t>
      </w:r>
    </w:p>
    <w:p w14:paraId="444D85F1">
      <w:pPr>
        <w:keepNext/>
        <w:spacing w:before="280" w:after="120"/>
        <w:jc w:val="both"/>
        <w:rPr>
          <w:rFonts w:hint="default" w:ascii="Times New Roman" w:hAnsi="Times New Roman" w:cs="Times New Roman"/>
          <w:color w:val="auto"/>
        </w:rPr>
      </w:pPr>
      <w:r>
        <w:rPr>
          <w:rFonts w:hint="default" w:ascii="Times New Roman" w:hAnsi="Times New Roman" w:cs="Times New Roman"/>
          <w:b/>
          <w:color w:val="auto"/>
          <w:sz w:val="28"/>
        </w:rPr>
        <w:t>THE DECISION</w:t>
      </w:r>
    </w:p>
    <w:p w14:paraId="1934DC24">
      <w:pPr>
        <w:spacing w:after="160" w:line="360" w:lineRule="auto"/>
        <w:jc w:val="left"/>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Target Wards: Idi-Oro, Gwarin, Katsuma, Ilela</w:t>
      </w:r>
      <w:r>
        <w:rPr>
          <w:rFonts w:hint="default" w:ascii="Times New Roman" w:hAnsi="Times New Roman" w:cs="Times New Roman"/>
          <w:b/>
          <w:color w:val="auto"/>
          <w:sz w:val="24"/>
          <w:szCs w:val="24"/>
        </w:rPr>
        <w:br w:type="textWrapping"/>
      </w:r>
      <w:r>
        <w:rPr>
          <w:rFonts w:hint="default" w:ascii="Times New Roman" w:hAnsi="Times New Roman" w:cs="Times New Roman"/>
          <w:color w:val="auto"/>
          <w:sz w:val="24"/>
          <w:szCs w:val="24"/>
        </w:rPr>
        <w:t>Send all available teams to the ten identified clusters first — nine are in Idi-Oro, one in Kungomi ward, Katsuma. That absorbs 18 of your 32 team-days. Spend the remaining 14 in Bayoyi, Famade, Okradu, Baluru and Ekduru wards.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b/>
          <w:color w:val="auto"/>
          <w:sz w:val="24"/>
          <w:szCs w:val="24"/>
        </w:rPr>
        <w:t>Impact: This reaches an estimated 28,368 children — 68% of all children with no vaccination record from any source.</w:t>
      </w:r>
    </w:p>
    <w:p w14:paraId="21AE935D">
      <w:pPr>
        <w:keepNext/>
        <w:spacing w:before="280" w:after="120"/>
        <w:jc w:val="both"/>
        <w:rPr>
          <w:rFonts w:hint="default" w:ascii="Times New Roman" w:hAnsi="Times New Roman" w:cs="Times New Roman"/>
          <w:color w:val="auto"/>
        </w:rPr>
      </w:pPr>
      <w:r>
        <w:rPr>
          <w:rFonts w:hint="default" w:ascii="Times New Roman" w:hAnsi="Times New Roman" w:cs="Times New Roman"/>
          <w:b/>
          <w:color w:val="auto"/>
          <w:sz w:val="28"/>
        </w:rPr>
        <w:t>THE SITUATION IN FOUR NUMBERS</w:t>
      </w:r>
    </w:p>
    <w:tbl>
      <w:tblPr>
        <w:tblStyle w:val="12"/>
        <w:tblW w:w="0" w:type="auto"/>
        <w:jc w:val="center"/>
        <w:tblLayout w:type="autofit"/>
        <w:tblCellMar>
          <w:top w:w="0" w:type="dxa"/>
          <w:left w:w="108" w:type="dxa"/>
          <w:bottom w:w="0" w:type="dxa"/>
          <w:right w:w="108" w:type="dxa"/>
        </w:tblCellMar>
      </w:tblPr>
      <w:tblGrid>
        <w:gridCol w:w="2304"/>
        <w:gridCol w:w="2304"/>
        <w:gridCol w:w="2304"/>
        <w:gridCol w:w="2304"/>
      </w:tblGrid>
      <w:tr w14:paraId="3AD57F69">
        <w:tblPrEx>
          <w:tblCellMar>
            <w:top w:w="0" w:type="dxa"/>
            <w:left w:w="108" w:type="dxa"/>
            <w:bottom w:w="0" w:type="dxa"/>
            <w:right w:w="108" w:type="dxa"/>
          </w:tblCellMar>
        </w:tblPrEx>
        <w:trPr>
          <w:jc w:val="center"/>
        </w:trPr>
        <w:tc>
          <w:tcPr>
            <w:tcW w:w="2304" w:type="dxa"/>
            <w:tcBorders>
              <w:top w:val="single" w:color="124E4B" w:sz="6" w:space="0"/>
              <w:left w:val="single" w:color="CCCCCC" w:sz="4" w:space="0"/>
              <w:bottom w:val="single" w:color="CCCCCC" w:sz="4" w:space="0"/>
              <w:right w:val="single" w:color="CCCCCC" w:sz="4" w:space="0"/>
            </w:tcBorders>
            <w:shd w:val="clear" w:color="auto" w:fill="F7F9F9"/>
            <w:tcMar>
              <w:top w:w="140" w:type="dxa"/>
              <w:left w:w="100" w:type="dxa"/>
              <w:bottom w:w="140" w:type="dxa"/>
              <w:right w:w="100" w:type="dxa"/>
            </w:tcMar>
          </w:tcPr>
          <w:p w14:paraId="1E0E9CB2">
            <w:pPr>
              <w:spacing w:after="40"/>
              <w:jc w:val="left"/>
              <w:rPr>
                <w:rFonts w:hint="default" w:ascii="Times New Roman" w:hAnsi="Times New Roman" w:cs="Times New Roman"/>
                <w:color w:val="auto"/>
              </w:rPr>
            </w:pPr>
            <w:r>
              <w:rPr>
                <w:rFonts w:hint="default" w:ascii="Times New Roman" w:hAnsi="Times New Roman" w:cs="Times New Roman"/>
                <w:b/>
                <w:color w:val="auto"/>
                <w:sz w:val="36"/>
              </w:rPr>
              <w:t>170,404</w:t>
            </w:r>
            <w:r>
              <w:rPr>
                <w:rFonts w:hint="default" w:ascii="Times New Roman" w:hAnsi="Times New Roman" w:cs="Times New Roman"/>
                <w:b/>
                <w:color w:val="auto"/>
                <w:sz w:val="36"/>
              </w:rPr>
              <w:br w:type="textWrapping"/>
            </w:r>
            <w:r>
              <w:rPr>
                <w:rFonts w:hint="default" w:ascii="Times New Roman" w:hAnsi="Times New Roman" w:cs="Times New Roman"/>
                <w:color w:val="auto"/>
                <w:sz w:val="19"/>
              </w:rPr>
              <w:t>doses reported by teams</w:t>
            </w:r>
          </w:p>
        </w:tc>
        <w:tc>
          <w:tcPr>
            <w:tcW w:w="2304" w:type="dxa"/>
            <w:tcBorders>
              <w:top w:val="single" w:color="124E4B" w:sz="6" w:space="0"/>
              <w:left w:val="single" w:color="CCCCCC" w:sz="4" w:space="0"/>
              <w:bottom w:val="single" w:color="CCCCCC" w:sz="4" w:space="0"/>
              <w:right w:val="single" w:color="CCCCCC" w:sz="4" w:space="0"/>
            </w:tcBorders>
            <w:shd w:val="clear" w:color="auto" w:fill="F7F9F9"/>
            <w:tcMar>
              <w:top w:w="140" w:type="dxa"/>
              <w:left w:w="100" w:type="dxa"/>
              <w:bottom w:w="140" w:type="dxa"/>
              <w:right w:w="100" w:type="dxa"/>
            </w:tcMar>
          </w:tcPr>
          <w:p w14:paraId="1C02681D">
            <w:pPr>
              <w:spacing w:after="40"/>
              <w:jc w:val="left"/>
              <w:rPr>
                <w:rFonts w:hint="default" w:ascii="Times New Roman" w:hAnsi="Times New Roman" w:cs="Times New Roman"/>
                <w:color w:val="auto"/>
              </w:rPr>
            </w:pPr>
            <w:r>
              <w:rPr>
                <w:rFonts w:hint="default" w:ascii="Times New Roman" w:hAnsi="Times New Roman" w:cs="Times New Roman"/>
                <w:b/>
                <w:color w:val="auto"/>
                <w:sz w:val="36"/>
              </w:rPr>
              <w:t>31%</w:t>
            </w:r>
            <w:r>
              <w:rPr>
                <w:rFonts w:hint="default" w:ascii="Times New Roman" w:hAnsi="Times New Roman" w:cs="Times New Roman"/>
                <w:b/>
                <w:color w:val="auto"/>
                <w:sz w:val="36"/>
              </w:rPr>
              <w:br w:type="textWrapping"/>
            </w:r>
            <w:r>
              <w:rPr>
                <w:rFonts w:hint="default" w:ascii="Times New Roman" w:hAnsi="Times New Roman" w:cs="Times New Roman"/>
                <w:color w:val="auto"/>
                <w:sz w:val="19"/>
              </w:rPr>
              <w:t>of visits confirmed by GPS tracking</w:t>
            </w:r>
          </w:p>
        </w:tc>
        <w:tc>
          <w:tcPr>
            <w:tcW w:w="2304" w:type="dxa"/>
            <w:tcBorders>
              <w:top w:val="single" w:color="124E4B" w:sz="6" w:space="0"/>
              <w:left w:val="single" w:color="CCCCCC" w:sz="4" w:space="0"/>
              <w:bottom w:val="single" w:color="CCCCCC" w:sz="4" w:space="0"/>
              <w:right w:val="single" w:color="CCCCCC" w:sz="4" w:space="0"/>
            </w:tcBorders>
            <w:shd w:val="clear" w:color="auto" w:fill="F7F9F9"/>
            <w:tcMar>
              <w:top w:w="140" w:type="dxa"/>
              <w:left w:w="100" w:type="dxa"/>
              <w:bottom w:w="140" w:type="dxa"/>
              <w:right w:w="100" w:type="dxa"/>
            </w:tcMar>
          </w:tcPr>
          <w:p w14:paraId="69E57EF3">
            <w:pPr>
              <w:spacing w:after="40"/>
              <w:jc w:val="left"/>
              <w:rPr>
                <w:rFonts w:hint="default" w:ascii="Times New Roman" w:hAnsi="Times New Roman" w:cs="Times New Roman"/>
                <w:color w:val="auto"/>
              </w:rPr>
            </w:pPr>
            <w:r>
              <w:rPr>
                <w:rFonts w:hint="default" w:ascii="Times New Roman" w:hAnsi="Times New Roman" w:cs="Times New Roman"/>
                <w:b/>
                <w:color w:val="auto"/>
                <w:sz w:val="36"/>
              </w:rPr>
              <w:t>446</w:t>
            </w:r>
            <w:r>
              <w:rPr>
                <w:rFonts w:hint="default" w:ascii="Times New Roman" w:hAnsi="Times New Roman" w:cs="Times New Roman"/>
                <w:b/>
                <w:color w:val="auto"/>
                <w:sz w:val="36"/>
              </w:rPr>
              <w:br w:type="textWrapping"/>
            </w:r>
            <w:r>
              <w:rPr>
                <w:rFonts w:hint="default" w:ascii="Times New Roman" w:hAnsi="Times New Roman" w:cs="Times New Roman"/>
                <w:color w:val="auto"/>
                <w:sz w:val="19"/>
              </w:rPr>
              <w:t>settlements with no record from any source</w:t>
            </w:r>
          </w:p>
        </w:tc>
        <w:tc>
          <w:tcPr>
            <w:tcW w:w="2304" w:type="dxa"/>
            <w:tcBorders>
              <w:top w:val="single" w:color="124E4B" w:sz="6" w:space="0"/>
              <w:left w:val="single" w:color="CCCCCC" w:sz="4" w:space="0"/>
              <w:bottom w:val="single" w:color="CCCCCC" w:sz="4" w:space="0"/>
              <w:right w:val="single" w:color="CCCCCC" w:sz="4" w:space="0"/>
            </w:tcBorders>
            <w:shd w:val="clear" w:color="auto" w:fill="F7F9F9"/>
            <w:tcMar>
              <w:top w:w="140" w:type="dxa"/>
              <w:left w:w="100" w:type="dxa"/>
              <w:bottom w:w="140" w:type="dxa"/>
              <w:right w:w="100" w:type="dxa"/>
            </w:tcMar>
          </w:tcPr>
          <w:p w14:paraId="10A05D92">
            <w:pPr>
              <w:spacing w:after="40"/>
              <w:jc w:val="left"/>
              <w:rPr>
                <w:rFonts w:hint="default" w:ascii="Times New Roman" w:hAnsi="Times New Roman" w:cs="Times New Roman"/>
                <w:color w:val="auto"/>
              </w:rPr>
            </w:pPr>
            <w:r>
              <w:rPr>
                <w:rFonts w:hint="default" w:ascii="Times New Roman" w:hAnsi="Times New Roman" w:cs="Times New Roman"/>
                <w:b/>
                <w:color w:val="auto"/>
                <w:sz w:val="36"/>
              </w:rPr>
              <w:t>41,868</w:t>
            </w:r>
            <w:r>
              <w:rPr>
                <w:rFonts w:hint="default" w:ascii="Times New Roman" w:hAnsi="Times New Roman" w:cs="Times New Roman"/>
                <w:b/>
                <w:color w:val="auto"/>
                <w:sz w:val="36"/>
              </w:rPr>
              <w:br w:type="textWrapping"/>
            </w:r>
            <w:r>
              <w:rPr>
                <w:rFonts w:hint="default" w:ascii="Times New Roman" w:hAnsi="Times New Roman" w:cs="Times New Roman"/>
                <w:color w:val="auto"/>
                <w:sz w:val="19"/>
              </w:rPr>
              <w:t>children in those settlements</w:t>
            </w:r>
          </w:p>
        </w:tc>
      </w:tr>
    </w:tbl>
    <w:p w14:paraId="213ED64E">
      <w:pPr>
        <w:spacing w:after="120"/>
        <w:jc w:val="both"/>
        <w:rPr>
          <w:rFonts w:hint="default" w:ascii="Times New Roman" w:hAnsi="Times New Roman" w:cs="Times New Roman"/>
          <w:color w:val="auto"/>
        </w:rPr>
      </w:pPr>
    </w:p>
    <w:p w14:paraId="0CBA8685">
      <w:pPr>
        <w:keepNext/>
        <w:spacing w:before="280" w:after="120"/>
        <w:jc w:val="both"/>
        <w:rPr>
          <w:rFonts w:hint="default" w:ascii="Times New Roman" w:hAnsi="Times New Roman" w:cs="Times New Roman"/>
          <w:color w:val="auto"/>
        </w:rPr>
      </w:pPr>
      <w:r>
        <w:rPr>
          <w:rFonts w:hint="default" w:ascii="Times New Roman" w:hAnsi="Times New Roman" w:cs="Times New Roman"/>
          <w:b/>
          <w:color w:val="auto"/>
          <w:sz w:val="28"/>
        </w:rPr>
        <w:t>DEPLOYMENT PLAN (32 TEAM-DAYS)</w:t>
      </w:r>
    </w:p>
    <w:tbl>
      <w:tblPr>
        <w:tblStyle w:val="12"/>
        <w:tblW w:w="0" w:type="auto"/>
        <w:jc w:val="center"/>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1942"/>
        <w:gridCol w:w="3863"/>
        <w:gridCol w:w="1891"/>
        <w:gridCol w:w="1964"/>
      </w:tblGrid>
      <w:tr w14:paraId="1CC7A6B0">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tblHeader/>
          <w:jc w:val="center"/>
        </w:trPr>
        <w:tc>
          <w:tcPr>
            <w:tcW w:w="1152" w:type="dxa"/>
            <w:shd w:val="clear" w:color="auto" w:fill="124E4B"/>
            <w:tcMar>
              <w:top w:w="120" w:type="dxa"/>
              <w:left w:w="150" w:type="dxa"/>
              <w:bottom w:w="120" w:type="dxa"/>
              <w:right w:w="150" w:type="dxa"/>
            </w:tcMar>
          </w:tcPr>
          <w:p w14:paraId="1E93AF0A">
            <w:pPr>
              <w:spacing w:after="0"/>
              <w:jc w:val="both"/>
              <w:rPr>
                <w:rFonts w:hint="default" w:ascii="Times New Roman" w:hAnsi="Times New Roman" w:cs="Times New Roman"/>
                <w:color w:val="auto"/>
              </w:rPr>
            </w:pPr>
            <w:r>
              <w:rPr>
                <w:rFonts w:hint="default" w:ascii="Times New Roman" w:hAnsi="Times New Roman" w:cs="Times New Roman"/>
                <w:b/>
                <w:color w:val="auto"/>
              </w:rPr>
              <w:t>Priority</w:t>
            </w:r>
          </w:p>
        </w:tc>
        <w:tc>
          <w:tcPr>
            <w:tcW w:w="5040" w:type="dxa"/>
            <w:shd w:val="clear" w:color="auto" w:fill="124E4B"/>
            <w:tcMar>
              <w:top w:w="120" w:type="dxa"/>
              <w:left w:w="150" w:type="dxa"/>
              <w:bottom w:w="120" w:type="dxa"/>
              <w:right w:w="150" w:type="dxa"/>
            </w:tcMar>
          </w:tcPr>
          <w:p w14:paraId="66E190AC">
            <w:pPr>
              <w:spacing w:after="0"/>
              <w:jc w:val="both"/>
              <w:rPr>
                <w:rFonts w:hint="default" w:ascii="Times New Roman" w:hAnsi="Times New Roman" w:cs="Times New Roman"/>
                <w:color w:val="auto"/>
              </w:rPr>
            </w:pPr>
            <w:r>
              <w:rPr>
                <w:rFonts w:hint="default" w:ascii="Times New Roman" w:hAnsi="Times New Roman" w:cs="Times New Roman"/>
                <w:b/>
                <w:color w:val="auto"/>
              </w:rPr>
              <w:t>Where</w:t>
            </w:r>
          </w:p>
        </w:tc>
        <w:tc>
          <w:tcPr>
            <w:tcW w:w="1440" w:type="dxa"/>
            <w:shd w:val="clear" w:color="auto" w:fill="124E4B"/>
            <w:tcMar>
              <w:top w:w="120" w:type="dxa"/>
              <w:left w:w="150" w:type="dxa"/>
              <w:bottom w:w="120" w:type="dxa"/>
              <w:right w:w="150" w:type="dxa"/>
            </w:tcMar>
          </w:tcPr>
          <w:p w14:paraId="4EADED8D">
            <w:pPr>
              <w:spacing w:after="0"/>
              <w:jc w:val="both"/>
              <w:rPr>
                <w:rFonts w:hint="default" w:ascii="Times New Roman" w:hAnsi="Times New Roman" w:cs="Times New Roman"/>
                <w:color w:val="auto"/>
              </w:rPr>
            </w:pPr>
            <w:r>
              <w:rPr>
                <w:rFonts w:hint="default" w:ascii="Times New Roman" w:hAnsi="Times New Roman" w:cs="Times New Roman"/>
                <w:b/>
                <w:color w:val="auto"/>
              </w:rPr>
              <w:t>Team-days</w:t>
            </w:r>
          </w:p>
        </w:tc>
        <w:tc>
          <w:tcPr>
            <w:tcW w:w="1728" w:type="dxa"/>
            <w:shd w:val="clear" w:color="auto" w:fill="124E4B"/>
            <w:tcMar>
              <w:top w:w="120" w:type="dxa"/>
              <w:left w:w="150" w:type="dxa"/>
              <w:bottom w:w="120" w:type="dxa"/>
              <w:right w:w="150" w:type="dxa"/>
            </w:tcMar>
          </w:tcPr>
          <w:p w14:paraId="79271F41">
            <w:pPr>
              <w:spacing w:after="0"/>
              <w:jc w:val="both"/>
              <w:rPr>
                <w:rFonts w:hint="default" w:ascii="Times New Roman" w:hAnsi="Times New Roman" w:cs="Times New Roman"/>
                <w:color w:val="auto"/>
              </w:rPr>
            </w:pPr>
            <w:r>
              <w:rPr>
                <w:rFonts w:hint="default" w:ascii="Times New Roman" w:hAnsi="Times New Roman" w:cs="Times New Roman"/>
                <w:b/>
                <w:color w:val="auto"/>
              </w:rPr>
              <w:t>Children</w:t>
            </w:r>
          </w:p>
        </w:tc>
      </w:tr>
      <w:tr w14:paraId="177C63F7">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152" w:type="dxa"/>
            <w:shd w:val="clear" w:color="auto" w:fill="F0F5F5"/>
            <w:tcMar>
              <w:top w:w="100" w:type="dxa"/>
              <w:left w:w="150" w:type="dxa"/>
              <w:bottom w:w="100" w:type="dxa"/>
              <w:right w:w="150" w:type="dxa"/>
            </w:tcMar>
          </w:tcPr>
          <w:p w14:paraId="1BF44A5A">
            <w:pPr>
              <w:spacing w:after="0"/>
              <w:jc w:val="both"/>
              <w:rPr>
                <w:rFonts w:hint="default" w:ascii="Times New Roman" w:hAnsi="Times New Roman" w:cs="Times New Roman"/>
                <w:color w:val="auto"/>
              </w:rPr>
            </w:pPr>
            <w:r>
              <w:rPr>
                <w:rFonts w:hint="default" w:ascii="Times New Roman" w:hAnsi="Times New Roman" w:cs="Times New Roman"/>
                <w:color w:val="auto"/>
              </w:rPr>
              <w:t>1</w:t>
            </w:r>
          </w:p>
        </w:tc>
        <w:tc>
          <w:tcPr>
            <w:tcW w:w="5040" w:type="dxa"/>
            <w:shd w:val="clear" w:color="auto" w:fill="F0F5F5"/>
            <w:tcMar>
              <w:top w:w="100" w:type="dxa"/>
              <w:left w:w="150" w:type="dxa"/>
              <w:bottom w:w="100" w:type="dxa"/>
              <w:right w:w="150" w:type="dxa"/>
            </w:tcMar>
          </w:tcPr>
          <w:p w14:paraId="1DB586A8">
            <w:pPr>
              <w:spacing w:after="0"/>
              <w:jc w:val="both"/>
              <w:rPr>
                <w:rFonts w:hint="default" w:ascii="Times New Roman" w:hAnsi="Times New Roman" w:cs="Times New Roman"/>
                <w:color w:val="auto"/>
              </w:rPr>
            </w:pPr>
            <w:r>
              <w:rPr>
                <w:rFonts w:hint="default" w:ascii="Times New Roman" w:hAnsi="Times New Roman" w:cs="Times New Roman"/>
                <w:color w:val="auto"/>
              </w:rPr>
              <w:t>Umyosa &amp; Baluru clusters (Idi-Oro)</w:t>
            </w:r>
          </w:p>
        </w:tc>
        <w:tc>
          <w:tcPr>
            <w:tcW w:w="1440" w:type="dxa"/>
            <w:shd w:val="clear" w:color="auto" w:fill="F0F5F5"/>
            <w:tcMar>
              <w:top w:w="100" w:type="dxa"/>
              <w:left w:w="150" w:type="dxa"/>
              <w:bottom w:w="100" w:type="dxa"/>
              <w:right w:w="150" w:type="dxa"/>
            </w:tcMar>
          </w:tcPr>
          <w:p w14:paraId="4890C1BD">
            <w:pPr>
              <w:spacing w:after="0"/>
              <w:jc w:val="both"/>
              <w:rPr>
                <w:rFonts w:hint="default" w:ascii="Times New Roman" w:hAnsi="Times New Roman" w:cs="Times New Roman"/>
                <w:color w:val="auto"/>
              </w:rPr>
            </w:pPr>
            <w:r>
              <w:rPr>
                <w:rFonts w:hint="default" w:ascii="Times New Roman" w:hAnsi="Times New Roman" w:cs="Times New Roman"/>
                <w:color w:val="auto"/>
              </w:rPr>
              <w:t>5</w:t>
            </w:r>
          </w:p>
        </w:tc>
        <w:tc>
          <w:tcPr>
            <w:tcW w:w="1728" w:type="dxa"/>
            <w:shd w:val="clear" w:color="auto" w:fill="F0F5F5"/>
            <w:tcMar>
              <w:top w:w="100" w:type="dxa"/>
              <w:left w:w="150" w:type="dxa"/>
              <w:bottom w:w="100" w:type="dxa"/>
              <w:right w:w="150" w:type="dxa"/>
            </w:tcMar>
          </w:tcPr>
          <w:p w14:paraId="6A9D2A40">
            <w:pPr>
              <w:spacing w:after="0"/>
              <w:jc w:val="both"/>
              <w:rPr>
                <w:rFonts w:hint="default" w:ascii="Times New Roman" w:hAnsi="Times New Roman" w:cs="Times New Roman"/>
                <w:color w:val="auto"/>
              </w:rPr>
            </w:pPr>
            <w:r>
              <w:rPr>
                <w:rFonts w:hint="default" w:ascii="Times New Roman" w:hAnsi="Times New Roman" w:cs="Times New Roman"/>
                <w:color w:val="auto"/>
              </w:rPr>
              <w:t>8,742</w:t>
            </w:r>
          </w:p>
        </w:tc>
      </w:tr>
      <w:tr w14:paraId="1BAD33D1">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152" w:type="dxa"/>
            <w:shd w:val="clear" w:color="auto" w:fill="FFFFFF"/>
            <w:tcMar>
              <w:top w:w="100" w:type="dxa"/>
              <w:left w:w="150" w:type="dxa"/>
              <w:bottom w:w="100" w:type="dxa"/>
              <w:right w:w="150" w:type="dxa"/>
            </w:tcMar>
          </w:tcPr>
          <w:p w14:paraId="0712B549">
            <w:pPr>
              <w:spacing w:after="0"/>
              <w:jc w:val="both"/>
              <w:rPr>
                <w:rFonts w:hint="default" w:ascii="Times New Roman" w:hAnsi="Times New Roman" w:cs="Times New Roman"/>
                <w:color w:val="auto"/>
              </w:rPr>
            </w:pPr>
            <w:r>
              <w:rPr>
                <w:rFonts w:hint="default" w:ascii="Times New Roman" w:hAnsi="Times New Roman" w:cs="Times New Roman"/>
                <w:color w:val="auto"/>
              </w:rPr>
              <w:t>2</w:t>
            </w:r>
          </w:p>
        </w:tc>
        <w:tc>
          <w:tcPr>
            <w:tcW w:w="5040" w:type="dxa"/>
            <w:shd w:val="clear" w:color="auto" w:fill="FFFFFF"/>
            <w:tcMar>
              <w:top w:w="100" w:type="dxa"/>
              <w:left w:w="150" w:type="dxa"/>
              <w:bottom w:w="100" w:type="dxa"/>
              <w:right w:w="150" w:type="dxa"/>
            </w:tcMar>
          </w:tcPr>
          <w:p w14:paraId="4C611128">
            <w:pPr>
              <w:spacing w:after="0"/>
              <w:jc w:val="both"/>
              <w:rPr>
                <w:rFonts w:hint="default" w:ascii="Times New Roman" w:hAnsi="Times New Roman" w:cs="Times New Roman"/>
                <w:color w:val="auto"/>
              </w:rPr>
            </w:pPr>
            <w:r>
              <w:rPr>
                <w:rFonts w:hint="default" w:ascii="Times New Roman" w:hAnsi="Times New Roman" w:cs="Times New Roman"/>
                <w:color w:val="auto"/>
              </w:rPr>
              <w:t>Okradu, Bayoyi, Satita (Idi-Oro)</w:t>
            </w:r>
          </w:p>
        </w:tc>
        <w:tc>
          <w:tcPr>
            <w:tcW w:w="1440" w:type="dxa"/>
            <w:shd w:val="clear" w:color="auto" w:fill="FFFFFF"/>
            <w:tcMar>
              <w:top w:w="100" w:type="dxa"/>
              <w:left w:w="150" w:type="dxa"/>
              <w:bottom w:w="100" w:type="dxa"/>
              <w:right w:w="150" w:type="dxa"/>
            </w:tcMar>
          </w:tcPr>
          <w:p w14:paraId="1677D743">
            <w:pPr>
              <w:spacing w:after="0"/>
              <w:jc w:val="both"/>
              <w:rPr>
                <w:rFonts w:hint="default" w:ascii="Times New Roman" w:hAnsi="Times New Roman" w:cs="Times New Roman"/>
                <w:color w:val="auto"/>
              </w:rPr>
            </w:pPr>
            <w:r>
              <w:rPr>
                <w:rFonts w:hint="default" w:ascii="Times New Roman" w:hAnsi="Times New Roman" w:cs="Times New Roman"/>
                <w:color w:val="auto"/>
              </w:rPr>
              <w:t>3</w:t>
            </w:r>
          </w:p>
        </w:tc>
        <w:tc>
          <w:tcPr>
            <w:tcW w:w="1728" w:type="dxa"/>
            <w:shd w:val="clear" w:color="auto" w:fill="FFFFFF"/>
            <w:tcMar>
              <w:top w:w="100" w:type="dxa"/>
              <w:left w:w="150" w:type="dxa"/>
              <w:bottom w:w="100" w:type="dxa"/>
              <w:right w:w="150" w:type="dxa"/>
            </w:tcMar>
          </w:tcPr>
          <w:p w14:paraId="55091507">
            <w:pPr>
              <w:spacing w:after="0"/>
              <w:jc w:val="both"/>
              <w:rPr>
                <w:rFonts w:hint="default" w:ascii="Times New Roman" w:hAnsi="Times New Roman" w:cs="Times New Roman"/>
                <w:color w:val="auto"/>
              </w:rPr>
            </w:pPr>
            <w:r>
              <w:rPr>
                <w:rFonts w:hint="default" w:ascii="Times New Roman" w:hAnsi="Times New Roman" w:cs="Times New Roman"/>
                <w:color w:val="auto"/>
              </w:rPr>
              <w:t>3,023</w:t>
            </w:r>
          </w:p>
        </w:tc>
      </w:tr>
      <w:tr w14:paraId="3985D40E">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152" w:type="dxa"/>
            <w:shd w:val="clear" w:color="auto" w:fill="F0F5F5"/>
            <w:tcMar>
              <w:top w:w="100" w:type="dxa"/>
              <w:left w:w="150" w:type="dxa"/>
              <w:bottom w:w="100" w:type="dxa"/>
              <w:right w:w="150" w:type="dxa"/>
            </w:tcMar>
          </w:tcPr>
          <w:p w14:paraId="3C19704C">
            <w:pPr>
              <w:spacing w:after="0"/>
              <w:jc w:val="both"/>
              <w:rPr>
                <w:rFonts w:hint="default" w:ascii="Times New Roman" w:hAnsi="Times New Roman" w:cs="Times New Roman"/>
                <w:color w:val="auto"/>
              </w:rPr>
            </w:pPr>
            <w:r>
              <w:rPr>
                <w:rFonts w:hint="default" w:ascii="Times New Roman" w:hAnsi="Times New Roman" w:cs="Times New Roman"/>
                <w:color w:val="auto"/>
              </w:rPr>
              <w:t>3</w:t>
            </w:r>
          </w:p>
        </w:tc>
        <w:tc>
          <w:tcPr>
            <w:tcW w:w="5040" w:type="dxa"/>
            <w:shd w:val="clear" w:color="auto" w:fill="F0F5F5"/>
            <w:tcMar>
              <w:top w:w="100" w:type="dxa"/>
              <w:left w:w="150" w:type="dxa"/>
              <w:bottom w:w="100" w:type="dxa"/>
              <w:right w:w="150" w:type="dxa"/>
            </w:tcMar>
          </w:tcPr>
          <w:p w14:paraId="1691719A">
            <w:pPr>
              <w:spacing w:after="0"/>
              <w:jc w:val="both"/>
              <w:rPr>
                <w:rFonts w:hint="default" w:ascii="Times New Roman" w:hAnsi="Times New Roman" w:cs="Times New Roman"/>
                <w:color w:val="auto"/>
              </w:rPr>
            </w:pPr>
            <w:r>
              <w:rPr>
                <w:rFonts w:hint="default" w:ascii="Times New Roman" w:hAnsi="Times New Roman" w:cs="Times New Roman"/>
                <w:color w:val="auto"/>
              </w:rPr>
              <w:t>Baluru C7, Ekngoyi C8/C9 (Idi-Oro)</w:t>
            </w:r>
          </w:p>
        </w:tc>
        <w:tc>
          <w:tcPr>
            <w:tcW w:w="1440" w:type="dxa"/>
            <w:shd w:val="clear" w:color="auto" w:fill="F0F5F5"/>
            <w:tcMar>
              <w:top w:w="100" w:type="dxa"/>
              <w:left w:w="150" w:type="dxa"/>
              <w:bottom w:w="100" w:type="dxa"/>
              <w:right w:w="150" w:type="dxa"/>
            </w:tcMar>
          </w:tcPr>
          <w:p w14:paraId="4B0759D6">
            <w:pPr>
              <w:spacing w:after="0"/>
              <w:jc w:val="both"/>
              <w:rPr>
                <w:rFonts w:hint="default" w:ascii="Times New Roman" w:hAnsi="Times New Roman" w:cs="Times New Roman"/>
                <w:color w:val="auto"/>
              </w:rPr>
            </w:pPr>
            <w:r>
              <w:rPr>
                <w:rFonts w:hint="default" w:ascii="Times New Roman" w:hAnsi="Times New Roman" w:cs="Times New Roman"/>
                <w:color w:val="auto"/>
              </w:rPr>
              <w:t>3</w:t>
            </w:r>
          </w:p>
        </w:tc>
        <w:tc>
          <w:tcPr>
            <w:tcW w:w="1728" w:type="dxa"/>
            <w:shd w:val="clear" w:color="auto" w:fill="F0F5F5"/>
            <w:tcMar>
              <w:top w:w="100" w:type="dxa"/>
              <w:left w:w="150" w:type="dxa"/>
              <w:bottom w:w="100" w:type="dxa"/>
              <w:right w:w="150" w:type="dxa"/>
            </w:tcMar>
          </w:tcPr>
          <w:p w14:paraId="5CA0930A">
            <w:pPr>
              <w:spacing w:after="0"/>
              <w:jc w:val="both"/>
              <w:rPr>
                <w:rFonts w:hint="default" w:ascii="Times New Roman" w:hAnsi="Times New Roman" w:cs="Times New Roman"/>
                <w:color w:val="auto"/>
              </w:rPr>
            </w:pPr>
            <w:r>
              <w:rPr>
                <w:rFonts w:hint="default" w:ascii="Times New Roman" w:hAnsi="Times New Roman" w:cs="Times New Roman"/>
                <w:color w:val="auto"/>
              </w:rPr>
              <w:t>2,207</w:t>
            </w:r>
          </w:p>
        </w:tc>
      </w:tr>
      <w:tr w14:paraId="39DAE525">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152" w:type="dxa"/>
            <w:shd w:val="clear" w:color="auto" w:fill="FFFFFF"/>
            <w:tcMar>
              <w:top w:w="100" w:type="dxa"/>
              <w:left w:w="150" w:type="dxa"/>
              <w:bottom w:w="100" w:type="dxa"/>
              <w:right w:w="150" w:type="dxa"/>
            </w:tcMar>
          </w:tcPr>
          <w:p w14:paraId="4F256AA6">
            <w:pPr>
              <w:spacing w:after="0"/>
              <w:jc w:val="both"/>
              <w:rPr>
                <w:rFonts w:hint="default" w:ascii="Times New Roman" w:hAnsi="Times New Roman" w:cs="Times New Roman"/>
                <w:color w:val="auto"/>
              </w:rPr>
            </w:pPr>
            <w:r>
              <w:rPr>
                <w:rFonts w:hint="default" w:ascii="Times New Roman" w:hAnsi="Times New Roman" w:cs="Times New Roman"/>
                <w:color w:val="auto"/>
              </w:rPr>
              <w:t>4</w:t>
            </w:r>
          </w:p>
        </w:tc>
        <w:tc>
          <w:tcPr>
            <w:tcW w:w="5040" w:type="dxa"/>
            <w:shd w:val="clear" w:color="auto" w:fill="FFFFFF"/>
            <w:tcMar>
              <w:top w:w="100" w:type="dxa"/>
              <w:left w:w="150" w:type="dxa"/>
              <w:bottom w:w="100" w:type="dxa"/>
              <w:right w:w="150" w:type="dxa"/>
            </w:tcMar>
          </w:tcPr>
          <w:p w14:paraId="38B16127">
            <w:pPr>
              <w:spacing w:after="0"/>
              <w:jc w:val="both"/>
              <w:rPr>
                <w:rFonts w:hint="default" w:ascii="Times New Roman" w:hAnsi="Times New Roman" w:cs="Times New Roman"/>
                <w:color w:val="auto"/>
              </w:rPr>
            </w:pPr>
            <w:r>
              <w:rPr>
                <w:rFonts w:hint="default" w:ascii="Times New Roman" w:hAnsi="Times New Roman" w:cs="Times New Roman"/>
                <w:color w:val="auto"/>
              </w:rPr>
              <w:t>Kungomi ward (Katsuma) 54 settlements</w:t>
            </w:r>
          </w:p>
        </w:tc>
        <w:tc>
          <w:tcPr>
            <w:tcW w:w="1440" w:type="dxa"/>
            <w:shd w:val="clear" w:color="auto" w:fill="FFFFFF"/>
            <w:tcMar>
              <w:top w:w="100" w:type="dxa"/>
              <w:left w:w="150" w:type="dxa"/>
              <w:bottom w:w="100" w:type="dxa"/>
              <w:right w:w="150" w:type="dxa"/>
            </w:tcMar>
          </w:tcPr>
          <w:p w14:paraId="50DD8CAD">
            <w:pPr>
              <w:spacing w:after="0"/>
              <w:jc w:val="both"/>
              <w:rPr>
                <w:rFonts w:hint="default" w:ascii="Times New Roman" w:hAnsi="Times New Roman" w:cs="Times New Roman"/>
                <w:color w:val="auto"/>
              </w:rPr>
            </w:pPr>
            <w:r>
              <w:rPr>
                <w:rFonts w:hint="default" w:ascii="Times New Roman" w:hAnsi="Times New Roman" w:cs="Times New Roman"/>
                <w:color w:val="auto"/>
              </w:rPr>
              <w:t>7</w:t>
            </w:r>
          </w:p>
        </w:tc>
        <w:tc>
          <w:tcPr>
            <w:tcW w:w="1728" w:type="dxa"/>
            <w:shd w:val="clear" w:color="auto" w:fill="FFFFFF"/>
            <w:tcMar>
              <w:top w:w="100" w:type="dxa"/>
              <w:left w:w="150" w:type="dxa"/>
              <w:bottom w:w="100" w:type="dxa"/>
              <w:right w:w="150" w:type="dxa"/>
            </w:tcMar>
          </w:tcPr>
          <w:p w14:paraId="045A00E4">
            <w:pPr>
              <w:spacing w:after="0"/>
              <w:jc w:val="both"/>
              <w:rPr>
                <w:rFonts w:hint="default" w:ascii="Times New Roman" w:hAnsi="Times New Roman" w:cs="Times New Roman"/>
                <w:color w:val="auto"/>
              </w:rPr>
            </w:pPr>
            <w:r>
              <w:rPr>
                <w:rFonts w:hint="default" w:ascii="Times New Roman" w:hAnsi="Times New Roman" w:cs="Times New Roman"/>
                <w:color w:val="auto"/>
              </w:rPr>
              <w:t>4,849</w:t>
            </w:r>
          </w:p>
        </w:tc>
      </w:tr>
      <w:tr w14:paraId="7F1381E3">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152" w:type="dxa"/>
            <w:shd w:val="clear" w:color="auto" w:fill="F0F5F5"/>
            <w:tcMar>
              <w:top w:w="100" w:type="dxa"/>
              <w:left w:w="150" w:type="dxa"/>
              <w:bottom w:w="100" w:type="dxa"/>
              <w:right w:w="150" w:type="dxa"/>
            </w:tcMar>
          </w:tcPr>
          <w:p w14:paraId="783DE26A">
            <w:pPr>
              <w:spacing w:after="0"/>
              <w:jc w:val="both"/>
              <w:rPr>
                <w:rFonts w:hint="default" w:ascii="Times New Roman" w:hAnsi="Times New Roman" w:cs="Times New Roman"/>
                <w:color w:val="auto"/>
              </w:rPr>
            </w:pPr>
            <w:r>
              <w:rPr>
                <w:rFonts w:hint="default" w:ascii="Times New Roman" w:hAnsi="Times New Roman" w:cs="Times New Roman"/>
                <w:color w:val="auto"/>
              </w:rPr>
              <w:t>5</w:t>
            </w:r>
          </w:p>
        </w:tc>
        <w:tc>
          <w:tcPr>
            <w:tcW w:w="5040" w:type="dxa"/>
            <w:shd w:val="clear" w:color="auto" w:fill="F0F5F5"/>
            <w:tcMar>
              <w:top w:w="100" w:type="dxa"/>
              <w:left w:w="150" w:type="dxa"/>
              <w:bottom w:w="100" w:type="dxa"/>
              <w:right w:w="150" w:type="dxa"/>
            </w:tcMar>
          </w:tcPr>
          <w:p w14:paraId="2EE6CDB7">
            <w:pPr>
              <w:spacing w:after="0"/>
              <w:jc w:val="both"/>
              <w:rPr>
                <w:rFonts w:hint="default" w:ascii="Times New Roman" w:hAnsi="Times New Roman" w:cs="Times New Roman"/>
                <w:color w:val="auto"/>
              </w:rPr>
            </w:pPr>
            <w:r>
              <w:rPr>
                <w:rFonts w:hint="default" w:ascii="Times New Roman" w:hAnsi="Times New Roman" w:cs="Times New Roman"/>
                <w:color w:val="auto"/>
              </w:rPr>
              <w:t>Residual: Bayoyi, Famade, Okradu, Baluru, Ekduru wards (Idi-Oro)</w:t>
            </w:r>
          </w:p>
        </w:tc>
        <w:tc>
          <w:tcPr>
            <w:tcW w:w="1440" w:type="dxa"/>
            <w:shd w:val="clear" w:color="auto" w:fill="F0F5F5"/>
            <w:tcMar>
              <w:top w:w="100" w:type="dxa"/>
              <w:left w:w="150" w:type="dxa"/>
              <w:bottom w:w="100" w:type="dxa"/>
              <w:right w:w="150" w:type="dxa"/>
            </w:tcMar>
          </w:tcPr>
          <w:p w14:paraId="5103E73F">
            <w:pPr>
              <w:spacing w:after="0"/>
              <w:jc w:val="both"/>
              <w:rPr>
                <w:rFonts w:hint="default" w:ascii="Times New Roman" w:hAnsi="Times New Roman" w:cs="Times New Roman"/>
                <w:color w:val="auto"/>
              </w:rPr>
            </w:pPr>
            <w:r>
              <w:rPr>
                <w:rFonts w:hint="default" w:ascii="Times New Roman" w:hAnsi="Times New Roman" w:cs="Times New Roman"/>
                <w:color w:val="auto"/>
              </w:rPr>
              <w:t>14</w:t>
            </w:r>
          </w:p>
        </w:tc>
        <w:tc>
          <w:tcPr>
            <w:tcW w:w="1728" w:type="dxa"/>
            <w:shd w:val="clear" w:color="auto" w:fill="F0F5F5"/>
            <w:tcMar>
              <w:top w:w="100" w:type="dxa"/>
              <w:left w:w="150" w:type="dxa"/>
              <w:bottom w:w="100" w:type="dxa"/>
              <w:right w:w="150" w:type="dxa"/>
            </w:tcMar>
          </w:tcPr>
          <w:p w14:paraId="55DD6E9D">
            <w:pPr>
              <w:spacing w:after="0"/>
              <w:jc w:val="both"/>
              <w:rPr>
                <w:rFonts w:hint="default" w:ascii="Times New Roman" w:hAnsi="Times New Roman" w:cs="Times New Roman"/>
                <w:color w:val="auto"/>
              </w:rPr>
            </w:pPr>
            <w:r>
              <w:rPr>
                <w:rFonts w:hint="default" w:ascii="Times New Roman" w:hAnsi="Times New Roman" w:cs="Times New Roman"/>
                <w:color w:val="auto"/>
              </w:rPr>
              <w:t>9,547</w:t>
            </w:r>
          </w:p>
        </w:tc>
      </w:tr>
      <w:tr w14:paraId="6EC86667">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40" w:type="dxa"/>
            <w:shd w:val="clear" w:color="auto" w:fill="E0ECEC"/>
            <w:tcMar>
              <w:top w:w="100" w:type="dxa"/>
              <w:left w:w="150" w:type="dxa"/>
              <w:bottom w:w="100" w:type="dxa"/>
              <w:right w:w="150" w:type="dxa"/>
            </w:tcMar>
          </w:tcPr>
          <w:p w14:paraId="563B2840">
            <w:pPr>
              <w:jc w:val="both"/>
              <w:rPr>
                <w:rFonts w:hint="default" w:ascii="Times New Roman" w:hAnsi="Times New Roman" w:cs="Times New Roman"/>
                <w:color w:val="auto"/>
              </w:rPr>
            </w:pPr>
            <w:r>
              <w:rPr>
                <w:rFonts w:hint="default" w:ascii="Times New Roman" w:hAnsi="Times New Roman" w:cs="Times New Roman"/>
                <w:b/>
                <w:color w:val="auto"/>
              </w:rPr>
              <w:t>TOTAL</w:t>
            </w:r>
          </w:p>
        </w:tc>
        <w:tc>
          <w:tcPr>
            <w:tcW w:w="2340" w:type="dxa"/>
            <w:shd w:val="clear" w:color="auto" w:fill="E0ECEC"/>
            <w:tcMar>
              <w:top w:w="100" w:type="dxa"/>
              <w:left w:w="150" w:type="dxa"/>
              <w:bottom w:w="100" w:type="dxa"/>
              <w:right w:w="150" w:type="dxa"/>
            </w:tcMar>
          </w:tcPr>
          <w:p w14:paraId="578DB50F">
            <w:pPr>
              <w:jc w:val="both"/>
              <w:rPr>
                <w:rFonts w:hint="default" w:ascii="Times New Roman" w:hAnsi="Times New Roman" w:cs="Times New Roman"/>
                <w:color w:val="auto"/>
              </w:rPr>
            </w:pPr>
          </w:p>
        </w:tc>
        <w:tc>
          <w:tcPr>
            <w:tcW w:w="2340" w:type="dxa"/>
            <w:shd w:val="clear" w:color="auto" w:fill="E0ECEC"/>
            <w:tcMar>
              <w:top w:w="100" w:type="dxa"/>
              <w:left w:w="150" w:type="dxa"/>
              <w:bottom w:w="100" w:type="dxa"/>
              <w:right w:w="150" w:type="dxa"/>
            </w:tcMar>
          </w:tcPr>
          <w:p w14:paraId="024F9CB7">
            <w:pPr>
              <w:jc w:val="both"/>
              <w:rPr>
                <w:rFonts w:hint="default" w:ascii="Times New Roman" w:hAnsi="Times New Roman" w:cs="Times New Roman"/>
                <w:color w:val="auto"/>
              </w:rPr>
            </w:pPr>
            <w:r>
              <w:rPr>
                <w:rFonts w:hint="default" w:ascii="Times New Roman" w:hAnsi="Times New Roman" w:cs="Times New Roman"/>
                <w:b/>
                <w:color w:val="auto"/>
              </w:rPr>
              <w:t>32</w:t>
            </w:r>
          </w:p>
        </w:tc>
        <w:tc>
          <w:tcPr>
            <w:tcW w:w="2340" w:type="dxa"/>
            <w:shd w:val="clear" w:color="auto" w:fill="E0ECEC"/>
            <w:tcMar>
              <w:top w:w="100" w:type="dxa"/>
              <w:left w:w="150" w:type="dxa"/>
              <w:bottom w:w="100" w:type="dxa"/>
              <w:right w:w="150" w:type="dxa"/>
            </w:tcMar>
          </w:tcPr>
          <w:p w14:paraId="5EEFC13F">
            <w:pPr>
              <w:jc w:val="both"/>
              <w:rPr>
                <w:rFonts w:hint="default" w:ascii="Times New Roman" w:hAnsi="Times New Roman" w:cs="Times New Roman"/>
                <w:color w:val="auto"/>
              </w:rPr>
            </w:pPr>
            <w:r>
              <w:rPr>
                <w:rFonts w:hint="default" w:ascii="Times New Roman" w:hAnsi="Times New Roman" w:cs="Times New Roman"/>
                <w:b/>
                <w:color w:val="auto"/>
              </w:rPr>
              <w:t>28,368</w:t>
            </w:r>
          </w:p>
        </w:tc>
      </w:tr>
    </w:tbl>
    <w:p w14:paraId="02D11C70">
      <w:pPr>
        <w:spacing w:after="120" w:line="360" w:lineRule="auto"/>
        <w:jc w:val="both"/>
        <w:rPr>
          <w:rFonts w:hint="default" w:ascii="Times New Roman" w:hAnsi="Times New Roman" w:cs="Times New Roman"/>
          <w:color w:val="auto"/>
        </w:rPr>
      </w:pPr>
      <w:r>
        <w:rPr>
          <w:rFonts w:hint="default" w:ascii="Times New Roman" w:hAnsi="Times New Roman" w:cs="Times New Roman"/>
          <w:i/>
          <w:color w:val="auto"/>
          <w:sz w:val="24"/>
          <w:szCs w:val="24"/>
        </w:rPr>
        <w:t>Planning basis: 8 settlements per team per day, taken from the working stops actually observed in this round rather than from a microplan assumption</w:t>
      </w:r>
      <w:r>
        <w:rPr>
          <w:rFonts w:hint="default" w:ascii="Times New Roman" w:hAnsi="Times New Roman" w:cs="Times New Roman"/>
          <w:i/>
          <w:color w:val="auto"/>
        </w:rPr>
        <w:t>.</w:t>
      </w:r>
    </w:p>
    <w:p w14:paraId="416C4D6A">
      <w:pPr>
        <w:keepNext/>
        <w:spacing w:before="280" w:after="120"/>
        <w:jc w:val="both"/>
        <w:rPr>
          <w:rFonts w:hint="default" w:ascii="Times New Roman" w:hAnsi="Times New Roman" w:cs="Times New Roman"/>
          <w:color w:val="auto"/>
        </w:rPr>
      </w:pPr>
      <w:r>
        <w:rPr>
          <w:rFonts w:hint="default" w:ascii="Times New Roman" w:hAnsi="Times New Roman" w:cs="Times New Roman"/>
          <w:b/>
          <w:color w:val="auto"/>
          <w:sz w:val="28"/>
        </w:rPr>
        <w:t>THREE THINGS THAT NEED YOUR DECISION TODAY</w:t>
      </w:r>
    </w:p>
    <w:p w14:paraId="4579BE1D">
      <w:pPr>
        <w:pStyle w:val="23"/>
        <w:spacing w:after="80"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Reported coverage cannot be verified for 1,260 settlements. Eight teams reported settlements 19–66 km from where their trackers place them, on devices that worked normally all five days. Seven reported 'settlements' do not exist in the masterlist at all. This is as consistent with a data-entry or keying fault as missing — do not sanction teams on this evidence.</w:t>
      </w:r>
    </w:p>
    <w:p w14:paraId="7338EFB2">
      <w:pPr>
        <w:pStyle w:val="23"/>
        <w:spacing w:after="80"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Team T25 worked five full days in Ilela and filed no tally at all. Thirty settlements there show GPS evidence of a visit but no reported doses. Recover that book before the final coverage figure is signed off.</w:t>
      </w:r>
    </w:p>
    <w:p w14:paraId="21935B27">
      <w:pPr>
        <w:pStyle w:val="23"/>
        <w:spacing w:after="80"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Five 'inaccessible' settlements have doses reported against them. These were classified inaccessible on security grounds before the round. Either the security classification is out of date or the reports are misattributed. Reconcile with your security lead before the next round is planned.</w:t>
      </w:r>
    </w:p>
    <w:p w14:paraId="37DFD992">
      <w:pPr>
        <w:keepNext/>
        <w:spacing w:before="280" w:after="120"/>
        <w:jc w:val="both"/>
        <w:rPr>
          <w:rFonts w:hint="default" w:ascii="Times New Roman" w:hAnsi="Times New Roman" w:cs="Times New Roman"/>
          <w:color w:val="auto"/>
        </w:rPr>
      </w:pPr>
      <w:r>
        <w:rPr>
          <w:rFonts w:hint="default" w:ascii="Times New Roman" w:hAnsi="Times New Roman" w:cs="Times New Roman"/>
          <w:b/>
          <w:color w:val="auto"/>
          <w:sz w:val="28"/>
        </w:rPr>
        <w:t>WHAT THIS BRIEF DOES NOT TELL YOU</w:t>
      </w:r>
    </w:p>
    <w:p w14:paraId="5215961C">
      <w:pPr>
        <w:pStyle w:val="23"/>
        <w:spacing w:after="80"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clusters are areas, not lists of children. They do not identify which individual settlement was missed, and they say nothing about whether any particular child was vaccinated. A settlement inside a cluster may have been fully reached; one outside may have been missed.</w:t>
      </w:r>
    </w:p>
    <w:p w14:paraId="62D81C9F">
      <w:pPr>
        <w:pStyle w:val="23"/>
        <w:spacing w:after="80" w:line="36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GPS evidence is also weaker in dense urban Idi-Oro, where positional accuracy averages 34 m against 8 m in rural wards, so treat the Idi-Oro figures as the better-supported direction of travel, not as a precise count.</w:t>
      </w:r>
    </w:p>
    <w:p w14:paraId="6134ED46">
      <w:pPr>
        <w:pStyle w:val="23"/>
        <w:numPr>
          <w:numId w:val="0"/>
        </w:numPr>
        <w:spacing w:after="80" w:line="360" w:lineRule="auto"/>
        <w:contextualSpacing/>
        <w:jc w:val="both"/>
        <w:rPr>
          <w:rFonts w:hint="default" w:ascii="Times New Roman" w:hAnsi="Times New Roman" w:cs="Times New Roman"/>
          <w:color w:val="auto"/>
          <w:sz w:val="24"/>
          <w:szCs w:val="24"/>
        </w:rPr>
      </w:pPr>
    </w:p>
    <w:p w14:paraId="3D8CFF63">
      <w:pPr>
        <w:pStyle w:val="23"/>
        <w:numPr>
          <w:numId w:val="0"/>
        </w:numPr>
        <w:spacing w:after="80" w:line="360" w:lineRule="auto"/>
        <w:contextualSpacing/>
        <w:jc w:val="both"/>
        <w:rPr>
          <w:rFonts w:hint="default" w:ascii="Times New Roman" w:hAnsi="Times New Roman" w:cs="Times New Roman"/>
          <w:color w:val="auto"/>
          <w:sz w:val="24"/>
          <w:szCs w:val="24"/>
        </w:rPr>
      </w:pPr>
    </w:p>
    <w:p w14:paraId="0AD035C1">
      <w:pPr>
        <w:pStyle w:val="23"/>
        <w:numPr>
          <w:numId w:val="0"/>
        </w:numPr>
        <w:spacing w:after="80" w:line="360" w:lineRule="auto"/>
        <w:contextualSpacing/>
        <w:jc w:val="both"/>
        <w:rPr>
          <w:rFonts w:hint="default" w:ascii="Times New Roman" w:hAnsi="Times New Roman" w:cs="Times New Roman"/>
          <w:color w:val="auto"/>
          <w:sz w:val="24"/>
          <w:szCs w:val="24"/>
        </w:rPr>
      </w:pPr>
    </w:p>
    <w:p w14:paraId="6C4DA18F">
      <w:pPr>
        <w:pStyle w:val="23"/>
        <w:numPr>
          <w:numId w:val="0"/>
        </w:numPr>
        <w:spacing w:after="80" w:line="360" w:lineRule="auto"/>
        <w:contextualSpacing/>
        <w:jc w:val="both"/>
        <w:rPr>
          <w:rFonts w:hint="default" w:ascii="Times New Roman" w:hAnsi="Times New Roman" w:cs="Times New Roman"/>
          <w:color w:val="auto"/>
          <w:sz w:val="24"/>
          <w:szCs w:val="24"/>
        </w:rPr>
      </w:pPr>
    </w:p>
    <w:p w14:paraId="3C32889E">
      <w:pPr>
        <w:pStyle w:val="23"/>
        <w:numPr>
          <w:numId w:val="0"/>
        </w:numPr>
        <w:spacing w:after="80" w:line="360" w:lineRule="auto"/>
        <w:contextualSpacing/>
        <w:jc w:val="both"/>
        <w:rPr>
          <w:rFonts w:hint="default" w:ascii="Times New Roman" w:hAnsi="Times New Roman" w:cs="Times New Roman"/>
          <w:color w:val="auto"/>
          <w:sz w:val="24"/>
          <w:szCs w:val="24"/>
        </w:rPr>
      </w:pPr>
    </w:p>
    <w:p w14:paraId="52C25AD5">
      <w:pPr>
        <w:pStyle w:val="23"/>
        <w:numPr>
          <w:numId w:val="0"/>
        </w:numPr>
        <w:spacing w:after="80" w:line="360" w:lineRule="auto"/>
        <w:contextualSpacing/>
        <w:jc w:val="both"/>
        <w:rPr>
          <w:rFonts w:hint="default" w:ascii="Times New Roman" w:hAnsi="Times New Roman" w:cs="Times New Roman"/>
          <w:color w:val="auto"/>
          <w:sz w:val="24"/>
          <w:szCs w:val="24"/>
        </w:rPr>
      </w:pPr>
    </w:p>
    <w:p w14:paraId="657438A4">
      <w:pPr>
        <w:keepNext/>
        <w:spacing w:before="280" w:after="120"/>
        <w:jc w:val="left"/>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WHERE THE 41,868 UNREACHED CHILDREN ARE — TOP NINE WARDS</w:t>
      </w:r>
    </w:p>
    <w:p w14:paraId="71EB7B34">
      <w:pPr>
        <w:spacing w:after="120"/>
        <w:jc w:val="both"/>
        <w:rPr>
          <w:rFonts w:hint="default" w:ascii="Times New Roman" w:hAnsi="Times New Roman" w:cs="Times New Roman"/>
          <w:color w:val="auto"/>
        </w:rPr>
      </w:pPr>
      <w:r>
        <w:rPr>
          <w:rFonts w:hint="default" w:ascii="Times New Roman" w:hAnsi="Times New Roman" w:cs="Times New Roman"/>
          <w:i/>
          <w:color w:val="auto"/>
        </w:rPr>
        <w:t>Legend: Green = Reached by the 24-hour plan above. Grey = Not reached: carry into the next round.</w:t>
      </w:r>
    </w:p>
    <w:tbl>
      <w:tblPr>
        <w:tblStyle w:val="12"/>
        <w:tblW w:w="0" w:type="auto"/>
        <w:jc w:val="center"/>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3168"/>
        <w:gridCol w:w="2160"/>
        <w:gridCol w:w="2016"/>
        <w:gridCol w:w="2016"/>
      </w:tblGrid>
      <w:tr w14:paraId="60FF3815">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tblHeader/>
          <w:jc w:val="center"/>
        </w:trPr>
        <w:tc>
          <w:tcPr>
            <w:tcW w:w="3168" w:type="dxa"/>
            <w:shd w:val="clear" w:color="auto" w:fill="124E4B"/>
            <w:tcMar>
              <w:top w:w="120" w:type="dxa"/>
              <w:left w:w="150" w:type="dxa"/>
              <w:bottom w:w="120" w:type="dxa"/>
              <w:right w:w="150" w:type="dxa"/>
            </w:tcMar>
          </w:tcPr>
          <w:p w14:paraId="633EFBF5">
            <w:pPr>
              <w:spacing w:after="0"/>
              <w:jc w:val="both"/>
              <w:rPr>
                <w:rFonts w:hint="default" w:ascii="Times New Roman" w:hAnsi="Times New Roman" w:cs="Times New Roman"/>
                <w:color w:val="auto"/>
              </w:rPr>
            </w:pPr>
            <w:r>
              <w:rPr>
                <w:rFonts w:hint="default" w:ascii="Times New Roman" w:hAnsi="Times New Roman" w:cs="Times New Roman"/>
                <w:b/>
                <w:color w:val="auto"/>
              </w:rPr>
              <w:t>Ward (LGA)</w:t>
            </w:r>
          </w:p>
        </w:tc>
        <w:tc>
          <w:tcPr>
            <w:tcW w:w="2160" w:type="dxa"/>
            <w:shd w:val="clear" w:color="auto" w:fill="124E4B"/>
            <w:tcMar>
              <w:top w:w="120" w:type="dxa"/>
              <w:left w:w="150" w:type="dxa"/>
              <w:bottom w:w="120" w:type="dxa"/>
              <w:right w:w="150" w:type="dxa"/>
            </w:tcMar>
          </w:tcPr>
          <w:p w14:paraId="2217D2B8">
            <w:pPr>
              <w:spacing w:after="0"/>
              <w:jc w:val="both"/>
              <w:rPr>
                <w:rFonts w:hint="default" w:ascii="Times New Roman" w:hAnsi="Times New Roman" w:cs="Times New Roman"/>
                <w:color w:val="auto"/>
              </w:rPr>
            </w:pPr>
            <w:r>
              <w:rPr>
                <w:rFonts w:hint="default" w:ascii="Times New Roman" w:hAnsi="Times New Roman" w:cs="Times New Roman"/>
                <w:b/>
                <w:color w:val="auto"/>
              </w:rPr>
              <w:t>Unreached Children</w:t>
            </w:r>
          </w:p>
        </w:tc>
        <w:tc>
          <w:tcPr>
            <w:tcW w:w="2016" w:type="dxa"/>
            <w:shd w:val="clear" w:color="auto" w:fill="124E4B"/>
            <w:tcMar>
              <w:top w:w="120" w:type="dxa"/>
              <w:left w:w="150" w:type="dxa"/>
              <w:bottom w:w="120" w:type="dxa"/>
              <w:right w:w="150" w:type="dxa"/>
            </w:tcMar>
          </w:tcPr>
          <w:p w14:paraId="3841CBB1">
            <w:pPr>
              <w:spacing w:after="0"/>
              <w:jc w:val="both"/>
              <w:rPr>
                <w:rFonts w:hint="default" w:ascii="Times New Roman" w:hAnsi="Times New Roman" w:cs="Times New Roman"/>
                <w:color w:val="auto"/>
              </w:rPr>
            </w:pPr>
            <w:r>
              <w:rPr>
                <w:rFonts w:hint="default" w:ascii="Times New Roman" w:hAnsi="Times New Roman" w:cs="Times New Roman"/>
                <w:b/>
                <w:color w:val="auto"/>
              </w:rPr>
              <w:t>Status in 24-Hr Plan</w:t>
            </w:r>
          </w:p>
        </w:tc>
        <w:tc>
          <w:tcPr>
            <w:tcW w:w="2016" w:type="dxa"/>
            <w:shd w:val="clear" w:color="auto" w:fill="124E4B"/>
            <w:tcMar>
              <w:top w:w="120" w:type="dxa"/>
              <w:left w:w="150" w:type="dxa"/>
              <w:bottom w:w="120" w:type="dxa"/>
              <w:right w:w="150" w:type="dxa"/>
            </w:tcMar>
          </w:tcPr>
          <w:p w14:paraId="16A7E64C">
            <w:pPr>
              <w:spacing w:after="0"/>
              <w:jc w:val="both"/>
              <w:rPr>
                <w:rFonts w:hint="default" w:ascii="Times New Roman" w:hAnsi="Times New Roman" w:cs="Times New Roman"/>
                <w:color w:val="auto"/>
              </w:rPr>
            </w:pPr>
            <w:r>
              <w:rPr>
                <w:rFonts w:hint="default" w:ascii="Times New Roman" w:hAnsi="Times New Roman" w:cs="Times New Roman"/>
                <w:b/>
                <w:color w:val="auto"/>
              </w:rPr>
              <w:t>Action</w:t>
            </w:r>
          </w:p>
        </w:tc>
      </w:tr>
      <w:tr w14:paraId="315A58C1">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68" w:type="dxa"/>
            <w:shd w:val="clear" w:color="auto" w:fill="F0F5F5"/>
            <w:tcMar>
              <w:top w:w="100" w:type="dxa"/>
              <w:left w:w="150" w:type="dxa"/>
              <w:bottom w:w="100" w:type="dxa"/>
              <w:right w:w="150" w:type="dxa"/>
            </w:tcMar>
          </w:tcPr>
          <w:p w14:paraId="78300840">
            <w:pPr>
              <w:spacing w:after="0"/>
              <w:jc w:val="both"/>
              <w:rPr>
                <w:rFonts w:hint="default" w:ascii="Times New Roman" w:hAnsi="Times New Roman" w:cs="Times New Roman"/>
                <w:color w:val="auto"/>
              </w:rPr>
            </w:pPr>
            <w:r>
              <w:rPr>
                <w:rFonts w:hint="default" w:ascii="Times New Roman" w:hAnsi="Times New Roman" w:cs="Times New Roman"/>
                <w:color w:val="auto"/>
              </w:rPr>
              <w:t>Umyosa (Idi-Oro)</w:t>
            </w:r>
          </w:p>
        </w:tc>
        <w:tc>
          <w:tcPr>
            <w:tcW w:w="2160" w:type="dxa"/>
            <w:shd w:val="clear" w:color="auto" w:fill="F0F5F5"/>
            <w:tcMar>
              <w:top w:w="100" w:type="dxa"/>
              <w:left w:w="150" w:type="dxa"/>
              <w:bottom w:w="100" w:type="dxa"/>
              <w:right w:w="150" w:type="dxa"/>
            </w:tcMar>
          </w:tcPr>
          <w:p w14:paraId="54A08A0A">
            <w:pPr>
              <w:spacing w:after="0"/>
              <w:jc w:val="both"/>
              <w:rPr>
                <w:rFonts w:hint="default" w:ascii="Times New Roman" w:hAnsi="Times New Roman" w:cs="Times New Roman"/>
                <w:color w:val="auto"/>
              </w:rPr>
            </w:pPr>
            <w:r>
              <w:rPr>
                <w:rFonts w:hint="default" w:ascii="Times New Roman" w:hAnsi="Times New Roman" w:cs="Times New Roman"/>
                <w:color w:val="auto"/>
              </w:rPr>
              <w:t>5,000</w:t>
            </w:r>
          </w:p>
        </w:tc>
        <w:tc>
          <w:tcPr>
            <w:tcW w:w="2016" w:type="dxa"/>
            <w:shd w:val="clear" w:color="auto" w:fill="E8F5E9"/>
            <w:tcMar>
              <w:top w:w="100" w:type="dxa"/>
              <w:left w:w="150" w:type="dxa"/>
              <w:bottom w:w="100" w:type="dxa"/>
              <w:right w:w="150" w:type="dxa"/>
            </w:tcMar>
          </w:tcPr>
          <w:p w14:paraId="60767086">
            <w:pPr>
              <w:spacing w:after="0"/>
              <w:jc w:val="both"/>
              <w:rPr>
                <w:rFonts w:hint="default" w:ascii="Times New Roman" w:hAnsi="Times New Roman" w:cs="Times New Roman"/>
                <w:color w:val="auto"/>
              </w:rPr>
            </w:pPr>
            <w:r>
              <w:rPr>
                <w:rFonts w:hint="default" w:ascii="Times New Roman" w:hAnsi="Times New Roman" w:cs="Times New Roman"/>
                <w:b/>
                <w:color w:val="auto"/>
              </w:rPr>
              <w:t>Reached</w:t>
            </w:r>
          </w:p>
        </w:tc>
        <w:tc>
          <w:tcPr>
            <w:tcW w:w="2016" w:type="dxa"/>
            <w:shd w:val="clear" w:color="auto" w:fill="F0F5F5"/>
            <w:tcMar>
              <w:top w:w="100" w:type="dxa"/>
              <w:left w:w="150" w:type="dxa"/>
              <w:bottom w:w="100" w:type="dxa"/>
              <w:right w:w="150" w:type="dxa"/>
            </w:tcMar>
          </w:tcPr>
          <w:p w14:paraId="4283E8FF">
            <w:pPr>
              <w:spacing w:after="0"/>
              <w:jc w:val="both"/>
              <w:rPr>
                <w:rFonts w:hint="default" w:ascii="Times New Roman" w:hAnsi="Times New Roman" w:cs="Times New Roman"/>
                <w:color w:val="auto"/>
              </w:rPr>
            </w:pPr>
            <w:r>
              <w:rPr>
                <w:rFonts w:hint="default" w:ascii="Times New Roman" w:hAnsi="Times New Roman" w:cs="Times New Roman"/>
                <w:color w:val="auto"/>
              </w:rPr>
              <w:t>Targeted in 24-hr plan</w:t>
            </w:r>
          </w:p>
        </w:tc>
      </w:tr>
      <w:tr w14:paraId="1D58F29E">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68" w:type="dxa"/>
            <w:shd w:val="clear" w:color="auto" w:fill="FFFFFF"/>
            <w:tcMar>
              <w:top w:w="100" w:type="dxa"/>
              <w:left w:w="150" w:type="dxa"/>
              <w:bottom w:w="100" w:type="dxa"/>
              <w:right w:w="150" w:type="dxa"/>
            </w:tcMar>
          </w:tcPr>
          <w:p w14:paraId="71835288">
            <w:pPr>
              <w:spacing w:after="0"/>
              <w:jc w:val="both"/>
              <w:rPr>
                <w:rFonts w:hint="default" w:ascii="Times New Roman" w:hAnsi="Times New Roman" w:cs="Times New Roman"/>
                <w:color w:val="auto"/>
              </w:rPr>
            </w:pPr>
            <w:r>
              <w:rPr>
                <w:rFonts w:hint="default" w:ascii="Times New Roman" w:hAnsi="Times New Roman" w:cs="Times New Roman"/>
                <w:color w:val="auto"/>
              </w:rPr>
              <w:t>Baluru (Idi-Oro)</w:t>
            </w:r>
          </w:p>
        </w:tc>
        <w:tc>
          <w:tcPr>
            <w:tcW w:w="2160" w:type="dxa"/>
            <w:shd w:val="clear" w:color="auto" w:fill="FFFFFF"/>
            <w:tcMar>
              <w:top w:w="100" w:type="dxa"/>
              <w:left w:w="150" w:type="dxa"/>
              <w:bottom w:w="100" w:type="dxa"/>
              <w:right w:w="150" w:type="dxa"/>
            </w:tcMar>
          </w:tcPr>
          <w:p w14:paraId="70299895">
            <w:pPr>
              <w:spacing w:after="0"/>
              <w:jc w:val="both"/>
              <w:rPr>
                <w:rFonts w:hint="default" w:ascii="Times New Roman" w:hAnsi="Times New Roman" w:cs="Times New Roman"/>
                <w:color w:val="auto"/>
              </w:rPr>
            </w:pPr>
            <w:r>
              <w:rPr>
                <w:rFonts w:hint="default" w:ascii="Times New Roman" w:hAnsi="Times New Roman" w:cs="Times New Roman"/>
                <w:color w:val="auto"/>
              </w:rPr>
              <w:t>4,937</w:t>
            </w:r>
          </w:p>
        </w:tc>
        <w:tc>
          <w:tcPr>
            <w:tcW w:w="2016" w:type="dxa"/>
            <w:shd w:val="clear" w:color="auto" w:fill="E8F5E9"/>
            <w:tcMar>
              <w:top w:w="100" w:type="dxa"/>
              <w:left w:w="150" w:type="dxa"/>
              <w:bottom w:w="100" w:type="dxa"/>
              <w:right w:w="150" w:type="dxa"/>
            </w:tcMar>
          </w:tcPr>
          <w:p w14:paraId="5A1A4075">
            <w:pPr>
              <w:spacing w:after="0"/>
              <w:jc w:val="both"/>
              <w:rPr>
                <w:rFonts w:hint="default" w:ascii="Times New Roman" w:hAnsi="Times New Roman" w:cs="Times New Roman"/>
                <w:color w:val="auto"/>
              </w:rPr>
            </w:pPr>
            <w:r>
              <w:rPr>
                <w:rFonts w:hint="default" w:ascii="Times New Roman" w:hAnsi="Times New Roman" w:cs="Times New Roman"/>
                <w:b/>
                <w:color w:val="auto"/>
              </w:rPr>
              <w:t>Reached</w:t>
            </w:r>
          </w:p>
        </w:tc>
        <w:tc>
          <w:tcPr>
            <w:tcW w:w="2016" w:type="dxa"/>
            <w:shd w:val="clear" w:color="auto" w:fill="FFFFFF"/>
            <w:tcMar>
              <w:top w:w="100" w:type="dxa"/>
              <w:left w:w="150" w:type="dxa"/>
              <w:bottom w:w="100" w:type="dxa"/>
              <w:right w:w="150" w:type="dxa"/>
            </w:tcMar>
          </w:tcPr>
          <w:p w14:paraId="63C5C26C">
            <w:pPr>
              <w:spacing w:after="0"/>
              <w:jc w:val="both"/>
              <w:rPr>
                <w:rFonts w:hint="default" w:ascii="Times New Roman" w:hAnsi="Times New Roman" w:cs="Times New Roman"/>
                <w:color w:val="auto"/>
              </w:rPr>
            </w:pPr>
            <w:r>
              <w:rPr>
                <w:rFonts w:hint="default" w:ascii="Times New Roman" w:hAnsi="Times New Roman" w:cs="Times New Roman"/>
                <w:color w:val="auto"/>
              </w:rPr>
              <w:t>Targeted in 24-hr plan</w:t>
            </w:r>
          </w:p>
        </w:tc>
      </w:tr>
      <w:tr w14:paraId="1D8A27FE">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68" w:type="dxa"/>
            <w:shd w:val="clear" w:color="auto" w:fill="F0F5F5"/>
            <w:tcMar>
              <w:top w:w="100" w:type="dxa"/>
              <w:left w:w="150" w:type="dxa"/>
              <w:bottom w:w="100" w:type="dxa"/>
              <w:right w:w="150" w:type="dxa"/>
            </w:tcMar>
          </w:tcPr>
          <w:p w14:paraId="72DABFEF">
            <w:pPr>
              <w:spacing w:after="0"/>
              <w:jc w:val="both"/>
              <w:rPr>
                <w:rFonts w:hint="default" w:ascii="Times New Roman" w:hAnsi="Times New Roman" w:cs="Times New Roman"/>
                <w:color w:val="auto"/>
              </w:rPr>
            </w:pPr>
            <w:r>
              <w:rPr>
                <w:rFonts w:hint="default" w:ascii="Times New Roman" w:hAnsi="Times New Roman" w:cs="Times New Roman"/>
                <w:color w:val="auto"/>
              </w:rPr>
              <w:t>Satita (Idi-Oro)</w:t>
            </w:r>
          </w:p>
        </w:tc>
        <w:tc>
          <w:tcPr>
            <w:tcW w:w="2160" w:type="dxa"/>
            <w:shd w:val="clear" w:color="auto" w:fill="F0F5F5"/>
            <w:tcMar>
              <w:top w:w="100" w:type="dxa"/>
              <w:left w:w="150" w:type="dxa"/>
              <w:bottom w:w="100" w:type="dxa"/>
              <w:right w:w="150" w:type="dxa"/>
            </w:tcMar>
          </w:tcPr>
          <w:p w14:paraId="41476C13">
            <w:pPr>
              <w:spacing w:after="0"/>
              <w:jc w:val="both"/>
              <w:rPr>
                <w:rFonts w:hint="default" w:ascii="Times New Roman" w:hAnsi="Times New Roman" w:cs="Times New Roman"/>
                <w:color w:val="auto"/>
              </w:rPr>
            </w:pPr>
            <w:r>
              <w:rPr>
                <w:rFonts w:hint="default" w:ascii="Times New Roman" w:hAnsi="Times New Roman" w:cs="Times New Roman"/>
                <w:color w:val="auto"/>
              </w:rPr>
              <w:t>4,857</w:t>
            </w:r>
          </w:p>
        </w:tc>
        <w:tc>
          <w:tcPr>
            <w:tcW w:w="2016" w:type="dxa"/>
            <w:shd w:val="clear" w:color="auto" w:fill="F5F5F5"/>
            <w:tcMar>
              <w:top w:w="100" w:type="dxa"/>
              <w:left w:w="150" w:type="dxa"/>
              <w:bottom w:w="100" w:type="dxa"/>
              <w:right w:w="150" w:type="dxa"/>
            </w:tcMar>
          </w:tcPr>
          <w:p w14:paraId="2E797446">
            <w:pPr>
              <w:spacing w:after="0"/>
              <w:jc w:val="both"/>
              <w:rPr>
                <w:rFonts w:hint="default" w:ascii="Times New Roman" w:hAnsi="Times New Roman" w:cs="Times New Roman"/>
                <w:color w:val="auto"/>
              </w:rPr>
            </w:pPr>
            <w:r>
              <w:rPr>
                <w:rFonts w:hint="default" w:ascii="Times New Roman" w:hAnsi="Times New Roman" w:cs="Times New Roman"/>
                <w:b/>
                <w:color w:val="auto"/>
              </w:rPr>
              <w:t>Not Reached</w:t>
            </w:r>
          </w:p>
        </w:tc>
        <w:tc>
          <w:tcPr>
            <w:tcW w:w="2016" w:type="dxa"/>
            <w:shd w:val="clear" w:color="auto" w:fill="F0F5F5"/>
            <w:tcMar>
              <w:top w:w="100" w:type="dxa"/>
              <w:left w:w="150" w:type="dxa"/>
              <w:bottom w:w="100" w:type="dxa"/>
              <w:right w:w="150" w:type="dxa"/>
            </w:tcMar>
          </w:tcPr>
          <w:p w14:paraId="4B278232">
            <w:pPr>
              <w:spacing w:after="0"/>
              <w:jc w:val="both"/>
              <w:rPr>
                <w:rFonts w:hint="default" w:ascii="Times New Roman" w:hAnsi="Times New Roman" w:cs="Times New Roman"/>
                <w:color w:val="auto"/>
              </w:rPr>
            </w:pPr>
            <w:r>
              <w:rPr>
                <w:rFonts w:hint="default" w:ascii="Times New Roman" w:hAnsi="Times New Roman" w:cs="Times New Roman"/>
                <w:color w:val="auto"/>
              </w:rPr>
              <w:t>Carry into next round</w:t>
            </w:r>
          </w:p>
        </w:tc>
      </w:tr>
      <w:tr w14:paraId="313F71E5">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68" w:type="dxa"/>
            <w:shd w:val="clear" w:color="auto" w:fill="FFFFFF"/>
            <w:tcMar>
              <w:top w:w="100" w:type="dxa"/>
              <w:left w:w="150" w:type="dxa"/>
              <w:bottom w:w="100" w:type="dxa"/>
              <w:right w:w="150" w:type="dxa"/>
            </w:tcMar>
          </w:tcPr>
          <w:p w14:paraId="5865D484">
            <w:pPr>
              <w:spacing w:after="0"/>
              <w:jc w:val="both"/>
              <w:rPr>
                <w:rFonts w:hint="default" w:ascii="Times New Roman" w:hAnsi="Times New Roman" w:cs="Times New Roman"/>
                <w:color w:val="auto"/>
              </w:rPr>
            </w:pPr>
            <w:r>
              <w:rPr>
                <w:rFonts w:hint="default" w:ascii="Times New Roman" w:hAnsi="Times New Roman" w:cs="Times New Roman"/>
                <w:color w:val="auto"/>
              </w:rPr>
              <w:t>Bayoyi (Idi-Oro)</w:t>
            </w:r>
          </w:p>
        </w:tc>
        <w:tc>
          <w:tcPr>
            <w:tcW w:w="2160" w:type="dxa"/>
            <w:shd w:val="clear" w:color="auto" w:fill="FFFFFF"/>
            <w:tcMar>
              <w:top w:w="100" w:type="dxa"/>
              <w:left w:w="150" w:type="dxa"/>
              <w:bottom w:w="100" w:type="dxa"/>
              <w:right w:w="150" w:type="dxa"/>
            </w:tcMar>
          </w:tcPr>
          <w:p w14:paraId="362A91C4">
            <w:pPr>
              <w:spacing w:after="0"/>
              <w:jc w:val="both"/>
              <w:rPr>
                <w:rFonts w:hint="default" w:ascii="Times New Roman" w:hAnsi="Times New Roman" w:cs="Times New Roman"/>
                <w:color w:val="auto"/>
              </w:rPr>
            </w:pPr>
            <w:r>
              <w:rPr>
                <w:rFonts w:hint="default" w:ascii="Times New Roman" w:hAnsi="Times New Roman" w:cs="Times New Roman"/>
                <w:color w:val="auto"/>
              </w:rPr>
              <w:t>3,274</w:t>
            </w:r>
          </w:p>
        </w:tc>
        <w:tc>
          <w:tcPr>
            <w:tcW w:w="2016" w:type="dxa"/>
            <w:shd w:val="clear" w:color="auto" w:fill="E8F5E9"/>
            <w:tcMar>
              <w:top w:w="100" w:type="dxa"/>
              <w:left w:w="150" w:type="dxa"/>
              <w:bottom w:w="100" w:type="dxa"/>
              <w:right w:w="150" w:type="dxa"/>
            </w:tcMar>
          </w:tcPr>
          <w:p w14:paraId="04255A26">
            <w:pPr>
              <w:spacing w:after="0"/>
              <w:jc w:val="both"/>
              <w:rPr>
                <w:rFonts w:hint="default" w:ascii="Times New Roman" w:hAnsi="Times New Roman" w:cs="Times New Roman"/>
                <w:color w:val="auto"/>
              </w:rPr>
            </w:pPr>
            <w:r>
              <w:rPr>
                <w:rFonts w:hint="default" w:ascii="Times New Roman" w:hAnsi="Times New Roman" w:cs="Times New Roman"/>
                <w:b/>
                <w:color w:val="auto"/>
              </w:rPr>
              <w:t>Reached</w:t>
            </w:r>
          </w:p>
        </w:tc>
        <w:tc>
          <w:tcPr>
            <w:tcW w:w="2016" w:type="dxa"/>
            <w:shd w:val="clear" w:color="auto" w:fill="FFFFFF"/>
            <w:tcMar>
              <w:top w:w="100" w:type="dxa"/>
              <w:left w:w="150" w:type="dxa"/>
              <w:bottom w:w="100" w:type="dxa"/>
              <w:right w:w="150" w:type="dxa"/>
            </w:tcMar>
          </w:tcPr>
          <w:p w14:paraId="4080054A">
            <w:pPr>
              <w:spacing w:after="0"/>
              <w:jc w:val="both"/>
              <w:rPr>
                <w:rFonts w:hint="default" w:ascii="Times New Roman" w:hAnsi="Times New Roman" w:cs="Times New Roman"/>
                <w:color w:val="auto"/>
              </w:rPr>
            </w:pPr>
            <w:r>
              <w:rPr>
                <w:rFonts w:hint="default" w:ascii="Times New Roman" w:hAnsi="Times New Roman" w:cs="Times New Roman"/>
                <w:color w:val="auto"/>
              </w:rPr>
              <w:t>Targeted in 24-hr plan</w:t>
            </w:r>
          </w:p>
        </w:tc>
      </w:tr>
      <w:tr w14:paraId="4FC7A99E">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68" w:type="dxa"/>
            <w:shd w:val="clear" w:color="auto" w:fill="F0F5F5"/>
            <w:tcMar>
              <w:top w:w="100" w:type="dxa"/>
              <w:left w:w="150" w:type="dxa"/>
              <w:bottom w:w="100" w:type="dxa"/>
              <w:right w:w="150" w:type="dxa"/>
            </w:tcMar>
          </w:tcPr>
          <w:p w14:paraId="0F6CB0FB">
            <w:pPr>
              <w:spacing w:after="0"/>
              <w:jc w:val="both"/>
              <w:rPr>
                <w:rFonts w:hint="default" w:ascii="Times New Roman" w:hAnsi="Times New Roman" w:cs="Times New Roman"/>
                <w:color w:val="auto"/>
              </w:rPr>
            </w:pPr>
            <w:r>
              <w:rPr>
                <w:rFonts w:hint="default" w:ascii="Times New Roman" w:hAnsi="Times New Roman" w:cs="Times New Roman"/>
                <w:color w:val="auto"/>
              </w:rPr>
              <w:t>Okradu (Idi-Oro)</w:t>
            </w:r>
          </w:p>
        </w:tc>
        <w:tc>
          <w:tcPr>
            <w:tcW w:w="2160" w:type="dxa"/>
            <w:shd w:val="clear" w:color="auto" w:fill="F0F5F5"/>
            <w:tcMar>
              <w:top w:w="100" w:type="dxa"/>
              <w:left w:w="150" w:type="dxa"/>
              <w:bottom w:w="100" w:type="dxa"/>
              <w:right w:w="150" w:type="dxa"/>
            </w:tcMar>
          </w:tcPr>
          <w:p w14:paraId="783183A8">
            <w:pPr>
              <w:spacing w:after="0"/>
              <w:jc w:val="both"/>
              <w:rPr>
                <w:rFonts w:hint="default" w:ascii="Times New Roman" w:hAnsi="Times New Roman" w:cs="Times New Roman"/>
                <w:color w:val="auto"/>
              </w:rPr>
            </w:pPr>
            <w:r>
              <w:rPr>
                <w:rFonts w:hint="default" w:ascii="Times New Roman" w:hAnsi="Times New Roman" w:cs="Times New Roman"/>
                <w:color w:val="auto"/>
              </w:rPr>
              <w:t>3,174</w:t>
            </w:r>
          </w:p>
        </w:tc>
        <w:tc>
          <w:tcPr>
            <w:tcW w:w="2016" w:type="dxa"/>
            <w:shd w:val="clear" w:color="auto" w:fill="E8F5E9"/>
            <w:tcMar>
              <w:top w:w="100" w:type="dxa"/>
              <w:left w:w="150" w:type="dxa"/>
              <w:bottom w:w="100" w:type="dxa"/>
              <w:right w:w="150" w:type="dxa"/>
            </w:tcMar>
          </w:tcPr>
          <w:p w14:paraId="15EE429A">
            <w:pPr>
              <w:spacing w:after="0"/>
              <w:jc w:val="both"/>
              <w:rPr>
                <w:rFonts w:hint="default" w:ascii="Times New Roman" w:hAnsi="Times New Roman" w:cs="Times New Roman"/>
                <w:color w:val="auto"/>
              </w:rPr>
            </w:pPr>
            <w:r>
              <w:rPr>
                <w:rFonts w:hint="default" w:ascii="Times New Roman" w:hAnsi="Times New Roman" w:cs="Times New Roman"/>
                <w:b/>
                <w:color w:val="auto"/>
              </w:rPr>
              <w:t>Reached</w:t>
            </w:r>
          </w:p>
        </w:tc>
        <w:tc>
          <w:tcPr>
            <w:tcW w:w="2016" w:type="dxa"/>
            <w:shd w:val="clear" w:color="auto" w:fill="F0F5F5"/>
            <w:tcMar>
              <w:top w:w="100" w:type="dxa"/>
              <w:left w:w="150" w:type="dxa"/>
              <w:bottom w:w="100" w:type="dxa"/>
              <w:right w:w="150" w:type="dxa"/>
            </w:tcMar>
          </w:tcPr>
          <w:p w14:paraId="6116AA8C">
            <w:pPr>
              <w:spacing w:after="0"/>
              <w:jc w:val="both"/>
              <w:rPr>
                <w:rFonts w:hint="default" w:ascii="Times New Roman" w:hAnsi="Times New Roman" w:cs="Times New Roman"/>
                <w:color w:val="auto"/>
              </w:rPr>
            </w:pPr>
            <w:r>
              <w:rPr>
                <w:rFonts w:hint="default" w:ascii="Times New Roman" w:hAnsi="Times New Roman" w:cs="Times New Roman"/>
                <w:color w:val="auto"/>
              </w:rPr>
              <w:t>Targeted in 24-hr plan</w:t>
            </w:r>
          </w:p>
        </w:tc>
      </w:tr>
      <w:tr w14:paraId="6A2DC815">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68" w:type="dxa"/>
            <w:shd w:val="clear" w:color="auto" w:fill="FFFFFF"/>
            <w:tcMar>
              <w:top w:w="100" w:type="dxa"/>
              <w:left w:w="150" w:type="dxa"/>
              <w:bottom w:w="100" w:type="dxa"/>
              <w:right w:w="150" w:type="dxa"/>
            </w:tcMar>
          </w:tcPr>
          <w:p w14:paraId="7B73E9BE">
            <w:pPr>
              <w:spacing w:after="0"/>
              <w:jc w:val="both"/>
              <w:rPr>
                <w:rFonts w:hint="default" w:ascii="Times New Roman" w:hAnsi="Times New Roman" w:cs="Times New Roman"/>
                <w:color w:val="auto"/>
              </w:rPr>
            </w:pPr>
            <w:r>
              <w:rPr>
                <w:rFonts w:hint="default" w:ascii="Times New Roman" w:hAnsi="Times New Roman" w:cs="Times New Roman"/>
                <w:color w:val="auto"/>
              </w:rPr>
              <w:t>Bishama (Idi-Oro)</w:t>
            </w:r>
          </w:p>
        </w:tc>
        <w:tc>
          <w:tcPr>
            <w:tcW w:w="2160" w:type="dxa"/>
            <w:shd w:val="clear" w:color="auto" w:fill="FFFFFF"/>
            <w:tcMar>
              <w:top w:w="100" w:type="dxa"/>
              <w:left w:w="150" w:type="dxa"/>
              <w:bottom w:w="100" w:type="dxa"/>
              <w:right w:w="150" w:type="dxa"/>
            </w:tcMar>
          </w:tcPr>
          <w:p w14:paraId="330A42CF">
            <w:pPr>
              <w:spacing w:after="0"/>
              <w:jc w:val="both"/>
              <w:rPr>
                <w:rFonts w:hint="default" w:ascii="Times New Roman" w:hAnsi="Times New Roman" w:cs="Times New Roman"/>
                <w:color w:val="auto"/>
              </w:rPr>
            </w:pPr>
            <w:r>
              <w:rPr>
                <w:rFonts w:hint="default" w:ascii="Times New Roman" w:hAnsi="Times New Roman" w:cs="Times New Roman"/>
                <w:color w:val="auto"/>
              </w:rPr>
              <w:t>2,746</w:t>
            </w:r>
          </w:p>
        </w:tc>
        <w:tc>
          <w:tcPr>
            <w:tcW w:w="2016" w:type="dxa"/>
            <w:shd w:val="clear" w:color="auto" w:fill="E8F5E9"/>
            <w:tcMar>
              <w:top w:w="100" w:type="dxa"/>
              <w:left w:w="150" w:type="dxa"/>
              <w:bottom w:w="100" w:type="dxa"/>
              <w:right w:w="150" w:type="dxa"/>
            </w:tcMar>
          </w:tcPr>
          <w:p w14:paraId="135D9E28">
            <w:pPr>
              <w:spacing w:after="0"/>
              <w:jc w:val="both"/>
              <w:rPr>
                <w:rFonts w:hint="default" w:ascii="Times New Roman" w:hAnsi="Times New Roman" w:cs="Times New Roman"/>
                <w:color w:val="auto"/>
              </w:rPr>
            </w:pPr>
            <w:r>
              <w:rPr>
                <w:rFonts w:hint="default" w:ascii="Times New Roman" w:hAnsi="Times New Roman" w:cs="Times New Roman"/>
                <w:b/>
                <w:color w:val="auto"/>
              </w:rPr>
              <w:t>Reached</w:t>
            </w:r>
          </w:p>
        </w:tc>
        <w:tc>
          <w:tcPr>
            <w:tcW w:w="2016" w:type="dxa"/>
            <w:shd w:val="clear" w:color="auto" w:fill="FFFFFF"/>
            <w:tcMar>
              <w:top w:w="100" w:type="dxa"/>
              <w:left w:w="150" w:type="dxa"/>
              <w:bottom w:w="100" w:type="dxa"/>
              <w:right w:w="150" w:type="dxa"/>
            </w:tcMar>
          </w:tcPr>
          <w:p w14:paraId="30DF64CA">
            <w:pPr>
              <w:spacing w:after="0"/>
              <w:jc w:val="both"/>
              <w:rPr>
                <w:rFonts w:hint="default" w:ascii="Times New Roman" w:hAnsi="Times New Roman" w:cs="Times New Roman"/>
                <w:color w:val="auto"/>
              </w:rPr>
            </w:pPr>
            <w:r>
              <w:rPr>
                <w:rFonts w:hint="default" w:ascii="Times New Roman" w:hAnsi="Times New Roman" w:cs="Times New Roman"/>
                <w:color w:val="auto"/>
              </w:rPr>
              <w:t>Targeted in 24-hr plan</w:t>
            </w:r>
          </w:p>
        </w:tc>
      </w:tr>
      <w:tr w14:paraId="65625A54">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68" w:type="dxa"/>
            <w:shd w:val="clear" w:color="auto" w:fill="F0F5F5"/>
            <w:tcMar>
              <w:top w:w="100" w:type="dxa"/>
              <w:left w:w="150" w:type="dxa"/>
              <w:bottom w:w="100" w:type="dxa"/>
              <w:right w:w="150" w:type="dxa"/>
            </w:tcMar>
          </w:tcPr>
          <w:p w14:paraId="24C47242">
            <w:pPr>
              <w:spacing w:after="0"/>
              <w:jc w:val="both"/>
              <w:rPr>
                <w:rFonts w:hint="default" w:ascii="Times New Roman" w:hAnsi="Times New Roman" w:cs="Times New Roman"/>
                <w:color w:val="auto"/>
              </w:rPr>
            </w:pPr>
            <w:r>
              <w:rPr>
                <w:rFonts w:hint="default" w:ascii="Times New Roman" w:hAnsi="Times New Roman" w:cs="Times New Roman"/>
                <w:color w:val="auto"/>
              </w:rPr>
              <w:t>Ekngoyi (Idi-Oro)</w:t>
            </w:r>
          </w:p>
        </w:tc>
        <w:tc>
          <w:tcPr>
            <w:tcW w:w="2160" w:type="dxa"/>
            <w:shd w:val="clear" w:color="auto" w:fill="F0F5F5"/>
            <w:tcMar>
              <w:top w:w="100" w:type="dxa"/>
              <w:left w:w="150" w:type="dxa"/>
              <w:bottom w:w="100" w:type="dxa"/>
              <w:right w:w="150" w:type="dxa"/>
            </w:tcMar>
          </w:tcPr>
          <w:p w14:paraId="626F498E">
            <w:pPr>
              <w:spacing w:after="0"/>
              <w:jc w:val="both"/>
              <w:rPr>
                <w:rFonts w:hint="default" w:ascii="Times New Roman" w:hAnsi="Times New Roman" w:cs="Times New Roman"/>
                <w:color w:val="auto"/>
              </w:rPr>
            </w:pPr>
            <w:r>
              <w:rPr>
                <w:rFonts w:hint="default" w:ascii="Times New Roman" w:hAnsi="Times New Roman" w:cs="Times New Roman"/>
                <w:color w:val="auto"/>
              </w:rPr>
              <w:t>2,525</w:t>
            </w:r>
          </w:p>
        </w:tc>
        <w:tc>
          <w:tcPr>
            <w:tcW w:w="2016" w:type="dxa"/>
            <w:shd w:val="clear" w:color="auto" w:fill="F5F5F5"/>
            <w:tcMar>
              <w:top w:w="100" w:type="dxa"/>
              <w:left w:w="150" w:type="dxa"/>
              <w:bottom w:w="100" w:type="dxa"/>
              <w:right w:w="150" w:type="dxa"/>
            </w:tcMar>
          </w:tcPr>
          <w:p w14:paraId="2769DAF1">
            <w:pPr>
              <w:spacing w:after="0"/>
              <w:jc w:val="both"/>
              <w:rPr>
                <w:rFonts w:hint="default" w:ascii="Times New Roman" w:hAnsi="Times New Roman" w:cs="Times New Roman"/>
                <w:color w:val="auto"/>
              </w:rPr>
            </w:pPr>
            <w:r>
              <w:rPr>
                <w:rFonts w:hint="default" w:ascii="Times New Roman" w:hAnsi="Times New Roman" w:cs="Times New Roman"/>
                <w:b/>
                <w:color w:val="auto"/>
              </w:rPr>
              <w:t>Not Reached</w:t>
            </w:r>
          </w:p>
        </w:tc>
        <w:tc>
          <w:tcPr>
            <w:tcW w:w="2016" w:type="dxa"/>
            <w:shd w:val="clear" w:color="auto" w:fill="F0F5F5"/>
            <w:tcMar>
              <w:top w:w="100" w:type="dxa"/>
              <w:left w:w="150" w:type="dxa"/>
              <w:bottom w:w="100" w:type="dxa"/>
              <w:right w:w="150" w:type="dxa"/>
            </w:tcMar>
          </w:tcPr>
          <w:p w14:paraId="6F9FE6A0">
            <w:pPr>
              <w:spacing w:after="0"/>
              <w:jc w:val="both"/>
              <w:rPr>
                <w:rFonts w:hint="default" w:ascii="Times New Roman" w:hAnsi="Times New Roman" w:cs="Times New Roman"/>
                <w:color w:val="auto"/>
              </w:rPr>
            </w:pPr>
            <w:r>
              <w:rPr>
                <w:rFonts w:hint="default" w:ascii="Times New Roman" w:hAnsi="Times New Roman" w:cs="Times New Roman"/>
                <w:color w:val="auto"/>
              </w:rPr>
              <w:t>Carry into next round</w:t>
            </w:r>
          </w:p>
        </w:tc>
      </w:tr>
      <w:tr w14:paraId="5E661EC1">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68" w:type="dxa"/>
            <w:shd w:val="clear" w:color="auto" w:fill="FFFFFF"/>
            <w:tcMar>
              <w:top w:w="100" w:type="dxa"/>
              <w:left w:w="150" w:type="dxa"/>
              <w:bottom w:w="100" w:type="dxa"/>
              <w:right w:w="150" w:type="dxa"/>
            </w:tcMar>
          </w:tcPr>
          <w:p w14:paraId="76EF1362">
            <w:pPr>
              <w:spacing w:after="0"/>
              <w:jc w:val="both"/>
              <w:rPr>
                <w:rFonts w:hint="default" w:ascii="Times New Roman" w:hAnsi="Times New Roman" w:cs="Times New Roman"/>
                <w:color w:val="auto"/>
              </w:rPr>
            </w:pPr>
            <w:r>
              <w:rPr>
                <w:rFonts w:hint="default" w:ascii="Times New Roman" w:hAnsi="Times New Roman" w:cs="Times New Roman"/>
                <w:color w:val="auto"/>
              </w:rPr>
              <w:t>Famade (Idi-Oro)</w:t>
            </w:r>
          </w:p>
        </w:tc>
        <w:tc>
          <w:tcPr>
            <w:tcW w:w="2160" w:type="dxa"/>
            <w:shd w:val="clear" w:color="auto" w:fill="FFFFFF"/>
            <w:tcMar>
              <w:top w:w="100" w:type="dxa"/>
              <w:left w:w="150" w:type="dxa"/>
              <w:bottom w:w="100" w:type="dxa"/>
              <w:right w:w="150" w:type="dxa"/>
            </w:tcMar>
          </w:tcPr>
          <w:p w14:paraId="3468D5EE">
            <w:pPr>
              <w:spacing w:after="0"/>
              <w:jc w:val="both"/>
              <w:rPr>
                <w:rFonts w:hint="default" w:ascii="Times New Roman" w:hAnsi="Times New Roman" w:cs="Times New Roman"/>
                <w:color w:val="auto"/>
              </w:rPr>
            </w:pPr>
            <w:r>
              <w:rPr>
                <w:rFonts w:hint="default" w:ascii="Times New Roman" w:hAnsi="Times New Roman" w:cs="Times New Roman"/>
                <w:color w:val="auto"/>
              </w:rPr>
              <w:t>2,189</w:t>
            </w:r>
          </w:p>
        </w:tc>
        <w:tc>
          <w:tcPr>
            <w:tcW w:w="2016" w:type="dxa"/>
            <w:shd w:val="clear" w:color="auto" w:fill="E8F5E9"/>
            <w:tcMar>
              <w:top w:w="100" w:type="dxa"/>
              <w:left w:w="150" w:type="dxa"/>
              <w:bottom w:w="100" w:type="dxa"/>
              <w:right w:w="150" w:type="dxa"/>
            </w:tcMar>
          </w:tcPr>
          <w:p w14:paraId="13393A91">
            <w:pPr>
              <w:spacing w:after="0"/>
              <w:jc w:val="both"/>
              <w:rPr>
                <w:rFonts w:hint="default" w:ascii="Times New Roman" w:hAnsi="Times New Roman" w:cs="Times New Roman"/>
                <w:color w:val="auto"/>
              </w:rPr>
            </w:pPr>
            <w:r>
              <w:rPr>
                <w:rFonts w:hint="default" w:ascii="Times New Roman" w:hAnsi="Times New Roman" w:cs="Times New Roman"/>
                <w:b/>
                <w:color w:val="auto"/>
              </w:rPr>
              <w:t>Reached</w:t>
            </w:r>
          </w:p>
        </w:tc>
        <w:tc>
          <w:tcPr>
            <w:tcW w:w="2016" w:type="dxa"/>
            <w:shd w:val="clear" w:color="auto" w:fill="FFFFFF"/>
            <w:tcMar>
              <w:top w:w="100" w:type="dxa"/>
              <w:left w:w="150" w:type="dxa"/>
              <w:bottom w:w="100" w:type="dxa"/>
              <w:right w:w="150" w:type="dxa"/>
            </w:tcMar>
          </w:tcPr>
          <w:p w14:paraId="1F030CCA">
            <w:pPr>
              <w:spacing w:after="0"/>
              <w:jc w:val="both"/>
              <w:rPr>
                <w:rFonts w:hint="default" w:ascii="Times New Roman" w:hAnsi="Times New Roman" w:cs="Times New Roman"/>
                <w:color w:val="auto"/>
              </w:rPr>
            </w:pPr>
            <w:r>
              <w:rPr>
                <w:rFonts w:hint="default" w:ascii="Times New Roman" w:hAnsi="Times New Roman" w:cs="Times New Roman"/>
                <w:color w:val="auto"/>
              </w:rPr>
              <w:t>Targeted in 24-hr plan</w:t>
            </w:r>
          </w:p>
        </w:tc>
      </w:tr>
      <w:tr w14:paraId="6C754068">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68" w:type="dxa"/>
            <w:shd w:val="clear" w:color="auto" w:fill="F0F5F5"/>
            <w:tcMar>
              <w:top w:w="100" w:type="dxa"/>
              <w:left w:w="150" w:type="dxa"/>
              <w:bottom w:w="100" w:type="dxa"/>
              <w:right w:w="150" w:type="dxa"/>
            </w:tcMar>
          </w:tcPr>
          <w:p w14:paraId="32292487">
            <w:pPr>
              <w:spacing w:after="0"/>
              <w:jc w:val="both"/>
              <w:rPr>
                <w:rFonts w:hint="default" w:ascii="Times New Roman" w:hAnsi="Times New Roman" w:cs="Times New Roman"/>
                <w:color w:val="auto"/>
              </w:rPr>
            </w:pPr>
            <w:r>
              <w:rPr>
                <w:rFonts w:hint="default" w:ascii="Times New Roman" w:hAnsi="Times New Roman" w:cs="Times New Roman"/>
                <w:color w:val="auto"/>
              </w:rPr>
              <w:t>Ekduru (Idi-Oro)</w:t>
            </w:r>
          </w:p>
        </w:tc>
        <w:tc>
          <w:tcPr>
            <w:tcW w:w="2160" w:type="dxa"/>
            <w:shd w:val="clear" w:color="auto" w:fill="F0F5F5"/>
            <w:tcMar>
              <w:top w:w="100" w:type="dxa"/>
              <w:left w:w="150" w:type="dxa"/>
              <w:bottom w:w="100" w:type="dxa"/>
              <w:right w:w="150" w:type="dxa"/>
            </w:tcMar>
          </w:tcPr>
          <w:p w14:paraId="622B2ED2">
            <w:pPr>
              <w:spacing w:after="0"/>
              <w:jc w:val="both"/>
              <w:rPr>
                <w:rFonts w:hint="default" w:ascii="Times New Roman" w:hAnsi="Times New Roman" w:cs="Times New Roman"/>
                <w:color w:val="auto"/>
              </w:rPr>
            </w:pPr>
            <w:r>
              <w:rPr>
                <w:rFonts w:hint="default" w:ascii="Times New Roman" w:hAnsi="Times New Roman" w:cs="Times New Roman"/>
                <w:color w:val="auto"/>
              </w:rPr>
              <w:t>1,519</w:t>
            </w:r>
          </w:p>
        </w:tc>
        <w:tc>
          <w:tcPr>
            <w:tcW w:w="2016" w:type="dxa"/>
            <w:shd w:val="clear" w:color="auto" w:fill="E8F5E9"/>
            <w:tcMar>
              <w:top w:w="100" w:type="dxa"/>
              <w:left w:w="150" w:type="dxa"/>
              <w:bottom w:w="100" w:type="dxa"/>
              <w:right w:w="150" w:type="dxa"/>
            </w:tcMar>
          </w:tcPr>
          <w:p w14:paraId="397CD1DE">
            <w:pPr>
              <w:spacing w:after="0"/>
              <w:jc w:val="both"/>
              <w:rPr>
                <w:rFonts w:hint="default" w:ascii="Times New Roman" w:hAnsi="Times New Roman" w:cs="Times New Roman"/>
                <w:color w:val="auto"/>
              </w:rPr>
            </w:pPr>
            <w:r>
              <w:rPr>
                <w:rFonts w:hint="default" w:ascii="Times New Roman" w:hAnsi="Times New Roman" w:cs="Times New Roman"/>
                <w:b/>
                <w:color w:val="auto"/>
              </w:rPr>
              <w:t>Reached</w:t>
            </w:r>
          </w:p>
        </w:tc>
        <w:tc>
          <w:tcPr>
            <w:tcW w:w="2016" w:type="dxa"/>
            <w:shd w:val="clear" w:color="auto" w:fill="F0F5F5"/>
            <w:tcMar>
              <w:top w:w="100" w:type="dxa"/>
              <w:left w:w="150" w:type="dxa"/>
              <w:bottom w:w="100" w:type="dxa"/>
              <w:right w:w="150" w:type="dxa"/>
            </w:tcMar>
          </w:tcPr>
          <w:p w14:paraId="09AF47DC">
            <w:pPr>
              <w:spacing w:after="0"/>
              <w:jc w:val="both"/>
              <w:rPr>
                <w:rFonts w:hint="default" w:ascii="Times New Roman" w:hAnsi="Times New Roman" w:cs="Times New Roman"/>
                <w:color w:val="auto"/>
              </w:rPr>
            </w:pPr>
            <w:r>
              <w:rPr>
                <w:rFonts w:hint="default" w:ascii="Times New Roman" w:hAnsi="Times New Roman" w:cs="Times New Roman"/>
                <w:color w:val="auto"/>
              </w:rPr>
              <w:t>Targeted in 24-hr plan</w:t>
            </w:r>
          </w:p>
        </w:tc>
      </w:tr>
    </w:tbl>
    <w:p w14:paraId="5B34930F">
      <w:pPr>
        <w:spacing w:after="160"/>
        <w:jc w:val="both"/>
        <w:rPr>
          <w:rFonts w:hint="default" w:ascii="Times New Roman" w:hAnsi="Times New Roman" w:cs="Times New Roman"/>
          <w:color w:val="auto"/>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C21F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color w:val="282828"/>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591</Words>
  <Characters>3124</Characters>
  <Lines>0</Lines>
  <Paragraphs>0</Paragraphs>
  <TotalTime>4</TotalTime>
  <ScaleCrop>false</ScaleCrop>
  <LinksUpToDate>false</LinksUpToDate>
  <CharactersWithSpaces>3617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WPS_1644388459</cp:lastModifiedBy>
  <dcterms:modified xsi:type="dcterms:W3CDTF">2026-08-01T11:24:32Z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eyJoZGlkIjoiYjJlOTFiZDQ0ZWNkMDFkMmVkOTg1NDViOGFjYzNlOTgiLCJ1c2VySWQiOiIzNzI4MzUzNzY3ODA5In0=</vt:lpwstr>
  </property>
  <property fmtid="{D5CDD505-2E9C-101B-9397-08002B2CF9AE}" pid="3" name="KSOProductBuildVer">
    <vt:lpwstr>1033-12.1.0.28032</vt:lpwstr>
  </property>
  <property fmtid="{D5CDD505-2E9C-101B-9397-08002B2CF9AE}" pid="4" name="ICV">
    <vt:lpwstr>0AC7BBF142A0439DBB31D870DBAB1A69_12</vt:lpwstr>
  </property>
</Properties>
</file>