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Theme="majorAscii" w:hAnsiTheme="majorAscii"/>
          <w:sz w:val="40"/>
          <w:szCs w:val="40"/>
        </w:rPr>
      </w:pPr>
    </w:p>
    <w:p>
      <w:pPr>
        <w:jc w:val="center"/>
        <w:rPr>
          <w:rFonts w:hint="default" w:asciiTheme="majorAscii" w:hAnsiTheme="majorAscii"/>
          <w:sz w:val="40"/>
          <w:szCs w:val="40"/>
        </w:rPr>
      </w:pPr>
      <w:r>
        <w:rPr>
          <w:rFonts w:hint="default" w:asciiTheme="majorAscii" w:hAnsiTheme="majorAscii"/>
          <w:sz w:val="40"/>
          <w:szCs w:val="40"/>
        </w:rPr>
        <w:t>Interface document-</w:t>
      </w:r>
      <w:r>
        <w:rPr>
          <w:rFonts w:hint="default" w:asciiTheme="majorAscii" w:hAnsiTheme="majorAscii"/>
          <w:sz w:val="40"/>
          <w:szCs w:val="40"/>
        </w:rPr>
        <w:t>web security detection</w:t>
      </w:r>
    </w:p>
    <w:p>
      <w:pPr>
        <w:jc w:val="center"/>
        <w:rPr>
          <w:rFonts w:hint="default" w:asciiTheme="majorAscii" w:hAnsiTheme="majorAscii"/>
          <w:sz w:val="40"/>
          <w:szCs w:val="40"/>
        </w:rPr>
      </w:pPr>
    </w:p>
    <w:p>
      <w:pPr>
        <w:numPr>
          <w:ilvl w:val="0"/>
          <w:numId w:val="1"/>
        </w:numPr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t>current page</w:t>
      </w:r>
    </w:p>
    <w:p>
      <w:pPr>
        <w:numPr>
          <w:numId w:val="0"/>
        </w:numPr>
        <w:rPr>
          <w:rFonts w:hint="default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4150" cy="3063240"/>
            <wp:effectExtent l="0" t="0" r="1905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t>Function list</w:t>
      </w:r>
    </w:p>
    <w:p>
      <w:pPr>
        <w:pStyle w:val="4"/>
        <w:keepNext w:val="0"/>
        <w:keepLines w:val="0"/>
        <w:widowControl/>
        <w:suppressLineNumbers w:val="0"/>
        <w:rPr>
          <w:rFonts w:hint="default"/>
        </w:rPr>
      </w:pPr>
    </w:p>
    <w:p>
      <w:pPr>
        <w:pStyle w:val="4"/>
        <w:keepNext w:val="0"/>
        <w:keepLines w:val="0"/>
        <w:widowControl/>
        <w:suppressLineNumbers w:val="0"/>
        <w:rPr>
          <w:rFonts w:hint="default" w:asciiTheme="minorAscii" w:hAnsiTheme="minorAscii"/>
          <w:b/>
          <w:bCs/>
          <w:sz w:val="20"/>
          <w:szCs w:val="20"/>
        </w:rPr>
      </w:pPr>
      <w:bookmarkStart w:id="0" w:name="_GoBack"/>
      <w:r>
        <w:rPr>
          <w:rFonts w:hint="default" w:asciiTheme="minorAscii" w:hAnsiTheme="minorAscii"/>
          <w:b/>
          <w:bCs/>
          <w:sz w:val="20"/>
          <w:szCs w:val="20"/>
        </w:rPr>
        <w:t xml:space="preserve">Input: </w:t>
      </w:r>
    </w:p>
    <w:bookmarkEnd w:id="0"/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716"/>
        <w:gridCol w:w="3273"/>
        <w:gridCol w:w="3472"/>
      </w:tblGrid>
      <w:tr>
        <w:tc>
          <w:tcPr>
            <w:tcW w:w="62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name</w:t>
            </w:r>
          </w:p>
        </w:tc>
        <w:tc>
          <w:tcPr>
            <w:tcW w:w="653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type</w:t>
            </w:r>
          </w:p>
        </w:tc>
        <w:tc>
          <w:tcPr>
            <w:tcW w:w="362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request</w:t>
            </w:r>
          </w:p>
        </w:tc>
        <w:tc>
          <w:tcPr>
            <w:tcW w:w="362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example</w:t>
            </w:r>
          </w:p>
        </w:tc>
      </w:tr>
      <w:tr>
        <w:tc>
          <w:tcPr>
            <w:tcW w:w="62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target_url</w:t>
            </w:r>
          </w:p>
        </w:tc>
        <w:tc>
          <w:tcPr>
            <w:tcW w:w="653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string</w:t>
            </w:r>
          </w:p>
        </w:tc>
        <w:tc>
          <w:tcPr>
            <w:tcW w:w="362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maximum:</w:t>
            </w:r>
            <w:r>
              <w:rPr>
                <w:rFonts w:hint="default" w:ascii="monospace" w:hAnsi="monospace" w:eastAsia="monospace" w:cs="monospace"/>
                <w:color w:val="0033B3"/>
                <w:sz w:val="19"/>
                <w:szCs w:val="19"/>
                <w:shd w:val="clear" w:fill="FFFFFF"/>
              </w:rPr>
              <w:t>varchar</w:t>
            </w:r>
            <w:r>
              <w:rPr>
                <w:rFonts w:hint="default" w:ascii="monospace" w:hAnsi="monospace" w:eastAsia="monospace" w:cs="monospace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1750EB"/>
                <w:sz w:val="19"/>
                <w:szCs w:val="19"/>
                <w:shd w:val="clear" w:fill="FFFFFF"/>
              </w:rPr>
              <w:t>50</w:t>
            </w:r>
            <w:r>
              <w:rPr>
                <w:rFonts w:hint="default" w:ascii="monospace" w:hAnsi="monospace" w:eastAsia="monospace" w:cs="monospace"/>
                <w:color w:val="080808"/>
                <w:sz w:val="19"/>
                <w:szCs w:val="19"/>
                <w:shd w:val="clear" w:fill="FFFFFF"/>
              </w:rPr>
              <w:t>)</w:t>
            </w:r>
          </w:p>
        </w:tc>
        <w:tc>
          <w:tcPr>
            <w:tcW w:w="362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https://www.google.com/maps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  <w:rPr>
          <w:rFonts w:hint="default"/>
        </w:rPr>
      </w:pPr>
    </w:p>
    <w:p>
      <w:pPr>
        <w:pStyle w:val="4"/>
        <w:keepNext w:val="0"/>
        <w:keepLines w:val="0"/>
        <w:widowControl/>
        <w:suppressLineNumbers w:val="0"/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</w:pPr>
      <w:r>
        <w:drawing>
          <wp:inline distT="0" distB="0" distL="114300" distR="114300">
            <wp:extent cx="5264150" cy="3063240"/>
            <wp:effectExtent l="0" t="0" r="1905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rPr>
          <w:rFonts w:hint="default"/>
          <w:b/>
          <w:bCs/>
          <w:sz w:val="20"/>
          <w:szCs w:val="20"/>
        </w:rPr>
      </w:pPr>
      <w:r>
        <w:rPr>
          <w:rFonts w:hint="default" w:ascii="monospace" w:hAnsi="monospace" w:eastAsia="monospace" w:cs="monospace"/>
          <w:b/>
          <w:bCs/>
          <w:color w:val="080808"/>
          <w:sz w:val="20"/>
          <w:szCs w:val="20"/>
          <w:shd w:val="clear" w:fill="FFFFFF"/>
        </w:rPr>
        <w:t>Output: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125"/>
        <w:gridCol w:w="561"/>
        <w:gridCol w:w="1236"/>
        <w:gridCol w:w="5600"/>
      </w:tblGrid>
      <w:tr>
        <w:tc>
          <w:tcPr>
            <w:tcW w:w="1765" w:type="dxa"/>
          </w:tcPr>
          <w:p>
            <w:pPr>
              <w:numPr>
                <w:numId w:val="0"/>
              </w:numPr>
              <w:jc w:val="center"/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function</w:t>
            </w:r>
          </w:p>
        </w:tc>
        <w:tc>
          <w:tcPr>
            <w:tcW w:w="1614" w:type="dxa"/>
          </w:tcPr>
          <w:p>
            <w:pPr>
              <w:numPr>
                <w:numId w:val="0"/>
              </w:numPr>
              <w:jc w:val="center"/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type</w:t>
            </w:r>
          </w:p>
        </w:tc>
        <w:tc>
          <w:tcPr>
            <w:tcW w:w="1872" w:type="dxa"/>
          </w:tcPr>
          <w:p>
            <w:pPr>
              <w:numPr>
                <w:numId w:val="0"/>
              </w:numPr>
              <w:jc w:val="center"/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name</w:t>
            </w:r>
          </w:p>
        </w:tc>
        <w:tc>
          <w:tcPr>
            <w:tcW w:w="3271" w:type="dxa"/>
          </w:tcPr>
          <w:p>
            <w:pPr>
              <w:numPr>
                <w:numId w:val="0"/>
              </w:numPr>
              <w:jc w:val="center"/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example</w:t>
            </w:r>
          </w:p>
        </w:tc>
      </w:tr>
      <w:tr>
        <w:tc>
          <w:tcPr>
            <w:tcW w:w="1765" w:type="dxa"/>
          </w:tcPr>
          <w:p>
            <w:pPr>
              <w:numPr>
                <w:numId w:val="0"/>
              </w:numPr>
              <w:jc w:val="center"/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sql injection</w:t>
            </w:r>
          </w:p>
        </w:tc>
        <w:tc>
          <w:tcPr>
            <w:tcW w:w="1614" w:type="dxa"/>
          </w:tcPr>
          <w:p>
            <w:pPr>
              <w:numPr>
                <w:numId w:val="0"/>
              </w:numPr>
              <w:jc w:val="center"/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list</w:t>
            </w:r>
          </w:p>
        </w:tc>
        <w:tc>
          <w:tcPr>
            <w:tcW w:w="1872" w:type="dxa"/>
          </w:tcPr>
          <w:p>
            <w:pPr>
              <w:numPr>
                <w:numId w:val="0"/>
              </w:numPr>
              <w:jc w:val="center"/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target_urllist</w:t>
            </w:r>
          </w:p>
        </w:tc>
        <w:tc>
          <w:tcPr>
            <w:tcW w:w="3271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['https://www.google.com/mapshttps://support.google.com/maps/?hl=zh-TW&amp;authuser=0&amp;p=no_javascript']</w:t>
            </w:r>
          </w:p>
        </w:tc>
      </w:tr>
      <w:tr>
        <w:tc>
          <w:tcPr>
            <w:tcW w:w="1765" w:type="dxa"/>
          </w:tcPr>
          <w:p>
            <w:pPr>
              <w:numPr>
                <w:numId w:val="0"/>
              </w:numPr>
              <w:jc w:val="center"/>
              <w:rPr>
                <w:rFonts w:hint="default"/>
              </w:rPr>
            </w:pPr>
            <w:r>
              <w:rPr>
                <w:rFonts w:hint="default" w:eastAsia="PingFang SC" w:cs="PingFang SC" w:asciiTheme="minorAscii" w:hAnsiTheme="minorAscii"/>
                <w:i w:val="0"/>
                <w:iCs w:val="0"/>
                <w:caps w:val="0"/>
                <w:color w:val="2A2B2E"/>
                <w:spacing w:val="0"/>
                <w:sz w:val="20"/>
                <w:szCs w:val="20"/>
                <w:u w:val="none"/>
              </w:rPr>
              <w:t>Home page probe ip</w:t>
            </w:r>
          </w:p>
        </w:tc>
        <w:tc>
          <w:tcPr>
            <w:tcW w:w="1614" w:type="dxa"/>
          </w:tcPr>
          <w:p>
            <w:pPr>
              <w:numPr>
                <w:numId w:val="0"/>
              </w:numPr>
              <w:jc w:val="center"/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list</w:t>
            </w:r>
          </w:p>
        </w:tc>
        <w:tc>
          <w:tcPr>
            <w:tcW w:w="187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Chars="0" w:right="0" w:rightChars="0"/>
              <w:jc w:val="center"/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iplist</w:t>
            </w:r>
          </w:p>
        </w:tc>
        <w:tc>
          <w:tcPr>
            <w:tcW w:w="3271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['19.144331.765317.5996321632', '3216.496431.977416.987531', '30.516616.541128.8215162716', '1827.467118.992729.702420', '1.9.0.4']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65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40" w:afterAutospacing="0" w:line="240" w:lineRule="auto"/>
              <w:ind w:left="0" w:right="0"/>
              <w:jc w:val="center"/>
              <w:rPr>
                <w:rFonts w:hint="default" w:asciiTheme="minorAscii" w:hAnsiTheme="minorAscii"/>
                <w:b w:val="0"/>
                <w:bCs w:val="0"/>
                <w:sz w:val="20"/>
                <w:szCs w:val="20"/>
              </w:rPr>
            </w:pPr>
            <w:r>
              <w:rPr>
                <w:rFonts w:hint="default" w:eastAsia="PingFang SC" w:cs="PingFang SC" w:asciiTheme="minorAscii" w:hAnsiTheme="minorAscii"/>
                <w:b w:val="0"/>
                <w:bCs w:val="0"/>
                <w:i w:val="0"/>
                <w:iCs w:val="0"/>
                <w:caps w:val="0"/>
                <w:color w:val="2A2B2E"/>
                <w:spacing w:val="0"/>
                <w:sz w:val="20"/>
                <w:szCs w:val="20"/>
                <w:u w:val="none"/>
                <w:bdr w:val="none" w:color="auto" w:sz="0" w:space="0"/>
              </w:rPr>
              <w:t>Web directory blasting</w:t>
            </w:r>
          </w:p>
          <w:p>
            <w:pPr>
              <w:numPr>
                <w:numId w:val="0"/>
              </w:numPr>
              <w:jc w:val="center"/>
              <w:rPr>
                <w:rFonts w:hint="default" w:eastAsia="PingFang SC" w:cs="PingFang SC" w:asciiTheme="minorAscii" w:hAnsiTheme="minorAscii"/>
                <w:i w:val="0"/>
                <w:iCs w:val="0"/>
                <w:caps w:val="0"/>
                <w:color w:val="2A2B2E"/>
                <w:spacing w:val="0"/>
                <w:sz w:val="20"/>
                <w:szCs w:val="20"/>
                <w:u w:val="none"/>
              </w:rPr>
            </w:pPr>
          </w:p>
        </w:tc>
        <w:tc>
          <w:tcPr>
            <w:tcW w:w="1614" w:type="dxa"/>
          </w:tcPr>
          <w:p>
            <w:pPr>
              <w:numPr>
                <w:numId w:val="0"/>
              </w:numPr>
              <w:jc w:val="center"/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list</w:t>
            </w:r>
          </w:p>
        </w:tc>
        <w:tc>
          <w:tcPr>
            <w:tcW w:w="187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Chars="0" w:right="0" w:rightChars="0"/>
              <w:jc w:val="center"/>
              <w:rPr>
                <w:rFonts w:hint="default"/>
              </w:rPr>
            </w:pPr>
            <w:r>
              <w:rPr>
                <w:rFonts w:hint="default"/>
              </w:rPr>
              <w:t>collect_dirs</w:t>
            </w:r>
          </w:p>
        </w:tc>
        <w:tc>
          <w:tcPr>
            <w:tcW w:w="3271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65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40" w:afterAutospacing="0" w:line="240" w:lineRule="auto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 w:eastAsia="PingFang SC" w:cs="PingFang SC" w:asciiTheme="minorAscii" w:hAnsiTheme="minorAscii"/>
                <w:i w:val="0"/>
                <w:iCs w:val="0"/>
                <w:caps w:val="0"/>
                <w:color w:val="2A2B2E"/>
                <w:spacing w:val="0"/>
                <w:sz w:val="20"/>
                <w:szCs w:val="20"/>
                <w:u w:val="none"/>
                <w:bdr w:val="none" w:color="auto" w:sz="0" w:space="0"/>
              </w:rPr>
              <w:t>Common port detection</w:t>
            </w:r>
          </w:p>
        </w:tc>
        <w:tc>
          <w:tcPr>
            <w:tcW w:w="1614" w:type="dxa"/>
          </w:tcPr>
          <w:p>
            <w:pPr>
              <w:numPr>
                <w:numId w:val="0"/>
              </w:numPr>
              <w:jc w:val="center"/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list</w:t>
            </w:r>
          </w:p>
        </w:tc>
        <w:tc>
          <w:tcPr>
            <w:tcW w:w="1872" w:type="dxa"/>
          </w:tcPr>
          <w:p>
            <w:pPr>
              <w:numPr>
                <w:numId w:val="0"/>
              </w:numPr>
              <w:jc w:val="center"/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collect_ports</w:t>
            </w:r>
          </w:p>
        </w:tc>
        <w:tc>
          <w:tcPr>
            <w:tcW w:w="3271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['[-]21/tcp closed', '[-]22/tcp closed', '[-]23/tcp closed', '[-]25/tcp closed', '[-]53/tcp closed', '[-]80/tcp closed', '[-]389/tcp closed', '[-]8080/tcp closed', '[-]1433/tcp closed', '[-]2375/tcp closed', '[-]3389/tcp closed', '[-]6379/tcp closed', '[-]11211/tcp closed', '[-]27017/tcp closed']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65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40" w:afterAutospacing="0" w:line="420" w:lineRule="atLeast"/>
              <w:ind w:left="0" w:right="0"/>
              <w:rPr>
                <w:rFonts w:hint="default" w:asciiTheme="minorAscii" w:hAnsiTheme="minorAscii"/>
                <w:i w:val="0"/>
                <w:iCs w:val="0"/>
                <w:sz w:val="20"/>
                <w:szCs w:val="20"/>
              </w:rPr>
            </w:pPr>
            <w:r>
              <w:rPr>
                <w:rFonts w:hint="default" w:eastAsia="PingFang SC" w:cs="PingFang SC" w:asciiTheme="minorAscii" w:hAnsiTheme="minorAscii"/>
                <w:i w:val="0"/>
                <w:iCs w:val="0"/>
                <w:caps w:val="0"/>
                <w:color w:val="2A2B2E"/>
                <w:spacing w:val="0"/>
                <w:sz w:val="20"/>
                <w:szCs w:val="20"/>
                <w:u w:val="none"/>
                <w:bdr w:val="none" w:color="auto" w:sz="0" w:space="0"/>
              </w:rPr>
              <w:t>Subdomain burst</w:t>
            </w:r>
          </w:p>
          <w:p>
            <w:pPr>
              <w:numPr>
                <w:numId w:val="0"/>
              </w:numPr>
              <w:rPr>
                <w:rFonts w:hint="default"/>
              </w:rPr>
            </w:pPr>
          </w:p>
        </w:tc>
        <w:tc>
          <w:tcPr>
            <w:tcW w:w="1614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</w:rPr>
            </w:pPr>
          </w:p>
        </w:tc>
        <w:tc>
          <w:tcPr>
            <w:tcW w:w="1872" w:type="dxa"/>
          </w:tcPr>
          <w:p>
            <w:pPr>
              <w:numPr>
                <w:numId w:val="0"/>
              </w:numPr>
              <w:jc w:val="center"/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subdomain</w:t>
            </w:r>
          </w:p>
        </w:tc>
        <w:tc>
          <w:tcPr>
            <w:tcW w:w="3271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</w:rPr>
            </w:pPr>
          </w:p>
        </w:tc>
      </w:tr>
    </w:tbl>
    <w:p>
      <w:pPr>
        <w:numPr>
          <w:numId w:val="0"/>
        </w:numPr>
        <w:rPr>
          <w:rFonts w:hint="default"/>
        </w:rPr>
      </w:pPr>
    </w:p>
    <w:p>
      <w:pPr>
        <w:numPr>
          <w:numId w:val="0"/>
        </w:numPr>
        <w:rPr>
          <w:rFonts w:hint="default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monospac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PingFang SC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PilGi">
    <w:panose1 w:val="00000000000000000000"/>
    <w:charset w:val="80"/>
    <w:family w:val="auto"/>
    <w:pitch w:val="default"/>
    <w:sig w:usb0="00000000" w:usb1="00000000" w:usb2="00000000" w:usb3="00000000" w:csb0="002A0000" w:csb1="00000000"/>
  </w:font>
  <w:font w:name="Noto Sans Samaritan">
    <w:panose1 w:val="020B0502040504020204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Cochin Regular">
    <w:panose1 w:val="02000603020000020003"/>
    <w:charset w:val="00"/>
    <w:family w:val="auto"/>
    <w:pitch w:val="default"/>
    <w:sig w:usb0="00000000" w:usb1="00000000" w:usb2="00000000" w:usb3="00000000" w:csb0="00000000" w:csb1="00000000"/>
  </w:font>
  <w:font w:name="Times New Roman Regular">
    <w:panose1 w:val="02020603050405020304"/>
    <w:charset w:val="00"/>
    <w:family w:val="auto"/>
    <w:pitch w:val="default"/>
    <w:sig w:usb0="00000000" w:usb1="00000000" w:usb2="00000000" w:usb3="00000000" w:csb0="00000000" w:csb1="00000000"/>
  </w:font>
  <w:font w:name="Papyrus Regular">
    <w:panose1 w:val="020B0602040200020303"/>
    <w:charset w:val="00"/>
    <w:family w:val="auto"/>
    <w:pitch w:val="default"/>
    <w:sig w:usb0="00000000" w:usb1="00000000" w:usb2="00000000" w:usb3="00000000" w:csb0="00000000" w:csb1="00000000"/>
  </w:font>
  <w:font w:name="PingFang HK Regular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Party LET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B7C66F3"/>
    <w:multiLevelType w:val="singleLevel"/>
    <w:tmpl w:val="BB7C66F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B1F3475"/>
    <w:rsid w:val="5B1F3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uiPriority w:val="0"/>
    <w:rPr>
      <w:sz w:val="24"/>
      <w:szCs w:val="24"/>
    </w:rPr>
  </w:style>
  <w:style w:type="table" w:styleId="6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Office_4.4.1.7360_F1E327BC-269C-435d-A152-05C5408002CA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2023-10-19T14:14:00Z</dcterms:created>
  <dc:creator>苏苏是个小太阳</dc:creator>
  <cp:lastModifiedBy>苏苏是个小太阳</cp:lastModifiedBy>
  <dcterms:modified xsi:type="dcterms:W3CDTF">2023-10-19T14:38:53Z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1033-4.4.1.7360</vt:lpwstr>
  </property>
  <property fmtid="{D5CDD505-2E9C-101B-9397-08002B2CF9AE}" pid="3" name="ICV">
    <vt:lpwstr>3508708D2080C74E62C930657900D161</vt:lpwstr>
  </property>
</Properties>
</file>