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27" w:rsidRPr="00192F8E" w:rsidRDefault="00DA5427" w:rsidP="00B206AB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0"/>
          <w:szCs w:val="28"/>
        </w:rPr>
      </w:pPr>
      <w:bookmarkStart w:id="0" w:name="_Toc529958192"/>
      <w:bookmarkStart w:id="1" w:name="_GoBack"/>
      <w:bookmarkEnd w:id="1"/>
      <w:r w:rsidRPr="00192F8E">
        <w:rPr>
          <w:rFonts w:ascii="Times New Roman" w:hAnsi="Times New Roman" w:cs="Times New Roman"/>
          <w:b/>
          <w:bCs/>
          <w:sz w:val="20"/>
          <w:szCs w:val="28"/>
        </w:rPr>
        <w:t>Дисперсійний аналіз</w:t>
      </w:r>
      <w:bookmarkEnd w:id="0"/>
    </w:p>
    <w:p w:rsidR="00DA5427" w:rsidRPr="00192F8E" w:rsidRDefault="00DA5427" w:rsidP="00B206AB">
      <w:pPr>
        <w:pStyle w:val="a3"/>
        <w:rPr>
          <w:rFonts w:ascii="Times New Roman" w:hAnsi="Times New Roman" w:cs="Times New Roman"/>
          <w:b/>
          <w:sz w:val="20"/>
          <w:szCs w:val="28"/>
          <w:highlight w:val="yellow"/>
        </w:rPr>
      </w:pP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>Дисперсійний аналіз - аналіз мінливості ознаки під впливом будь-яких контрольованих змінних факторів (ANOVA - «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Analisis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of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Variance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>»). Основною метою дисперсійного аналізу є дослідження значущості відмінності між середніми.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>Мета дисперсійного аналізу - дослідження наявності або відсутності істотного впливу будь-якого якісного або кількісного фактору на зміни досліджуваної результативної ознаки. Для цього фактор, який імовірно має або не має істотного впливу, поділяють на класи (інакше кажучи, групи) і з'ясовують, чи однаковий вплив фактору шляхом дослідження значущості між середніми в наборах даних, у відповідних градаціях фактору.</w:t>
      </w:r>
      <w:r w:rsidRPr="00192F8E">
        <w:rPr>
          <w:rFonts w:ascii="Times New Roman" w:hAnsi="Times New Roman" w:cs="Times New Roman"/>
          <w:sz w:val="20"/>
          <w:szCs w:val="28"/>
        </w:rPr>
        <w:br/>
        <w:t>При дисперсійному аналізі визначають питому вагу сумарного впливу одного або декількох факторів. Істотність впливу фактору визначається шляхом перевірки гіпотез: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position w:val="-12"/>
          <w:sz w:val="20"/>
          <w:szCs w:val="28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5pt;height:18.7pt" o:ole="">
            <v:imagedata r:id="rId5" o:title=""/>
          </v:shape>
          <o:OLEObject Type="Embed" ProgID="Equation.3" ShapeID="_x0000_i1025" DrawAspect="Content" ObjectID="_1604992853" r:id="rId6"/>
        </w:object>
      </w:r>
      <w:r w:rsidRPr="00192F8E">
        <w:rPr>
          <w:rFonts w:ascii="Times New Roman" w:hAnsi="Times New Roman" w:cs="Times New Roman"/>
          <w:sz w:val="20"/>
          <w:szCs w:val="28"/>
        </w:rPr>
        <w:t xml:space="preserve">, де a – число класів градації – всі класи градації мають одне значення середніх, </w:t>
      </w:r>
      <w:r w:rsidRPr="00192F8E">
        <w:rPr>
          <w:rFonts w:ascii="Times New Roman" w:hAnsi="Times New Roman" w:cs="Times New Roman"/>
          <w:position w:val="-10"/>
          <w:sz w:val="20"/>
          <w:szCs w:val="28"/>
        </w:rPr>
        <w:object w:dxaOrig="340" w:dyaOrig="340">
          <v:shape id="_x0000_i1026" type="#_x0000_t75" style="width:16.85pt;height:16.85pt" o:ole="">
            <v:imagedata r:id="rId7" o:title=""/>
          </v:shape>
          <o:OLEObject Type="Embed" ProgID="Equation.3" ShapeID="_x0000_i1026" DrawAspect="Content" ObjectID="_1604992854" r:id="rId8"/>
        </w:object>
      </w:r>
      <w:r w:rsidRPr="00192F8E">
        <w:rPr>
          <w:rFonts w:ascii="Times New Roman" w:hAnsi="Times New Roman" w:cs="Times New Roman"/>
          <w:sz w:val="20"/>
          <w:szCs w:val="28"/>
        </w:rPr>
        <w:t xml:space="preserve">: не всі </w:t>
      </w:r>
      <w:r w:rsidRPr="00192F8E">
        <w:rPr>
          <w:rFonts w:ascii="Times New Roman" w:hAnsi="Times New Roman" w:cs="Times New Roman"/>
          <w:position w:val="-12"/>
          <w:sz w:val="20"/>
          <w:szCs w:val="28"/>
        </w:rPr>
        <w:object w:dxaOrig="279" w:dyaOrig="360">
          <v:shape id="_x0000_i1027" type="#_x0000_t75" style="width:14.05pt;height:18.7pt" o:ole="">
            <v:imagedata r:id="rId9" o:title=""/>
          </v:shape>
          <o:OLEObject Type="Embed" ProgID="Equation.3" ShapeID="_x0000_i1027" DrawAspect="Content" ObjectID="_1604992855" r:id="rId10"/>
        </w:object>
      </w:r>
      <w:r w:rsidRPr="00192F8E">
        <w:rPr>
          <w:rFonts w:ascii="Times New Roman" w:hAnsi="Times New Roman" w:cs="Times New Roman"/>
          <w:sz w:val="20"/>
          <w:szCs w:val="28"/>
        </w:rPr>
        <w:t xml:space="preserve"> рівні – не всі класи градації мають одне значення середніх.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>Якщо вплив фактору не суттєвий, то несуттєва і різниця між класами градації цього фактору і в ході дисперсійного аналізу нульова гіпотеза H0 не відкидається. Якщо вплив фактору істотний, то нульова гіпотеза H0 відхиляється: не всі класи градації мають одне і теж  середнє значення, тобто серед можливих різниць між класами градації одна або кілька є суттєвими.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 xml:space="preserve">Схематично дисперсійний аналіз поділяється на певні категорії, які визначаються у залежності від кількості факторів, які беруть участь у дослідженні, кількості змінних, на які може впливати фактор та від співвідношення вибірок значень між собою. Якщо при аналізі наявний лише один фактор, вплив якого досліджується, тоді такий аналіз називається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однофакторним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та поділяється на два види:</w:t>
      </w:r>
    </w:p>
    <w:p w:rsidR="00DA5427" w:rsidRPr="00192F8E" w:rsidRDefault="00DA5427" w:rsidP="00B206A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eastAsia="Times New Roman" w:hAnsi="Times New Roman" w:cs="Times New Roman"/>
          <w:sz w:val="20"/>
          <w:szCs w:val="28"/>
        </w:rPr>
        <w:t>Аналіз вибірок, що не пов’язані між собою (аналіз різних, незв’язних вибірок)</w:t>
      </w:r>
    </w:p>
    <w:p w:rsidR="00DA5427" w:rsidRPr="00192F8E" w:rsidRDefault="00DA5427" w:rsidP="00B206A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eastAsia="Times New Roman" w:hAnsi="Times New Roman" w:cs="Times New Roman"/>
          <w:sz w:val="20"/>
          <w:szCs w:val="28"/>
        </w:rPr>
        <w:t>Аналіз вибірок, що пов’язані між собою. Наприклад, коли на одній і тій самій групі проводять декілька вимірів, але в різних умовах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 xml:space="preserve">Якщо при аналізі необхідно дослідити одночасний вплив двох і більше факторів, тоді такий аналіз називається багатофакторним, який в свою чергу ділиться на категорії за типом вибірки. 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  <w:highlight w:val="yellow"/>
        </w:rPr>
      </w:pPr>
      <w:r w:rsidRPr="00192F8E">
        <w:rPr>
          <w:rFonts w:ascii="Times New Roman" w:hAnsi="Times New Roman" w:cs="Times New Roman"/>
          <w:b/>
          <w:bCs/>
          <w:sz w:val="20"/>
          <w:szCs w:val="28"/>
        </w:rPr>
        <w:t>1.2.1.Однофакторний дисперсійний аналіз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 xml:space="preserve">У разі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однофакторного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дисперсійного аналізу мається на увазі, що середні генеральних сукупностей, з яких були вилучені вибірки, - рівні, іншими словами, всі вони відносяться до однієї генеральної сукупності і відмінності носять випадковий характер. Для перевірки теорій в разі дисперсійного аналізу використовується F-розподіл. F-статистика приймає тільки позитивні або нульові значення.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>Процедура дисперсійного аналізу полягає у визначенні співвідношення систематичної (групової) дисперсії до випадкової (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внутрішньогрупової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>) дисперсії в вимірюваних даних. Як показник мінливості використовується сума квадратів відхилення значень параметра від середнього: SS (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of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Squares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). Загальна сума квадратів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SSTotal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розкладається на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міжгрупову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суму квадратів SSBG і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внутрішньогрупову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суму квадратів SSWG :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SSTotal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= SSBG + SSWG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 xml:space="preserve">У разі якщо вірна </w:t>
      </w:r>
      <w:r w:rsidRPr="00192F8E">
        <w:rPr>
          <w:rFonts w:ascii="Times New Roman" w:hAnsi="Times New Roman" w:cs="Times New Roman"/>
          <w:position w:val="-12"/>
          <w:sz w:val="20"/>
          <w:szCs w:val="28"/>
        </w:rPr>
        <w:object w:dxaOrig="340" w:dyaOrig="360">
          <v:shape id="_x0000_i1028" type="#_x0000_t75" style="width:16.85pt;height:18.7pt" o:ole="">
            <v:imagedata r:id="rId11" o:title=""/>
          </v:shape>
          <o:OLEObject Type="Embed" ProgID="Equation.3" ShapeID="_x0000_i1028" DrawAspect="Content" ObjectID="_1604992856" r:id="rId12"/>
        </w:object>
      </w:r>
      <w:r w:rsidRPr="00192F8E">
        <w:rPr>
          <w:rFonts w:ascii="Times New Roman" w:hAnsi="Times New Roman" w:cs="Times New Roman"/>
          <w:sz w:val="20"/>
          <w:szCs w:val="28"/>
        </w:rPr>
        <w:t xml:space="preserve">, то як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внутрішньогрупова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, так і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міжгрупова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дисперсії є оцінками однієї і тієї ж дисперсії і повинні бути приблизно рівні.</w:t>
      </w: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309"/>
      </w:tblGrid>
      <w:tr w:rsidR="00DA5427" w:rsidRPr="00192F8E" w:rsidTr="00D1243E">
        <w:tc>
          <w:tcPr>
            <w:tcW w:w="8642" w:type="dxa"/>
          </w:tcPr>
          <w:p w:rsidR="00DA5427" w:rsidRPr="00192F8E" w:rsidRDefault="00DA5427" w:rsidP="00B206AB">
            <w:pPr>
              <w:pStyle w:val="a3"/>
              <w:ind w:firstLine="709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192F8E">
              <w:rPr>
                <w:rFonts w:ascii="Times New Roman" w:hAnsi="Times New Roman" w:cs="Times New Roman"/>
                <w:position w:val="-30"/>
                <w:sz w:val="20"/>
                <w:szCs w:val="28"/>
              </w:rPr>
              <w:object w:dxaOrig="1180" w:dyaOrig="720">
                <v:shape id="_x0000_i1029" type="#_x0000_t75" style="width:69.2pt;height:42.1pt" o:ole="">
                  <v:imagedata r:id="rId13" o:title=""/>
                </v:shape>
                <o:OLEObject Type="Embed" ProgID="Equation.3" ShapeID="_x0000_i1029" DrawAspect="Content" ObjectID="_1604992857" r:id="rId14"/>
              </w:object>
            </w:r>
            <w:r w:rsidRPr="00192F8E">
              <w:rPr>
                <w:rFonts w:ascii="Times New Roman" w:hAnsi="Times New Roman" w:cs="Times New Roman"/>
                <w:sz w:val="20"/>
                <w:szCs w:val="28"/>
              </w:rPr>
              <w:t>, де</w:t>
            </w:r>
          </w:p>
        </w:tc>
        <w:tc>
          <w:tcPr>
            <w:tcW w:w="646" w:type="dxa"/>
            <w:vAlign w:val="center"/>
          </w:tcPr>
          <w:p w:rsidR="00DA5427" w:rsidRPr="00192F8E" w:rsidRDefault="00DA5427" w:rsidP="00B206AB">
            <w:pPr>
              <w:pStyle w:val="a3"/>
              <w:ind w:firstLine="709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192F8E">
              <w:rPr>
                <w:rFonts w:ascii="Times New Roman" w:hAnsi="Times New Roman" w:cs="Times New Roman"/>
                <w:sz w:val="20"/>
                <w:szCs w:val="28"/>
              </w:rPr>
              <w:t>(1.1)</w:t>
            </w:r>
          </w:p>
        </w:tc>
      </w:tr>
    </w:tbl>
    <w:p w:rsidR="00DA5427" w:rsidRPr="00192F8E" w:rsidRDefault="00DA5427" w:rsidP="00B206AB">
      <w:pPr>
        <w:pStyle w:val="a3"/>
        <w:jc w:val="center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position w:val="-24"/>
          <w:sz w:val="20"/>
          <w:szCs w:val="28"/>
        </w:rPr>
        <w:object w:dxaOrig="3080" w:dyaOrig="620">
          <v:shape id="_x0000_i1030" type="#_x0000_t75" style="width:166.45pt;height:33.65pt" o:ole="">
            <v:imagedata r:id="rId15" o:title=""/>
          </v:shape>
          <o:OLEObject Type="Embed" ProgID="Equation.3" ShapeID="_x0000_i1030" DrawAspect="Content" ObjectID="_1604992858" r:id="rId16"/>
        </w:object>
      </w:r>
    </w:p>
    <w:p w:rsidR="00DA5427" w:rsidRPr="00192F8E" w:rsidRDefault="00DA5427" w:rsidP="00B206AB">
      <w:pPr>
        <w:pStyle w:val="a3"/>
        <w:jc w:val="center"/>
        <w:rPr>
          <w:rFonts w:ascii="Times New Roman" w:hAnsi="Times New Roman" w:cs="Times New Roman"/>
          <w:sz w:val="20"/>
          <w:szCs w:val="28"/>
        </w:rPr>
      </w:pPr>
    </w:p>
    <w:p w:rsidR="00DA5427" w:rsidRPr="00192F8E" w:rsidRDefault="00DA5427" w:rsidP="00B206AB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r w:rsidRPr="00192F8E">
        <w:rPr>
          <w:rFonts w:ascii="Times New Roman" w:hAnsi="Times New Roman" w:cs="Times New Roman"/>
          <w:sz w:val="20"/>
          <w:szCs w:val="28"/>
        </w:rPr>
        <w:t xml:space="preserve">Виходячи з цього значення F має бути близько до 1 в разі, якщо статистично значущих відмінностей все-таки немає. Критичне значення F визначається рівнем значущості (зазвичай 0,05 або 0,01) і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внутрішньогруповим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і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міжгруповим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числом ступенів свободи (ν). Воно досить складне для обчислення, тому частіше використовуються табличні значення із зазначенням α,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νBG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νWG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>.</w:t>
      </w:r>
    </w:p>
    <w:p w:rsidR="00AB2C45" w:rsidRPr="00192F8E" w:rsidRDefault="00DA5427" w:rsidP="00B206AB">
      <w:pPr>
        <w:pStyle w:val="a3"/>
        <w:ind w:firstLine="709"/>
        <w:jc w:val="both"/>
        <w:rPr>
          <w:sz w:val="18"/>
        </w:rPr>
      </w:pPr>
      <w:proofErr w:type="spellStart"/>
      <w:r w:rsidRPr="00192F8E">
        <w:rPr>
          <w:rFonts w:ascii="Times New Roman" w:hAnsi="Times New Roman" w:cs="Times New Roman"/>
          <w:sz w:val="20"/>
          <w:szCs w:val="28"/>
        </w:rPr>
        <w:t>Міжгруповое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число ступенів свободи:</w:t>
      </w:r>
      <w:r w:rsidRPr="00192F8E">
        <w:rPr>
          <w:rFonts w:ascii="Times New Roman" w:hAnsi="Times New Roman" w:cs="Times New Roman"/>
          <w:sz w:val="20"/>
          <w:szCs w:val="28"/>
          <w:lang w:val="ru-RU"/>
        </w:rPr>
        <w:t xml:space="preserve"> </w:t>
      </w:r>
      <w:proofErr w:type="spellStart"/>
      <w:r w:rsidRPr="00192F8E">
        <w:rPr>
          <w:rFonts w:ascii="Times New Roman" w:hAnsi="Times New Roman" w:cs="Times New Roman"/>
          <w:sz w:val="20"/>
          <w:szCs w:val="28"/>
        </w:rPr>
        <w:t>νBG</w:t>
      </w:r>
      <w:proofErr w:type="spellEnd"/>
      <w:r w:rsidRPr="00192F8E">
        <w:rPr>
          <w:rFonts w:ascii="Times New Roman" w:hAnsi="Times New Roman" w:cs="Times New Roman"/>
          <w:sz w:val="20"/>
          <w:szCs w:val="28"/>
        </w:rPr>
        <w:t xml:space="preserve"> = m - 1.</w:t>
      </w:r>
      <w:r w:rsidRPr="00192F8E">
        <w:rPr>
          <w:rFonts w:ascii="Times New Roman" w:hAnsi="Times New Roman" w:cs="Times New Roman"/>
          <w:sz w:val="20"/>
          <w:szCs w:val="28"/>
          <w:lang w:val="ru-RU"/>
        </w:rPr>
        <w:t xml:space="preserve"> </w:t>
      </w:r>
      <w:r w:rsidRPr="00192F8E">
        <w:rPr>
          <w:rFonts w:ascii="Times New Roman" w:hAnsi="Times New Roman" w:cs="Times New Roman"/>
          <w:sz w:val="20"/>
          <w:szCs w:val="28"/>
        </w:rPr>
        <w:t>m – число груп</w:t>
      </w:r>
      <w:r w:rsidRPr="00192F8E">
        <w:rPr>
          <w:rFonts w:ascii="Times New Roman" w:hAnsi="Times New Roman" w:cs="Times New Roman"/>
          <w:sz w:val="20"/>
          <w:szCs w:val="28"/>
          <w:lang w:val="ru-RU"/>
        </w:rPr>
        <w:t>.</w:t>
      </w:r>
    </w:p>
    <w:sectPr w:rsidR="00AB2C45" w:rsidRPr="00192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0F4"/>
    <w:multiLevelType w:val="hybridMultilevel"/>
    <w:tmpl w:val="AA32CCFC"/>
    <w:lvl w:ilvl="0" w:tplc="CE46CF0A">
      <w:numFmt w:val="bullet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E52508"/>
    <w:multiLevelType w:val="hybridMultilevel"/>
    <w:tmpl w:val="C7FA5C48"/>
    <w:lvl w:ilvl="0" w:tplc="CE46CF0A">
      <w:numFmt w:val="bullet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AD62DA"/>
    <w:multiLevelType w:val="multilevel"/>
    <w:tmpl w:val="32CAC4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C205D9C"/>
    <w:multiLevelType w:val="hybridMultilevel"/>
    <w:tmpl w:val="F1980182"/>
    <w:lvl w:ilvl="0" w:tplc="CE46CF0A">
      <w:numFmt w:val="bullet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27"/>
    <w:rsid w:val="00192F8E"/>
    <w:rsid w:val="00AB2C45"/>
    <w:rsid w:val="00B206AB"/>
    <w:rsid w:val="00D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F340"/>
  <w15:chartTrackingRefBased/>
  <w15:docId w15:val="{B33151BE-D6B2-47E5-8A7B-A5BDE2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427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59"/>
    <w:rsid w:val="00DA542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</cp:revision>
  <cp:lastPrinted>2018-11-29T08:19:00Z</cp:lastPrinted>
  <dcterms:created xsi:type="dcterms:W3CDTF">2018-11-29T07:47:00Z</dcterms:created>
  <dcterms:modified xsi:type="dcterms:W3CDTF">2018-11-29T08:25:00Z</dcterms:modified>
</cp:coreProperties>
</file>