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EA5CE8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Členové týmu</w:t>
      </w:r>
    </w:p>
    <w:p w14:paraId="554F3B0A" w14:textId="39F40630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Vít Jánoš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obsluhu sedmisegmentového displeje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5B98DAAE" w14:textId="503E2BD9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Vojtěch Kudela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</w:t>
      </w:r>
      <w:r w:rsidR="00B92C9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za obsluhu maticové klávesnice</w:t>
      </w:r>
      <w:r w:rsidR="004100A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správu GitHub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120A1C35" w14:textId="6727A502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David Matějček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komparátor</w:t>
      </w:r>
      <w:r w:rsidR="006C670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testování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28E8CC50" w14:textId="5CF15F9A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Antonín Putala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="00E94537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8336E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generátory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PWM modulátor a demo nahrávky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05F2CF3D" w14:textId="5188A2A8" w:rsidR="00EA5CE8" w:rsidRP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Teoretický popis a vysvětlení</w:t>
      </w:r>
    </w:p>
    <w:p w14:paraId="470D8DC0" w14:textId="3316C2A3" w:rsidR="002F404C" w:rsidRDefault="005D0F3F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C454A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Zvuk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podélné mechanické vlnění.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Zvuková vlna </w:t>
      </w:r>
      <w:r w:rsidR="00B301A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působí výchylku 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od atmosférického tlaku. Aby byl zvuk pro člověka slyšitelný, musí být o kmitočtu 20 Hz až 20 kHz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a větší výchylku než práh slyšení </w:t>
      </w:r>
      <w:r w:rsidR="00AA43EF" w:rsidRPr="00AA43EF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P</w:t>
      </w:r>
      <w:r w:rsidR="00AA43EF" w:rsidRPr="00AA43EF">
        <w:rPr>
          <w:rFonts w:ascii="Segoe UI" w:eastAsia="Times New Roman" w:hAnsi="Segoe UI" w:cs="Segoe UI"/>
          <w:color w:val="1F2328"/>
          <w:sz w:val="24"/>
          <w:szCs w:val="24"/>
          <w:vertAlign w:val="subscript"/>
          <w:lang w:val="cs-CZ"/>
        </w:rPr>
        <w:t>0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2</w:t>
      </w:r>
      <w:r w:rsidR="00AA43EF">
        <w:rPr>
          <w:rFonts w:ascii="Calibri" w:eastAsia="Times New Roman" w:hAnsi="Calibri" w:cs="Calibri"/>
          <w:color w:val="1F2328"/>
          <w:sz w:val="24"/>
          <w:szCs w:val="24"/>
          <w:lang w:val="cs-CZ"/>
        </w:rPr>
        <w:t>·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10</w:t>
      </w:r>
      <w:r w:rsidR="00AA43EF" w:rsidRPr="00FF4750">
        <w:rPr>
          <w:rFonts w:ascii="Segoe UI" w:eastAsia="Times New Roman" w:hAnsi="Segoe UI" w:cs="Segoe UI"/>
          <w:color w:val="1F2328"/>
          <w:sz w:val="24"/>
          <w:szCs w:val="24"/>
          <w:vertAlign w:val="superscript"/>
          <w:lang w:val="cs-CZ"/>
        </w:rPr>
        <w:t>-5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Pa</w:t>
      </w:r>
      <w:r w:rsidR="004D32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 Dlužno podotknout, že citlivost lidského sluchu je frekvenčně závislé, práh slyšení i kmitočtový rozsah se liší dle jednotlivce. Lidské ucho vnímá hlasitost logaritmicky, proto se hlasitost vyjadřuje v decibelové míře.</w:t>
      </w:r>
    </w:p>
    <w:p w14:paraId="26A0FA41" w14:textId="3A2AFCA2" w:rsidR="004D32B7" w:rsidRPr="0073614B" w:rsidRDefault="00CF144E" w:rsidP="00C61430">
      <w:pPr>
        <w:shd w:val="clear" w:color="auto" w:fill="FFFFFF"/>
        <w:spacing w:before="40" w:after="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p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</m:t>
          </m:r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20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1F2328"/>
                      <w:sz w:val="24"/>
                      <w:szCs w:val="24"/>
                      <w:lang w:val="cs-C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  <w:color w:val="1F2328"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1F2328"/>
                              <w:sz w:val="24"/>
                              <w:szCs w:val="24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1F2328"/>
                              <w:sz w:val="24"/>
                              <w:szCs w:val="24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 xml:space="preserve"> [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dB</m:t>
          </m:r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]</m:t>
          </m:r>
        </m:oMath>
      </m:oMathPara>
    </w:p>
    <w:p w14:paraId="597B2BAB" w14:textId="2F7D43FD" w:rsidR="0073614B" w:rsidRDefault="0073614B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44006F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L</w:t>
      </w:r>
      <w:r w:rsidRPr="0044006F">
        <w:rPr>
          <w:rFonts w:ascii="Segoe UI" w:eastAsia="Times New Roman" w:hAnsi="Segoe UI" w:cs="Segoe UI"/>
          <w:color w:val="1F2328"/>
          <w:sz w:val="24"/>
          <w:szCs w:val="24"/>
          <w:vertAlign w:val="subscript"/>
          <w:lang w:val="cs-CZ"/>
        </w:rPr>
        <w:t>P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</w:t>
      </w:r>
      <w:r w:rsidR="003821C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hladina akustického tlaku</w:t>
      </w:r>
      <w:r w:rsidR="00C6143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3899EF01" w14:textId="101C5EDB" w:rsidR="002B7E9A" w:rsidRDefault="006C2F11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Periodické zvukové signály se nazývají </w:t>
      </w:r>
      <w:r w:rsidRPr="005D0D3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tóny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3858F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Tyto tóny mají svou základní frekvenci, která je označovaná jako výška. Podle výšky také nese tón název. 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 hudební teorii se používá označení oktáva pro zdvojnásobení kmitočtu. 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Pokud zdvojnásobíme kmitočet tónu, </w:t>
      </w:r>
      <w:r w:rsidR="00AC19E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nese stejn</w:t>
      </w:r>
      <w:r w:rsidR="00294F2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ý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C19E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název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pouze </w:t>
      </w:r>
      <w:r w:rsidR="00A86A2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bude </w:t>
      </w:r>
      <w:r w:rsidR="0004477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lež</w:t>
      </w:r>
      <w:r w:rsidR="00A86A2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et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 vyšší oktávě.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Jako základní tón se užívá komorní A s kmitočtem </w:t>
      </w:r>
      <w:r w:rsidR="00FE48A2" w:rsidRPr="00FE48A2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f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440 Hz. 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Oktáva se v evropské hudební teorii rozděluje na 12 dílů. Ty se nazývají půltóny. Každému půltónu je přiřazen kmitočet. Tento kmitočet se určí jako součin základního kmitočtu a poměru pro konkrétní půltón.</w:t>
      </w:r>
      <w:r w:rsidR="004B002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Pokud </w:t>
      </w:r>
      <w:r w:rsidR="00182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změníme frekvenci základního tónu, změní se kmitočty všech půltónů.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5CAC8B9C" w14:textId="75C02D4B" w:rsidR="006C2F11" w:rsidRDefault="004B0024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Princip, podle kterého jsou přiřazovány poměry k půltónům nazýváme </w:t>
      </w:r>
      <w:r w:rsidRPr="004767F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ladění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 minulosti byl užívány různé typy ladění, které měly své výhody i neduhy (</w:t>
      </w:r>
      <w:r w:rsidR="005804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např.: 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Pythagorejské, Středotónové</w:t>
      </w:r>
      <w:r w:rsidR="000F4F2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Parejovo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…)</w:t>
      </w:r>
      <w:r w:rsidR="00CF72F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DD738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 současném době se používá téměř výhradně rovnoměrně temperované ladění. </w:t>
      </w:r>
      <w:r w:rsidR="008B7D1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 rovnoměrně temperovaném ladění je poměr mezi dvěma po sobě j</w:t>
      </w:r>
      <w:r w:rsidR="00B6340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</w:t>
      </w:r>
      <w:r w:rsidR="008B7D1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oucími půltóny </w:t>
      </w:r>
      <m:oMath>
        <m:rad>
          <m:radPr>
            <m:ctrlPr>
              <w:rPr>
                <w:rFonts w:ascii="Cambria Math" w:eastAsia="Times New Roman" w:hAnsi="Cambria Math" w:cs="Segoe UI"/>
                <w:i/>
                <w:color w:val="1F2328"/>
                <w:sz w:val="24"/>
                <w:szCs w:val="24"/>
                <w:lang w:val="cs-CZ"/>
              </w:rPr>
            </m:ctrlPr>
          </m:radPr>
          <m:deg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12</m:t>
            </m:r>
          </m:deg>
          <m:e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2</m:t>
            </m:r>
          </m:e>
        </m:rad>
      </m:oMath>
      <w:r w:rsidR="00101D3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5E428450" w14:textId="5553AB9E" w:rsidR="00A67C90" w:rsidRDefault="00A67C90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 tónu A se tedy získá A# vynásobením </w:t>
      </w:r>
      <m:oMath>
        <m:rad>
          <m:radPr>
            <m:ctrlPr>
              <w:rPr>
                <w:rFonts w:ascii="Cambria Math" w:eastAsia="Times New Roman" w:hAnsi="Cambria Math" w:cs="Segoe UI"/>
                <w:i/>
                <w:color w:val="1F2328"/>
                <w:sz w:val="24"/>
                <w:szCs w:val="24"/>
                <w:lang w:val="cs-CZ"/>
              </w:rPr>
            </m:ctrlPr>
          </m:radPr>
          <m:deg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12</m:t>
            </m:r>
          </m:deg>
          <m:e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2</m:t>
            </m:r>
          </m:e>
        </m:rad>
      </m:oMath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36AD2048" w14:textId="59074843" w:rsidR="000B26ED" w:rsidRPr="00E0166E" w:rsidRDefault="00C50326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A#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A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∙</m:t>
          </m:r>
          <m:rad>
            <m:rad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radPr>
            <m:deg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12</m:t>
              </m:r>
            </m:deg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2</m:t>
              </m:r>
            </m:e>
          </m:rad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=440∙</m:t>
          </m:r>
          <m:rad>
            <m:rad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radPr>
            <m:deg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12</m:t>
              </m:r>
            </m:deg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2</m:t>
              </m:r>
            </m:e>
          </m:rad>
          <m:acc>
            <m:accPr>
              <m:chr m:val="̇"/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=</m:t>
              </m:r>
            </m:e>
          </m:acc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 xml:space="preserve">466,2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H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z</m:t>
          </m:r>
        </m:oMath>
      </m:oMathPara>
    </w:p>
    <w:p w14:paraId="4E9CBCD8" w14:textId="2DD72EBD" w:rsidR="00E0166E" w:rsidRDefault="00E0166E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  <w:t>A</w:t>
      </w:r>
      <w:r w:rsidR="000E323B"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  <w:t xml:space="preserve"> tímto způsobem by bylo pokračováno pro zbývající půltóny.</w:t>
      </w:r>
    </w:p>
    <w:p w14:paraId="4EB3A8C2" w14:textId="7ECDDB6B" w:rsidR="00343558" w:rsidRPr="00CD1643" w:rsidRDefault="00343558" w:rsidP="00274AD9">
      <w:pPr>
        <w:pStyle w:val="Titulek"/>
        <w:keepNext/>
        <w:spacing w:after="120"/>
        <w:rPr>
          <w:b/>
          <w:bCs/>
          <w:i w:val="0"/>
          <w:iCs w:val="0"/>
          <w:color w:val="auto"/>
          <w:sz w:val="24"/>
          <w:szCs w:val="24"/>
        </w:rPr>
      </w:pPr>
      <w:r w:rsidRPr="00CD1643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Tab. </w: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1643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41744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0500C" w:rsidRPr="00CD1643">
        <w:rPr>
          <w:b/>
          <w:bCs/>
          <w:i w:val="0"/>
          <w:iCs w:val="0"/>
          <w:color w:val="auto"/>
          <w:sz w:val="24"/>
          <w:szCs w:val="24"/>
        </w:rPr>
        <w:t xml:space="preserve"> Tabulka kmitočtů </w:t>
      </w:r>
      <w:r w:rsidR="009645F6" w:rsidRPr="00CD1643">
        <w:rPr>
          <w:b/>
          <w:bCs/>
          <w:i w:val="0"/>
          <w:iCs w:val="0"/>
          <w:color w:val="auto"/>
          <w:sz w:val="24"/>
          <w:szCs w:val="24"/>
        </w:rPr>
        <w:t>jednotlivých tónů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07"/>
        <w:gridCol w:w="1697"/>
        <w:gridCol w:w="1409"/>
        <w:gridCol w:w="1695"/>
        <w:gridCol w:w="1412"/>
        <w:gridCol w:w="1694"/>
      </w:tblGrid>
      <w:tr w:rsidR="00D47B9A" w14:paraId="6DF48213" w14:textId="77777777" w:rsidTr="00343558">
        <w:tc>
          <w:tcPr>
            <w:tcW w:w="1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0830AA23" w14:textId="6BBE91C1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DFBBC6F" w14:textId="5B6C1EE6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682A4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  <w:tc>
          <w:tcPr>
            <w:tcW w:w="1409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4D78BF3F" w14:textId="01259F27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C4DB452" w14:textId="6ADBA1FD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EF461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  <w:tc>
          <w:tcPr>
            <w:tcW w:w="141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3C0B7EDD" w14:textId="0DD1043F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00EAC4B" w14:textId="1089A681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EF461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</w:tr>
      <w:tr w:rsidR="00C569D8" w14:paraId="22E3F593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582F0205" w14:textId="7B40DC94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A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1E6D620B" w14:textId="76D6A2F0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440,0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65570CDF" w14:textId="07041D71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C#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5795AEC9" w14:textId="0EDAA571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554,4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245F44D1" w14:textId="740FC5C2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F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75DFB9B3" w14:textId="73C0B236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698,5</w:t>
            </w:r>
          </w:p>
        </w:tc>
      </w:tr>
      <w:tr w:rsidR="00C569D8" w14:paraId="19995DB4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1E50D176" w14:textId="78D2955D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A#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1D80532B" w14:textId="7434E1BB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466,2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5F034E0B" w14:textId="7059A15E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D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1CD5E965" w14:textId="66150A12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587,3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556782A9" w14:textId="766CED49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F#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7F0C655B" w14:textId="436F2C83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740,0</w:t>
            </w:r>
          </w:p>
        </w:tc>
      </w:tr>
      <w:tr w:rsidR="004714A0" w14:paraId="00569552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426EF32C" w14:textId="041C63BA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B*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3573C676" w14:textId="4234994B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493,9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359170CA" w14:textId="7A8014B8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D#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27A0B9A5" w14:textId="3E3AAD47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622,3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5BFEB4A0" w14:textId="30528683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G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5564351E" w14:textId="366EBCFE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784,0</w:t>
            </w:r>
          </w:p>
        </w:tc>
      </w:tr>
      <w:tr w:rsidR="00C569D8" w14:paraId="0DD3803E" w14:textId="77777777" w:rsidTr="00343558">
        <w:tc>
          <w:tcPr>
            <w:tcW w:w="1407" w:type="dxa"/>
            <w:tcBorders>
              <w:left w:val="single" w:sz="18" w:space="0" w:color="auto"/>
              <w:bottom w:val="single" w:sz="18" w:space="0" w:color="auto"/>
            </w:tcBorders>
          </w:tcPr>
          <w:p w14:paraId="2BAC8FCB" w14:textId="2B917A0D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C</w:t>
            </w:r>
          </w:p>
        </w:tc>
        <w:tc>
          <w:tcPr>
            <w:tcW w:w="1697" w:type="dxa"/>
            <w:tcBorders>
              <w:bottom w:val="single" w:sz="18" w:space="0" w:color="auto"/>
              <w:right w:val="single" w:sz="18" w:space="0" w:color="auto"/>
            </w:tcBorders>
          </w:tcPr>
          <w:p w14:paraId="16152A94" w14:textId="50F75DA2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523,3</w:t>
            </w:r>
          </w:p>
        </w:tc>
        <w:tc>
          <w:tcPr>
            <w:tcW w:w="1409" w:type="dxa"/>
            <w:tcBorders>
              <w:left w:val="single" w:sz="18" w:space="0" w:color="auto"/>
              <w:bottom w:val="single" w:sz="18" w:space="0" w:color="auto"/>
            </w:tcBorders>
          </w:tcPr>
          <w:p w14:paraId="450F1C59" w14:textId="24C9FD86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E</w:t>
            </w:r>
          </w:p>
        </w:tc>
        <w:tc>
          <w:tcPr>
            <w:tcW w:w="1695" w:type="dxa"/>
            <w:tcBorders>
              <w:bottom w:val="single" w:sz="18" w:space="0" w:color="auto"/>
              <w:right w:val="single" w:sz="18" w:space="0" w:color="auto"/>
            </w:tcBorders>
          </w:tcPr>
          <w:p w14:paraId="6FBF5F17" w14:textId="0BB4D085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659,3</w:t>
            </w:r>
          </w:p>
        </w:tc>
        <w:tc>
          <w:tcPr>
            <w:tcW w:w="1412" w:type="dxa"/>
            <w:tcBorders>
              <w:left w:val="single" w:sz="18" w:space="0" w:color="auto"/>
              <w:bottom w:val="single" w:sz="18" w:space="0" w:color="auto"/>
            </w:tcBorders>
          </w:tcPr>
          <w:p w14:paraId="1BAFF09D" w14:textId="4AABB1B4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G</w:t>
            </w:r>
            <w:r w:rsidR="00E3160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#</w:t>
            </w:r>
          </w:p>
        </w:tc>
        <w:tc>
          <w:tcPr>
            <w:tcW w:w="1694" w:type="dxa"/>
            <w:tcBorders>
              <w:bottom w:val="single" w:sz="18" w:space="0" w:color="auto"/>
              <w:right w:val="single" w:sz="18" w:space="0" w:color="auto"/>
            </w:tcBorders>
          </w:tcPr>
          <w:p w14:paraId="47AE893B" w14:textId="4A05DF47" w:rsidR="0038376C" w:rsidRDefault="0038376C" w:rsidP="0038376C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830,6</w:t>
            </w:r>
          </w:p>
        </w:tc>
      </w:tr>
    </w:tbl>
    <w:p w14:paraId="510DB896" w14:textId="5E58005E" w:rsidR="00243B3B" w:rsidRDefault="004733E2" w:rsidP="00510761">
      <w:pP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4733E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*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Pr="004733E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 českých a německých zemích je zvykem nazývat tento tón H. Oproti tomu jako B je označován tón A#. </w:t>
      </w:r>
      <w:r w:rsidR="00B820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Zde je uváděné pojmenování obvyklé v anglosaských zemích.</w:t>
      </w:r>
    </w:p>
    <w:p w14:paraId="1829CDC4" w14:textId="4B93D3DF" w:rsidR="00C526FE" w:rsidRDefault="00C526FE" w:rsidP="00510761">
      <w:pP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Bylo by samozřejmě možné pokračovat dál, nicméně následoval by kmitočet přesně dvojnásobný oproti základnímu tónu, tedy bylo dosaženo </w:t>
      </w:r>
      <w:r w:rsidR="0046612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celé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oktávy.</w:t>
      </w:r>
    </w:p>
    <w:p w14:paraId="13E8A041" w14:textId="516DC625" w:rsidR="00B742E7" w:rsidRPr="004733E2" w:rsidRDefault="00B742E7" w:rsidP="00372C87">
      <w:pPr>
        <w:shd w:val="clear" w:color="auto" w:fill="FFFFFF"/>
        <w:spacing w:before="120"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Hudební tón není tvořen pouze základním kmitočtem, nýbrž též vyššími harmonickými složkami</w:t>
      </w:r>
      <w:r w:rsidR="0080287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(alikvótními tóny)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což jsou celistvé násobky základního kmitočtu. Tóny stejné výšky s odlišným obsahem vyšších harmonických složek se liší co do </w:t>
      </w:r>
      <w:r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 xml:space="preserve">barvy </w:t>
      </w:r>
      <w:r w:rsidR="000A1482"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tón</w:t>
      </w:r>
      <w:r w:rsidR="005B5515"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u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6F41E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To lze demonstrovat na rozdílném zvuku jednotlivých hudebních nástrojů. Vhodnou kombinací vyšších harmonických </w:t>
      </w:r>
      <w:r w:rsidR="000154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lze věrně napodobit libovolný hudební nástroj. Odlišná barva tónu je demonstrována na třech </w:t>
      </w:r>
      <w:r w:rsidR="00DA2E1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základních průbězích</w:t>
      </w:r>
      <w:r w:rsidR="000154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: obdélníkovém, trojúhelníkovém a pilovém.</w:t>
      </w:r>
    </w:p>
    <w:p w14:paraId="27445578" w14:textId="2CD6FF81" w:rsidR="008E2895" w:rsidRDefault="002F404C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Generace</w:t>
      </w:r>
      <w:r w:rsidR="00E16F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zvukových signálů</w:t>
      </w:r>
      <w:r w:rsidR="005D0F3F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pomocí FPGA působí problém, protože </w:t>
      </w:r>
      <w:r w:rsidR="009A685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zvukový signál je spojitý, zatímco 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FPGA má pouze dvoustavové výstupy. Řešením je užití </w:t>
      </w:r>
      <w:r w:rsidR="009B19D9" w:rsidRPr="000A148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pulzně šířkové modulace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(PWM)</w:t>
      </w:r>
      <w:r w:rsidR="0057274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1E08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PWM je</w:t>
      </w:r>
      <w:r w:rsidR="00B61ED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modulace, při které se střída výstupního obdélníkového signálu mění v závislosti na okamžité hodnotě modulovaného signálu.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Velká výchylka okamžitého signálu se projeví větší střídou, menší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vý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chylka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menší střídou.</w:t>
      </w:r>
      <w:r w:rsidR="00C92C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Hlavním benefitem je 1bitový výstup</w:t>
      </w:r>
      <w:r w:rsidR="00FB424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který může být přímo zaveden do reproduktoru</w:t>
      </w:r>
      <w:r w:rsidR="007F750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Pokud je potřeba získat původní signál stačí užít dolní propust.</w:t>
      </w:r>
    </w:p>
    <w:p w14:paraId="0D31C5EE" w14:textId="02071111" w:rsidR="00FC1293" w:rsidRDefault="00372C87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PWM modulátor je v principu komparátor. Jako </w:t>
      </w:r>
      <w:r w:rsidR="00A04BE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referenční průběh je nutné použít pilový průběh. Je nutné, aby byl kmitočet referenčního </w:t>
      </w:r>
      <w:r w:rsidR="00FC129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byl alespoň o řád větší než nejvyšší kmitočet modulačního signálu.</w:t>
      </w:r>
      <w:r w:rsidR="009E78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Aby zařízení bezchybně fungovalo je nutné, aby měl v každém čase referenční průběh větší </w:t>
      </w:r>
      <w:r w:rsidR="002131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maximální hodnotu a menší minimální hodnotu než modulační signál. </w:t>
      </w:r>
      <w:r w:rsidR="00A1023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Jinak by měl výstup střídu 100 %, respektive 0 %, což není možno.</w:t>
      </w:r>
      <w:r w:rsidR="00EC145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Kmitočet použitého je pouhých 10 kHz, což je nicméně v této konkrétní aplikaci postačující, avšak nebylo by, pakliže by byl rozsah rozšířen směrem k vyšším tónům.</w:t>
      </w:r>
    </w:p>
    <w:p w14:paraId="60BFE1D4" w14:textId="77777777" w:rsidR="00182C38" w:rsidRDefault="00FC1293" w:rsidP="00182C38">
      <w:pPr>
        <w:keepNext/>
        <w:shd w:val="clear" w:color="auto" w:fill="FFFFFF"/>
        <w:spacing w:after="240" w:line="240" w:lineRule="auto"/>
        <w:jc w:val="center"/>
      </w:pPr>
      <w:r w:rsidRPr="00FC129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3A82B628" wp14:editId="31413DAF">
            <wp:extent cx="4495800" cy="1753170"/>
            <wp:effectExtent l="0" t="0" r="0" b="0"/>
            <wp:docPr id="1341006899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06899" name="Obrázek 1" descr="Obsah obrázku text, diagram, řada/pruh, Písm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931" cy="17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726" w14:textId="6ACF1A47" w:rsidR="00EA5CE8" w:rsidRDefault="00182C38" w:rsidP="0059512C">
      <w:pPr>
        <w:pStyle w:val="Titulek"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182C38">
        <w:rPr>
          <w:b/>
          <w:bCs/>
          <w:i w:val="0"/>
          <w:iCs w:val="0"/>
          <w:color w:val="auto"/>
          <w:sz w:val="24"/>
          <w:szCs w:val="24"/>
        </w:rPr>
        <w:t xml:space="preserve">Obr. </w: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82C38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65313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Princip PWM modulátoru</w:t>
      </w:r>
      <w:r w:rsidR="009B07A2">
        <w:rPr>
          <w:b/>
          <w:bCs/>
          <w:i w:val="0"/>
          <w:iCs w:val="0"/>
          <w:color w:val="auto"/>
          <w:sz w:val="24"/>
          <w:szCs w:val="24"/>
        </w:rPr>
        <w:t xml:space="preserve"> – převzato z 2</w:t>
      </w:r>
    </w:p>
    <w:p w14:paraId="75B59EA7" w14:textId="45DF84D6" w:rsidR="00B275B1" w:rsidRPr="007E1AB1" w:rsidRDefault="00FA63B1" w:rsidP="00CE5039">
      <w:pPr>
        <w:spacing w:after="120"/>
        <w:jc w:val="both"/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Je pochopitelné, že modulační i referenční průběh je nutné uvnitř FPGA vyjádřit pomocí číslicových hodnot.</w:t>
      </w:r>
      <w:r w:rsidR="00B03CF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Signál je vyjádřen vzorky, jímž je přiřazena 8bitová číselná hodnota. Protože tyto průběhy mohou nabývat též záporných hodnot, </w:t>
      </w:r>
      <w:r w:rsidR="001F676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je hodnota 127 (x“7</w:t>
      </w:r>
      <w:r w:rsidR="004E09B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</w:t>
      </w:r>
      <w:r w:rsidR="001F676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“)</w:t>
      </w:r>
      <w:r w:rsidR="00CE503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B13D3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užívána coby nulová úroveň, vyšší hodnoty jsou kladné, nižší záporné.</w:t>
      </w:r>
    </w:p>
    <w:p w14:paraId="1155EB4B" w14:textId="486A1D07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Hardwarový popis a demo aplikace</w:t>
      </w:r>
    </w:p>
    <w:p w14:paraId="28305199" w14:textId="0CF9673F" w:rsidR="00EA5CE8" w:rsidRDefault="00EA14E6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Popiš co umí periferie atd co ukazují.</w:t>
      </w:r>
    </w:p>
    <w:p w14:paraId="1C422EB0" w14:textId="77777777" w:rsidR="00257E81" w:rsidRDefault="00257E81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2AAFD94" w14:textId="77777777" w:rsidR="00257E81" w:rsidRPr="00EA5CE8" w:rsidRDefault="00257E81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0B71AA5" w14:textId="14798A66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Softwarový popis</w:t>
      </w:r>
    </w:p>
    <w:p w14:paraId="6B861164" w14:textId="7FFDBC7D" w:rsidR="00EA5CE8" w:rsidRDefault="00EA5CE8" w:rsidP="00EA5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9C79753" w14:textId="77777777" w:rsidR="00160472" w:rsidRDefault="00160472" w:rsidP="00EA5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4F6F29F5" w14:textId="77777777" w:rsidR="00160472" w:rsidRDefault="00160472" w:rsidP="001604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A9765D" w14:textId="58FAA1C1" w:rsidR="00160472" w:rsidRPr="00D66859" w:rsidRDefault="00160472" w:rsidP="00160472">
      <w:pPr>
        <w:pStyle w:val="Odstavecseseznamem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D66859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6" w:history="1">
        <w:r w:rsidR="00324CE9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DISPLAY_AND_GEN</w:t>
        </w:r>
      </w:hyperlink>
    </w:p>
    <w:p w14:paraId="5E2ED03C" w14:textId="77777777" w:rsidR="00160472" w:rsidRDefault="00160472" w:rsidP="00160472">
      <w:pPr>
        <w:keepNext/>
        <w:shd w:val="clear" w:color="auto" w:fill="FFFFFF"/>
        <w:spacing w:after="0" w:line="240" w:lineRule="auto"/>
      </w:pPr>
      <w:r w:rsidRPr="003A78A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63AE5A1B" wp14:editId="32C3B984">
            <wp:extent cx="5943600" cy="2538730"/>
            <wp:effectExtent l="0" t="0" r="0" b="0"/>
            <wp:docPr id="437825939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5939" name="Obrázek 1" descr="Obsah obrázku text, diagram, řada/pruh, Vykreslený graf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0C7" w14:textId="24BA217D" w:rsidR="00160472" w:rsidRPr="0062025F" w:rsidRDefault="00160472" w:rsidP="00160472">
      <w:pPr>
        <w:pStyle w:val="Titulek"/>
        <w:spacing w:after="120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r w:rsidRPr="0062025F">
        <w:rPr>
          <w:b/>
          <w:bCs/>
          <w:i w:val="0"/>
          <w:iCs w:val="0"/>
          <w:color w:val="auto"/>
          <w:sz w:val="24"/>
          <w:szCs w:val="24"/>
        </w:rPr>
        <w:t xml:space="preserve">Obr. </w: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2025F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65313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2025F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Schéma zapojení </w:t>
      </w:r>
      <w:r w:rsidR="008F6F89">
        <w:rPr>
          <w:b/>
          <w:bCs/>
          <w:i w:val="0"/>
          <w:iCs w:val="0"/>
          <w:color w:val="auto"/>
          <w:sz w:val="24"/>
          <w:szCs w:val="24"/>
        </w:rPr>
        <w:t>DISPLAY_AND_GEN</w:t>
      </w:r>
    </w:p>
    <w:p w14:paraId="149FBF00" w14:textId="137CC8E2" w:rsidR="00160472" w:rsidRDefault="00874E3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Blok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DISPLAY_AND_GEN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zastřešuje dva velké bloky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SOUND_GENERATOR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DISP_CON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17688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Mimo to obsahuje logiku, která nastavuje reset komparátoru. Komparátor je resetován</w:t>
      </w:r>
      <w:r w:rsidR="00FB3DF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pokud</w:t>
      </w:r>
      <w:r w:rsidR="00E12C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není nic stisknuto a zařízení nehraje demo nahrávku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nebo pokud je reset komparátoru nařízen blokem DISP_CON</w:t>
      </w:r>
      <w:r w:rsidR="007C2E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03FC5E91" w14:textId="77777777" w:rsidR="005B12D4" w:rsidRDefault="005B12D4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F1F2A1" w14:textId="44235590" w:rsidR="002375BB" w:rsidRPr="002375BB" w:rsidRDefault="002375BB" w:rsidP="002375B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2. </w:t>
      </w:r>
      <w:r w:rsidRPr="002375BB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8" w:history="1">
        <w:r w:rsidR="00AF5EF4" w:rsidRPr="00F41B91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SOUND_GENERATOR</w:t>
        </w:r>
      </w:hyperlink>
    </w:p>
    <w:p w14:paraId="2A264ECE" w14:textId="6967AF94" w:rsidR="005B12D4" w:rsidRDefault="00C31358" w:rsidP="008B3041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Úkolem SOUND_GENERATOR je generovat PWM modulovaný signál, který obsahuje </w:t>
      </w:r>
      <w:r w:rsidR="0075576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zvukovou informaci. </w:t>
      </w:r>
      <w:r w:rsidR="00CD493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Tento signál je buďto vygenerován uvnitř tohoto bloku nebo brán zvenčí vstupy pro dema.</w:t>
      </w:r>
    </w:p>
    <w:p w14:paraId="5ABF6FD5" w14:textId="77777777" w:rsidR="00465313" w:rsidRDefault="00C91932" w:rsidP="00465313">
      <w:pPr>
        <w:keepNext/>
        <w:shd w:val="clear" w:color="auto" w:fill="FFFFFF"/>
        <w:spacing w:after="0" w:line="240" w:lineRule="auto"/>
        <w:jc w:val="both"/>
      </w:pPr>
      <w:r w:rsidRPr="00C9193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drawing>
          <wp:inline distT="0" distB="0" distL="0" distR="0" wp14:anchorId="58991AAA" wp14:editId="0AA7FE6E">
            <wp:extent cx="5943600" cy="2723515"/>
            <wp:effectExtent l="0" t="0" r="0" b="635"/>
            <wp:docPr id="1041869866" name="Obrázek 1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9866" name="Obrázek 1" descr="Obsah obrázku diagram, text, Plán, Technický výkres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7971" w14:textId="7280AA97" w:rsidR="00C91932" w:rsidRPr="00465313" w:rsidRDefault="00465313" w:rsidP="00465313">
      <w:pPr>
        <w:pStyle w:val="Titulek"/>
        <w:jc w:val="both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r w:rsidRPr="00465313">
        <w:rPr>
          <w:b/>
          <w:bCs/>
          <w:i w:val="0"/>
          <w:iCs w:val="0"/>
          <w:color w:val="auto"/>
          <w:sz w:val="24"/>
          <w:szCs w:val="24"/>
        </w:rPr>
        <w:t xml:space="preserve">Obr. </w: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5313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65313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Schéma zapojení SOUND_GENERATOR</w:t>
      </w:r>
    </w:p>
    <w:p w14:paraId="4992C317" w14:textId="77777777" w:rsidR="0020013F" w:rsidRDefault="0020013F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5114707" w14:textId="0B48333A" w:rsidR="0020013F" w:rsidRDefault="0020465E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t>Blok obsahuje tři generátory, které generují jednotlivé průběhy</w:t>
      </w:r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hyperlink r:id="rId10" w:history="1">
        <w:r w:rsidR="00393810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 xml:space="preserve">osmikanálový </w:t>
        </w:r>
        <w:r w:rsidR="00470385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multiplexer</w:t>
        </w:r>
      </w:hyperlink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převodník </w:t>
      </w:r>
      <w:hyperlink r:id="rId11" w:history="1">
        <w:r w:rsidR="00470385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boot_to_freq</w:t>
        </w:r>
      </w:hyperlink>
      <w:r w:rsidR="005A3F2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generátor pulzů </w:t>
      </w:r>
      <w:hyperlink r:id="rId12" w:history="1">
        <w:r w:rsidR="00470385" w:rsidRPr="009C3BD4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A45BE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samotný </w:t>
      </w:r>
      <w:hyperlink r:id="rId13" w:history="1">
        <w:r w:rsidR="00A45BE7" w:rsidRPr="0097576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PWM modulátor</w:t>
        </w:r>
      </w:hyperlink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BF253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524540" w:rsidRPr="005616F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Osmikanálový multiplexer</w:t>
      </w:r>
      <w:r w:rsidR="0052454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BD49B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umožňuje přepínání vstup PWM modulátoru mezi třemi střídavými průběhy a třemi demo nahrávkami. Je adresován signálem mode</w:t>
      </w:r>
      <w:r w:rsidR="00120A8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4bitový signál freq obsahuje informaci o frekvenci, nicméně v této podobě s ním nemohou generátory pracovat, proto je tato hodnota </w:t>
      </w:r>
      <w:r w:rsidR="00440097" w:rsidRPr="00440097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převodníkem boot_to_freq</w:t>
      </w:r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převedena</w:t>
      </w:r>
      <w:r w:rsidR="00482C0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na číselnou hodnotu, která odpovídá desetinásobku frekvence v Herzích. </w:t>
      </w:r>
      <w:r w:rsidR="0012486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Protože tlačítka maticové klávesnice nejdou po sobě, bylo nutné zajistit jejich uspořádání </w:t>
      </w:r>
      <w:r w:rsidR="003362C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softwarově,</w:t>
      </w:r>
      <w:r w:rsidR="0012486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to plní tento převodník.</w:t>
      </w:r>
      <w:r w:rsidR="003362C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Převádí 4bitovou vstupní hodnotu na 16bitový výstup dle následující</w:t>
      </w:r>
      <w:r w:rsidR="007B340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tabulky</w:t>
      </w:r>
      <w:r w:rsidR="00B763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33F0E60B" w14:textId="5FA861C3" w:rsidR="00641744" w:rsidRPr="00641744" w:rsidRDefault="00641744" w:rsidP="006E2697">
      <w:pPr>
        <w:pStyle w:val="Titulek"/>
        <w:keepNext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641744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41744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641744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Převodní tabulka boot_t</w:t>
      </w:r>
      <w:r w:rsidR="00F0016E">
        <w:rPr>
          <w:b/>
          <w:bCs/>
          <w:i w:val="0"/>
          <w:iCs w:val="0"/>
          <w:color w:val="auto"/>
          <w:sz w:val="24"/>
          <w:szCs w:val="24"/>
        </w:rPr>
        <w:t>o</w:t>
      </w:r>
      <w:r w:rsidR="004322CC">
        <w:rPr>
          <w:b/>
          <w:bCs/>
          <w:i w:val="0"/>
          <w:iCs w:val="0"/>
          <w:color w:val="auto"/>
          <w:sz w:val="24"/>
          <w:szCs w:val="24"/>
        </w:rPr>
        <w:t>_freq</w:t>
      </w:r>
    </w:p>
    <w:tbl>
      <w:tblPr>
        <w:tblW w:w="2987" w:type="dxa"/>
        <w:jc w:val="center"/>
        <w:tbl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58"/>
        <w:gridCol w:w="1000"/>
      </w:tblGrid>
      <w:tr w:rsidR="001C7E23" w:rsidRPr="0052498F" w14:paraId="687A2E60" w14:textId="77777777" w:rsidTr="00641744">
        <w:trPr>
          <w:trHeight w:val="288"/>
          <w:jc w:val="center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67C92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inpu (hex)</w:t>
            </w:r>
          </w:p>
        </w:tc>
        <w:tc>
          <w:tcPr>
            <w:tcW w:w="858" w:type="dxa"/>
            <w:tcBorders>
              <w:top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9C6DBA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output</w:t>
            </w:r>
          </w:p>
        </w:tc>
        <w:tc>
          <w:tcPr>
            <w:tcW w:w="100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2A57E0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odpovídá</w:t>
            </w:r>
          </w:p>
        </w:tc>
      </w:tr>
      <w:tr w:rsidR="0052498F" w:rsidRPr="0052498F" w14:paraId="72E2C095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51F86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B39E5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x"0898"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CDA94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</w:t>
            </w:r>
          </w:p>
        </w:tc>
      </w:tr>
      <w:tr w:rsidR="0052498F" w:rsidRPr="0052498F" w14:paraId="25FD5D4A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030726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F35E96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x"09A5"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4757B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</w:t>
            </w:r>
          </w:p>
        </w:tc>
      </w:tr>
      <w:tr w:rsidR="0052498F" w:rsidRPr="0052498F" w14:paraId="3C3028AF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F0B27F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3FC5C5C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x"0A38"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7009AE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C1</w:t>
            </w:r>
          </w:p>
        </w:tc>
      </w:tr>
      <w:tr w:rsidR="0052498F" w:rsidRPr="0052498F" w14:paraId="6B673D42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959E9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F0BDB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x"0B78"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AAC348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D1</w:t>
            </w:r>
          </w:p>
        </w:tc>
      </w:tr>
      <w:tr w:rsidR="0052498F" w:rsidRPr="0052498F" w14:paraId="69EE8CE4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A60B9A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718123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x"0E74"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80EC1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F#1</w:t>
            </w:r>
          </w:p>
        </w:tc>
      </w:tr>
      <w:tr w:rsidR="0052498F" w:rsidRPr="0052498F" w14:paraId="0AE70803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9FF2CC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632727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x"091B"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5F4BA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A#</w:t>
            </w:r>
          </w:p>
        </w:tc>
      </w:tr>
      <w:tr w:rsidR="0052498F" w:rsidRPr="0052498F" w14:paraId="55B3D7E6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2B1E9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D41C6AB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x"0AD4"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6F8E5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C#1</w:t>
            </w:r>
          </w:p>
        </w:tc>
      </w:tr>
      <w:tr w:rsidR="0052498F" w:rsidRPr="0052498F" w14:paraId="7A356328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E72E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B3B451C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x"0C27"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D735B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D#1</w:t>
            </w:r>
          </w:p>
        </w:tc>
      </w:tr>
      <w:tr w:rsidR="0052498F" w:rsidRPr="0052498F" w14:paraId="424FFB39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29EB04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C29F17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x"1235"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1233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A#1</w:t>
            </w:r>
          </w:p>
        </w:tc>
      </w:tr>
      <w:tr w:rsidR="0052498F" w:rsidRPr="0052498F" w14:paraId="1FC82C61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58D4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FE8BE6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x"1039"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DD02F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G#1</w:t>
            </w:r>
          </w:p>
        </w:tc>
      </w:tr>
      <w:tr w:rsidR="0052498F" w:rsidRPr="0052498F" w14:paraId="374995B8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5B4CDE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2A0D35E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x"0DA4"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D97425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F1</w:t>
            </w:r>
          </w:p>
        </w:tc>
      </w:tr>
      <w:tr w:rsidR="0052498F" w:rsidRPr="0052498F" w14:paraId="32E501BC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018B5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F4C2841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x"0CE0"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7B12BA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E1</w:t>
            </w:r>
          </w:p>
        </w:tc>
      </w:tr>
      <w:tr w:rsidR="0052498F" w:rsidRPr="0052498F" w14:paraId="7D63DD24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6804F2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36889EA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x"1470"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7FC98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C2</w:t>
            </w:r>
          </w:p>
        </w:tc>
      </w:tr>
      <w:tr w:rsidR="0052498F" w:rsidRPr="0052498F" w14:paraId="25CC5BC6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27B3D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D2A885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x"134B"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D0743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B1</w:t>
            </w:r>
          </w:p>
        </w:tc>
      </w:tr>
      <w:tr w:rsidR="0052498F" w:rsidRPr="0052498F" w14:paraId="54FCB0AF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E98AE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E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981AC4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x"0F50"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BC32FC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G1</w:t>
            </w:r>
          </w:p>
        </w:tc>
      </w:tr>
      <w:tr w:rsidR="0052498F" w:rsidRPr="0052498F" w14:paraId="4472C275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12F9D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C06DBBB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x"1130"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288B4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A1</w:t>
            </w:r>
          </w:p>
        </w:tc>
      </w:tr>
    </w:tbl>
    <w:p w14:paraId="52DFE502" w14:textId="77777777" w:rsidR="00B763AC" w:rsidRDefault="00B763A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F81D743" w14:textId="77777777" w:rsidR="00210243" w:rsidRDefault="0021024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A7BEE2" w14:textId="77777777" w:rsidR="00210243" w:rsidRDefault="0021024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3DC4CC6" w14:textId="77777777" w:rsidR="00210243" w:rsidRDefault="0021024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562F999D" w14:textId="77777777" w:rsidR="00210243" w:rsidRDefault="0021024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542A41D9" w14:textId="77777777" w:rsidR="00210243" w:rsidRPr="00EA5CE8" w:rsidRDefault="0021024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1562749" w14:textId="142B8435" w:rsidR="00EA5CE8" w:rsidRPr="00EA5CE8" w:rsidRDefault="005401AD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Simulace komponentů</w:t>
      </w:r>
    </w:p>
    <w:p w14:paraId="312DDC09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 descriptive text and put simulation screenshots of your components.</w:t>
      </w:r>
    </w:p>
    <w:p w14:paraId="475F07CE" w14:textId="4417AB55" w:rsidR="00EA5CE8" w:rsidRPr="00EA5CE8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Instrukční list</w:t>
      </w:r>
    </w:p>
    <w:p w14:paraId="23BB4F11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t>Write an instruction manual for your application, including photos and a link to a short app video.</w:t>
      </w:r>
    </w:p>
    <w:p w14:paraId="63D501DC" w14:textId="06807D25" w:rsidR="00EA5CE8" w:rsidRPr="00EA5CE8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EA5CE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R</w:t>
      </w:r>
      <w:r w:rsidR="00AB7455"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eference</w:t>
      </w:r>
    </w:p>
    <w:p w14:paraId="57E19331" w14:textId="77777777" w:rsidR="00A44750" w:rsidRPr="00C90CDF" w:rsidRDefault="00F9778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14" w:history="1">
        <w:r w:rsidRPr="00C90CDF">
          <w:rPr>
            <w:rStyle w:val="Hypertextovodkaz"/>
            <w:sz w:val="24"/>
            <w:szCs w:val="24"/>
          </w:rPr>
          <w:t>Online VHDL Testbench Template Generator (lapinoo.net)</w:t>
        </w:r>
      </w:hyperlink>
    </w:p>
    <w:p w14:paraId="2E9B54CD" w14:textId="7A02C8E3" w:rsidR="00EA5CE8" w:rsidRPr="00C90CDF" w:rsidRDefault="0057274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Analogová elektronika 2 – doc. Ing Roman Šotner</w:t>
      </w:r>
      <w:r w:rsidR="0060612C"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PhD.</w:t>
      </w:r>
    </w:p>
    <w:p w14:paraId="70B53FA4" w14:textId="45595882" w:rsidR="007E06E7" w:rsidRPr="00C90CDF" w:rsidRDefault="0000000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15" w:history="1">
        <w:r w:rsidR="00616EA8" w:rsidRPr="00C90CDF">
          <w:rPr>
            <w:rStyle w:val="Hypertextovodkaz"/>
            <w:sz w:val="24"/>
            <w:szCs w:val="24"/>
          </w:rPr>
          <w:t>Pulsně šířková modulace (dhservis.cz)</w:t>
        </w:r>
      </w:hyperlink>
    </w:p>
    <w:p w14:paraId="0FA541C1" w14:textId="41B5F3D8" w:rsidR="007F04F8" w:rsidRPr="00C90CDF" w:rsidRDefault="0000000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16" w:history="1">
        <w:r w:rsidR="007F04F8" w:rsidRPr="00C90CDF">
          <w:rPr>
            <w:rStyle w:val="Hypertextovodkaz"/>
            <w:sz w:val="24"/>
            <w:szCs w:val="24"/>
          </w:rPr>
          <w:t>František Fuka: Hudba z geekovsko-matematického hlediska - DevFest Praha 2012 (youtube.com)</w:t>
        </w:r>
      </w:hyperlink>
    </w:p>
    <w:p w14:paraId="7C5888BA" w14:textId="646CC965" w:rsidR="00421135" w:rsidRPr="00C90CDF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Do you hear a people sing? – </w:t>
      </w:r>
      <w:r w:rsidR="004F25ED"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Claude-Michel Schönberg</w:t>
      </w:r>
    </w:p>
    <w:p w14:paraId="15DF6F7A" w14:textId="52B373D8" w:rsidR="00421135" w:rsidRPr="00C90CDF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Für Elise – Ludwig van Beethoven</w:t>
      </w:r>
    </w:p>
    <w:p w14:paraId="496FF411" w14:textId="596BA4AB" w:rsidR="00057E62" w:rsidRPr="00C90CDF" w:rsidRDefault="00057E62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Entertainer – Scott Joplin</w:t>
      </w:r>
    </w:p>
    <w:p w14:paraId="7BF623E0" w14:textId="3E50B087" w:rsidR="004D32B7" w:rsidRPr="00C90CDF" w:rsidRDefault="004D32B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17" w:history="1">
        <w:r w:rsidRPr="00C90CDF">
          <w:rPr>
            <w:rStyle w:val="Hypertextovodkaz"/>
            <w:sz w:val="24"/>
            <w:szCs w:val="24"/>
          </w:rPr>
          <w:t>Microsoft PowerPoint - aud_prednaska_1 [režim kompatibility] (vut.cz)</w:t>
        </w:r>
      </w:hyperlink>
    </w:p>
    <w:p w14:paraId="6786F406" w14:textId="77777777" w:rsidR="00EA5CE8" w:rsidRPr="005D0F3F" w:rsidRDefault="00EA5CE8">
      <w:pPr>
        <w:rPr>
          <w:lang w:val="cs-CZ"/>
        </w:rPr>
      </w:pPr>
    </w:p>
    <w:sectPr w:rsidR="00EA5CE8" w:rsidRPr="005D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2"/>
  </w:num>
  <w:num w:numId="2" w16cid:durableId="1879271328">
    <w:abstractNumId w:val="3"/>
  </w:num>
  <w:num w:numId="3" w16cid:durableId="1377773755">
    <w:abstractNumId w:val="1"/>
  </w:num>
  <w:num w:numId="4" w16cid:durableId="14262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410D"/>
    <w:rsid w:val="000154EA"/>
    <w:rsid w:val="0004477E"/>
    <w:rsid w:val="00046E90"/>
    <w:rsid w:val="00056FB4"/>
    <w:rsid w:val="00057E62"/>
    <w:rsid w:val="000A1482"/>
    <w:rsid w:val="000B26ED"/>
    <w:rsid w:val="000E323B"/>
    <w:rsid w:val="000F4F29"/>
    <w:rsid w:val="00101D3B"/>
    <w:rsid w:val="00111BB1"/>
    <w:rsid w:val="00120A8E"/>
    <w:rsid w:val="00124868"/>
    <w:rsid w:val="001510F0"/>
    <w:rsid w:val="00160472"/>
    <w:rsid w:val="001712E3"/>
    <w:rsid w:val="00176886"/>
    <w:rsid w:val="001807F8"/>
    <w:rsid w:val="00181DCE"/>
    <w:rsid w:val="001829D9"/>
    <w:rsid w:val="00182C38"/>
    <w:rsid w:val="001C7E23"/>
    <w:rsid w:val="001D5229"/>
    <w:rsid w:val="001E08E0"/>
    <w:rsid w:val="001F6769"/>
    <w:rsid w:val="0020013F"/>
    <w:rsid w:val="00204633"/>
    <w:rsid w:val="0020465E"/>
    <w:rsid w:val="00210243"/>
    <w:rsid w:val="002131B7"/>
    <w:rsid w:val="002375BB"/>
    <w:rsid w:val="00243B3B"/>
    <w:rsid w:val="00245060"/>
    <w:rsid w:val="0025486C"/>
    <w:rsid w:val="00257E81"/>
    <w:rsid w:val="00260C7A"/>
    <w:rsid w:val="00274AD9"/>
    <w:rsid w:val="00294F21"/>
    <w:rsid w:val="002B5C54"/>
    <w:rsid w:val="002B7E9A"/>
    <w:rsid w:val="002F404C"/>
    <w:rsid w:val="00324CE9"/>
    <w:rsid w:val="003362C7"/>
    <w:rsid w:val="00343558"/>
    <w:rsid w:val="00372C87"/>
    <w:rsid w:val="003821CB"/>
    <w:rsid w:val="0038376C"/>
    <w:rsid w:val="003858F4"/>
    <w:rsid w:val="00393810"/>
    <w:rsid w:val="003A78AA"/>
    <w:rsid w:val="003C6E83"/>
    <w:rsid w:val="003D1FF1"/>
    <w:rsid w:val="0040518C"/>
    <w:rsid w:val="004100A6"/>
    <w:rsid w:val="00421135"/>
    <w:rsid w:val="004322CC"/>
    <w:rsid w:val="0044006F"/>
    <w:rsid w:val="00440097"/>
    <w:rsid w:val="00441855"/>
    <w:rsid w:val="004652B0"/>
    <w:rsid w:val="00465313"/>
    <w:rsid w:val="00466125"/>
    <w:rsid w:val="00470385"/>
    <w:rsid w:val="004714A0"/>
    <w:rsid w:val="004733E2"/>
    <w:rsid w:val="004767F6"/>
    <w:rsid w:val="00482C0F"/>
    <w:rsid w:val="00490294"/>
    <w:rsid w:val="004A752C"/>
    <w:rsid w:val="004B0024"/>
    <w:rsid w:val="004D32B7"/>
    <w:rsid w:val="004E09BB"/>
    <w:rsid w:val="004E15F1"/>
    <w:rsid w:val="004E60A3"/>
    <w:rsid w:val="004E6B9E"/>
    <w:rsid w:val="004F25ED"/>
    <w:rsid w:val="004F2CF2"/>
    <w:rsid w:val="00502AEF"/>
    <w:rsid w:val="00510761"/>
    <w:rsid w:val="00524540"/>
    <w:rsid w:val="0052498F"/>
    <w:rsid w:val="005376A4"/>
    <w:rsid w:val="005401AD"/>
    <w:rsid w:val="005616F7"/>
    <w:rsid w:val="005674BD"/>
    <w:rsid w:val="0057274B"/>
    <w:rsid w:val="005804E3"/>
    <w:rsid w:val="0059512C"/>
    <w:rsid w:val="00595D77"/>
    <w:rsid w:val="005A3F26"/>
    <w:rsid w:val="005B12D4"/>
    <w:rsid w:val="005B343D"/>
    <w:rsid w:val="005B5515"/>
    <w:rsid w:val="005C454A"/>
    <w:rsid w:val="005C6D16"/>
    <w:rsid w:val="005D0D32"/>
    <w:rsid w:val="005D0F3F"/>
    <w:rsid w:val="005E22BF"/>
    <w:rsid w:val="0060612C"/>
    <w:rsid w:val="006076D2"/>
    <w:rsid w:val="00616EA8"/>
    <w:rsid w:val="0062025F"/>
    <w:rsid w:val="00641744"/>
    <w:rsid w:val="00681AC0"/>
    <w:rsid w:val="00682A4A"/>
    <w:rsid w:val="006946AA"/>
    <w:rsid w:val="006C2F11"/>
    <w:rsid w:val="006C6709"/>
    <w:rsid w:val="006E2697"/>
    <w:rsid w:val="006F41EE"/>
    <w:rsid w:val="0073614B"/>
    <w:rsid w:val="0075576C"/>
    <w:rsid w:val="007663D3"/>
    <w:rsid w:val="00774AEB"/>
    <w:rsid w:val="00794B56"/>
    <w:rsid w:val="007B3402"/>
    <w:rsid w:val="007C2EE0"/>
    <w:rsid w:val="007D3AE8"/>
    <w:rsid w:val="007E06E7"/>
    <w:rsid w:val="007E1AB1"/>
    <w:rsid w:val="007F04F8"/>
    <w:rsid w:val="007F7503"/>
    <w:rsid w:val="0080287B"/>
    <w:rsid w:val="008112E3"/>
    <w:rsid w:val="008336E7"/>
    <w:rsid w:val="008446BD"/>
    <w:rsid w:val="00854726"/>
    <w:rsid w:val="008551FB"/>
    <w:rsid w:val="00874E33"/>
    <w:rsid w:val="008B3041"/>
    <w:rsid w:val="008B7D1B"/>
    <w:rsid w:val="008E2895"/>
    <w:rsid w:val="008F6F89"/>
    <w:rsid w:val="008F7CA7"/>
    <w:rsid w:val="00904634"/>
    <w:rsid w:val="00911B22"/>
    <w:rsid w:val="0091732C"/>
    <w:rsid w:val="009645F6"/>
    <w:rsid w:val="009729A3"/>
    <w:rsid w:val="009747AE"/>
    <w:rsid w:val="00975765"/>
    <w:rsid w:val="009976EE"/>
    <w:rsid w:val="009A6856"/>
    <w:rsid w:val="009B07A2"/>
    <w:rsid w:val="009B19D9"/>
    <w:rsid w:val="009B7AD7"/>
    <w:rsid w:val="009C3BD4"/>
    <w:rsid w:val="009E2688"/>
    <w:rsid w:val="009E6882"/>
    <w:rsid w:val="009E78DF"/>
    <w:rsid w:val="009F1D52"/>
    <w:rsid w:val="009F2817"/>
    <w:rsid w:val="00A028FE"/>
    <w:rsid w:val="00A04BE5"/>
    <w:rsid w:val="00A10237"/>
    <w:rsid w:val="00A30D7B"/>
    <w:rsid w:val="00A317D3"/>
    <w:rsid w:val="00A44750"/>
    <w:rsid w:val="00A45BE7"/>
    <w:rsid w:val="00A67C90"/>
    <w:rsid w:val="00A86A2E"/>
    <w:rsid w:val="00AA43EF"/>
    <w:rsid w:val="00AB7455"/>
    <w:rsid w:val="00AC19E9"/>
    <w:rsid w:val="00AF5EF4"/>
    <w:rsid w:val="00B03CFE"/>
    <w:rsid w:val="00B13D34"/>
    <w:rsid w:val="00B275B1"/>
    <w:rsid w:val="00B301A3"/>
    <w:rsid w:val="00B61ED0"/>
    <w:rsid w:val="00B62B50"/>
    <w:rsid w:val="00B6340E"/>
    <w:rsid w:val="00B742E7"/>
    <w:rsid w:val="00B763AC"/>
    <w:rsid w:val="00B820EA"/>
    <w:rsid w:val="00B92C95"/>
    <w:rsid w:val="00BB4BC9"/>
    <w:rsid w:val="00BB4BCA"/>
    <w:rsid w:val="00BD49B8"/>
    <w:rsid w:val="00BE1A51"/>
    <w:rsid w:val="00BE4F88"/>
    <w:rsid w:val="00BF2530"/>
    <w:rsid w:val="00C31358"/>
    <w:rsid w:val="00C31FE3"/>
    <w:rsid w:val="00C50326"/>
    <w:rsid w:val="00C526FE"/>
    <w:rsid w:val="00C569D8"/>
    <w:rsid w:val="00C61430"/>
    <w:rsid w:val="00C90CDF"/>
    <w:rsid w:val="00C90F52"/>
    <w:rsid w:val="00C91932"/>
    <w:rsid w:val="00C92C70"/>
    <w:rsid w:val="00CD1643"/>
    <w:rsid w:val="00CD493E"/>
    <w:rsid w:val="00CE5039"/>
    <w:rsid w:val="00CF144E"/>
    <w:rsid w:val="00CF72FC"/>
    <w:rsid w:val="00D0500C"/>
    <w:rsid w:val="00D058F8"/>
    <w:rsid w:val="00D10547"/>
    <w:rsid w:val="00D47B6C"/>
    <w:rsid w:val="00D47B9A"/>
    <w:rsid w:val="00D66859"/>
    <w:rsid w:val="00DA2E1C"/>
    <w:rsid w:val="00DD7386"/>
    <w:rsid w:val="00E00C70"/>
    <w:rsid w:val="00E0166E"/>
    <w:rsid w:val="00E12C05"/>
    <w:rsid w:val="00E16F35"/>
    <w:rsid w:val="00E271C8"/>
    <w:rsid w:val="00E3160B"/>
    <w:rsid w:val="00E507F3"/>
    <w:rsid w:val="00E94537"/>
    <w:rsid w:val="00EA14E6"/>
    <w:rsid w:val="00EA240F"/>
    <w:rsid w:val="00EA5CE8"/>
    <w:rsid w:val="00EC1454"/>
    <w:rsid w:val="00ED5F89"/>
    <w:rsid w:val="00EF461A"/>
    <w:rsid w:val="00F0016E"/>
    <w:rsid w:val="00F34551"/>
    <w:rsid w:val="00F40016"/>
    <w:rsid w:val="00F41B91"/>
    <w:rsid w:val="00F83C56"/>
    <w:rsid w:val="00F97787"/>
    <w:rsid w:val="00FA31FE"/>
    <w:rsid w:val="00FA63B1"/>
    <w:rsid w:val="00FA6FAA"/>
    <w:rsid w:val="00FB3DF5"/>
    <w:rsid w:val="00FB424F"/>
    <w:rsid w:val="00FC1293"/>
    <w:rsid w:val="00FE48A2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ojtaKudela/BPC-DE1-topic_4/blob/main/Complete/sound_generator.vhd" TargetMode="External"/><Relationship Id="rId13" Type="http://schemas.openxmlformats.org/officeDocument/2006/relationships/hyperlink" Target="https://github.com/VojtaKudela/BPC-DE1-topic_4/blob/main/Complete/PWM_mod.vh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ojtaKudela/BPC-DE1-topic_4/blob/main/Complete/clock_enable.vhd" TargetMode="External"/><Relationship Id="rId17" Type="http://schemas.openxmlformats.org/officeDocument/2006/relationships/hyperlink" Target="https://moodle.vut.cz/pluginfile.php/827361/mod_resource/content/3/aud_prednaska_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QuRFCE5Nz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ojtaKudela/BPC-DE1-topic_4/blob/main/Complete/display_and_gen.vhd" TargetMode="External"/><Relationship Id="rId11" Type="http://schemas.openxmlformats.org/officeDocument/2006/relationships/hyperlink" Target="https://github.com/VojtaKudela/BPC-DE1-topic_4/blob/main/Complete/boot_to_freq.vh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dhservis.cz/psm.htm" TargetMode="External"/><Relationship Id="rId10" Type="http://schemas.openxmlformats.org/officeDocument/2006/relationships/hyperlink" Target="https://github.com/VojtaKudela/BPC-DE1-topic_4/blob/main/Complete/mux3bit.vh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hdl.lapinoo.net/test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1137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Antonin Putala</cp:lastModifiedBy>
  <cp:revision>269</cp:revision>
  <dcterms:created xsi:type="dcterms:W3CDTF">2024-04-18T13:45:00Z</dcterms:created>
  <dcterms:modified xsi:type="dcterms:W3CDTF">2024-04-18T22:01:00Z</dcterms:modified>
</cp:coreProperties>
</file>