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4A168" w14:textId="77777777" w:rsidR="00D91FAA" w:rsidRPr="00D91FAA" w:rsidRDefault="00D91FAA" w:rsidP="00061B71">
      <w:pPr>
        <w:spacing w:line="240" w:lineRule="auto"/>
        <w:ind w:right="-360"/>
        <w:jc w:val="center"/>
        <w:rPr>
          <w:rFonts w:ascii="Calibri" w:hAnsi="Calibri" w:cs="Calibri"/>
          <w:b/>
          <w:bCs/>
          <w:sz w:val="24"/>
          <w:szCs w:val="24"/>
        </w:rPr>
      </w:pPr>
      <w:r w:rsidRPr="00D91FAA">
        <w:rPr>
          <w:rFonts w:ascii="Calibri" w:hAnsi="Calibri" w:cs="Calibri"/>
          <w:b/>
          <w:bCs/>
          <w:sz w:val="24"/>
          <w:szCs w:val="24"/>
        </w:rPr>
        <w:t>Executive Summary: COVID-19 Severity Index Clustering Analysis</w:t>
      </w:r>
    </w:p>
    <w:p w14:paraId="4881F59C" w14:textId="08F61E0B" w:rsidR="00D91FAA" w:rsidRPr="00D91FAA" w:rsidRDefault="00D91FAA" w:rsidP="00061B71">
      <w:pPr>
        <w:spacing w:line="240" w:lineRule="auto"/>
        <w:rPr>
          <w:rFonts w:ascii="Calibri" w:hAnsi="Calibri" w:cs="Calibri"/>
          <w:b/>
          <w:bCs/>
          <w:sz w:val="20"/>
          <w:szCs w:val="20"/>
        </w:rPr>
      </w:pPr>
      <w:r w:rsidRPr="00D91FAA">
        <w:rPr>
          <w:rFonts w:ascii="Calibri" w:hAnsi="Calibri" w:cs="Calibri"/>
          <w:b/>
          <w:bCs/>
          <w:sz w:val="20"/>
          <w:szCs w:val="20"/>
        </w:rPr>
        <w:t>Purpose of the Application</w:t>
      </w:r>
      <w:r>
        <w:rPr>
          <w:rFonts w:ascii="Calibri" w:hAnsi="Calibri" w:cs="Calibri"/>
          <w:b/>
          <w:bCs/>
          <w:sz w:val="20"/>
          <w:szCs w:val="20"/>
        </w:rPr>
        <w:t xml:space="preserve"> </w:t>
      </w:r>
      <w:r w:rsidR="0006568F">
        <w:rPr>
          <w:rFonts w:ascii="Calibri" w:hAnsi="Calibri" w:cs="Calibri"/>
          <w:b/>
          <w:bCs/>
          <w:sz w:val="20"/>
          <w:szCs w:val="20"/>
        </w:rPr>
        <w:t>–</w:t>
      </w:r>
      <w:r>
        <w:rPr>
          <w:rFonts w:ascii="Calibri" w:hAnsi="Calibri" w:cs="Calibri"/>
          <w:b/>
          <w:bCs/>
          <w:sz w:val="20"/>
          <w:szCs w:val="20"/>
        </w:rPr>
        <w:t xml:space="preserve"> </w:t>
      </w:r>
      <w:r w:rsidR="0006568F">
        <w:rPr>
          <w:rFonts w:ascii="Calibri" w:hAnsi="Calibri" w:cs="Calibri"/>
          <w:sz w:val="20"/>
          <w:szCs w:val="20"/>
        </w:rPr>
        <w:t>This analysis aims</w:t>
      </w:r>
      <w:r w:rsidRPr="00D91FAA">
        <w:rPr>
          <w:rFonts w:ascii="Calibri" w:hAnsi="Calibri" w:cs="Calibri"/>
          <w:sz w:val="20"/>
          <w:szCs w:val="20"/>
        </w:rPr>
        <w:t xml:space="preserve"> to apply machine learning techniques to understand and categorize hospitals based on COVID-19 severity</w:t>
      </w:r>
      <w:r w:rsidR="0006568F">
        <w:rPr>
          <w:rFonts w:ascii="Calibri" w:hAnsi="Calibri" w:cs="Calibri"/>
          <w:sz w:val="20"/>
          <w:szCs w:val="20"/>
        </w:rPr>
        <w:t xml:space="preserve"> data</w:t>
      </w:r>
      <w:r w:rsidRPr="00D91FAA">
        <w:rPr>
          <w:rFonts w:ascii="Calibri" w:hAnsi="Calibri" w:cs="Calibri"/>
          <w:sz w:val="20"/>
          <w:szCs w:val="20"/>
        </w:rPr>
        <w:t xml:space="preserve">. Using </w:t>
      </w:r>
      <w:r w:rsidRPr="00D91FAA">
        <w:rPr>
          <w:rFonts w:ascii="Calibri" w:hAnsi="Calibri" w:cs="Calibri"/>
          <w:b/>
          <w:bCs/>
          <w:sz w:val="20"/>
          <w:szCs w:val="20"/>
        </w:rPr>
        <w:t>K-Means clustering</w:t>
      </w:r>
      <w:r w:rsidRPr="00D91FAA">
        <w:rPr>
          <w:rFonts w:ascii="Calibri" w:hAnsi="Calibri" w:cs="Calibri"/>
          <w:sz w:val="20"/>
          <w:szCs w:val="20"/>
        </w:rPr>
        <w:t>, th</w:t>
      </w:r>
      <w:r w:rsidR="00C55BD3">
        <w:rPr>
          <w:rFonts w:ascii="Calibri" w:hAnsi="Calibri" w:cs="Calibri"/>
          <w:sz w:val="20"/>
          <w:szCs w:val="20"/>
        </w:rPr>
        <w:t>e</w:t>
      </w:r>
      <w:r w:rsidRPr="00D91FAA">
        <w:rPr>
          <w:rFonts w:ascii="Calibri" w:hAnsi="Calibri" w:cs="Calibri"/>
          <w:sz w:val="20"/>
          <w:szCs w:val="20"/>
        </w:rPr>
        <w:t xml:space="preserve"> application groups hospitals into distinct clusters according to the severity of COVID-19 cases observed over </w:t>
      </w:r>
      <w:r w:rsidR="00C55BD3">
        <w:rPr>
          <w:rFonts w:ascii="Calibri" w:hAnsi="Calibri" w:cs="Calibri"/>
          <w:sz w:val="20"/>
          <w:szCs w:val="20"/>
        </w:rPr>
        <w:t>7</w:t>
      </w:r>
      <w:r w:rsidRPr="00D91FAA">
        <w:rPr>
          <w:rFonts w:ascii="Calibri" w:hAnsi="Calibri" w:cs="Calibri"/>
          <w:sz w:val="20"/>
          <w:szCs w:val="20"/>
        </w:rPr>
        <w:t xml:space="preserve"> days</w:t>
      </w:r>
      <w:r w:rsidR="00C55BD3">
        <w:rPr>
          <w:rFonts w:ascii="Calibri" w:hAnsi="Calibri" w:cs="Calibri"/>
          <w:sz w:val="20"/>
          <w:szCs w:val="20"/>
        </w:rPr>
        <w:t xml:space="preserve"> to </w:t>
      </w:r>
      <w:r w:rsidR="0006568F">
        <w:rPr>
          <w:rFonts w:ascii="Calibri" w:hAnsi="Calibri" w:cs="Calibri"/>
          <w:sz w:val="20"/>
          <w:szCs w:val="20"/>
        </w:rPr>
        <w:t>uncover patterns that can inform decision-making, resource allocation, and healthcare response strategies.</w:t>
      </w:r>
    </w:p>
    <w:p w14:paraId="7C22F5E0" w14:textId="3579F55C" w:rsidR="00D91FAA" w:rsidRPr="00D91FAA" w:rsidRDefault="00D91FAA" w:rsidP="00061B71">
      <w:pPr>
        <w:spacing w:line="240" w:lineRule="auto"/>
        <w:rPr>
          <w:rFonts w:ascii="Calibri" w:hAnsi="Calibri" w:cs="Calibri"/>
          <w:b/>
          <w:bCs/>
          <w:sz w:val="20"/>
          <w:szCs w:val="20"/>
        </w:rPr>
      </w:pPr>
      <w:r w:rsidRPr="00D91FAA">
        <w:rPr>
          <w:rFonts w:ascii="Calibri" w:hAnsi="Calibri" w:cs="Calibri"/>
          <w:b/>
          <w:bCs/>
          <w:sz w:val="20"/>
          <w:szCs w:val="20"/>
        </w:rPr>
        <w:t>Data</w:t>
      </w:r>
      <w:r w:rsidR="007F7A33">
        <w:rPr>
          <w:rFonts w:ascii="Calibri" w:hAnsi="Calibri" w:cs="Calibri"/>
          <w:b/>
          <w:bCs/>
          <w:sz w:val="20"/>
          <w:szCs w:val="20"/>
        </w:rPr>
        <w:t>s</w:t>
      </w:r>
      <w:r w:rsidRPr="00D91FAA">
        <w:rPr>
          <w:rFonts w:ascii="Calibri" w:hAnsi="Calibri" w:cs="Calibri"/>
          <w:b/>
          <w:bCs/>
          <w:sz w:val="20"/>
          <w:szCs w:val="20"/>
        </w:rPr>
        <w:t>et Overview</w:t>
      </w:r>
      <w:r>
        <w:rPr>
          <w:rFonts w:ascii="Calibri" w:hAnsi="Calibri" w:cs="Calibri"/>
          <w:b/>
          <w:bCs/>
          <w:sz w:val="20"/>
          <w:szCs w:val="20"/>
        </w:rPr>
        <w:t xml:space="preserve"> - </w:t>
      </w:r>
      <w:r w:rsidRPr="00D91FAA">
        <w:rPr>
          <w:rFonts w:ascii="Calibri" w:hAnsi="Calibri" w:cs="Calibri"/>
          <w:sz w:val="20"/>
          <w:szCs w:val="20"/>
        </w:rPr>
        <w:t xml:space="preserve">The dataset used for this analysis is the </w:t>
      </w:r>
      <w:r w:rsidRPr="00D91FAA">
        <w:rPr>
          <w:rFonts w:ascii="Calibri" w:hAnsi="Calibri" w:cs="Calibri"/>
          <w:b/>
          <w:bCs/>
          <w:sz w:val="20"/>
          <w:szCs w:val="20"/>
        </w:rPr>
        <w:t>COVID-19 Severity Index</w:t>
      </w:r>
      <w:r>
        <w:rPr>
          <w:rFonts w:ascii="Calibri" w:hAnsi="Calibri" w:cs="Calibri"/>
          <w:b/>
          <w:bCs/>
          <w:sz w:val="20"/>
          <w:szCs w:val="20"/>
        </w:rPr>
        <w:t xml:space="preserve"> </w:t>
      </w:r>
      <w:r>
        <w:rPr>
          <w:rFonts w:ascii="Calibri" w:hAnsi="Calibri" w:cs="Calibri"/>
          <w:sz w:val="20"/>
          <w:szCs w:val="20"/>
        </w:rPr>
        <w:t xml:space="preserve">from the </w:t>
      </w:r>
      <w:r w:rsidRPr="00D91FAA">
        <w:rPr>
          <w:rFonts w:ascii="Calibri" w:hAnsi="Calibri" w:cs="Calibri"/>
          <w:sz w:val="20"/>
          <w:szCs w:val="20"/>
        </w:rPr>
        <w:t>Registry of Open Data on AWS</w:t>
      </w:r>
      <w:r w:rsidR="00A2717D">
        <w:rPr>
          <w:rFonts w:ascii="Calibri" w:hAnsi="Calibri" w:cs="Calibri"/>
          <w:sz w:val="20"/>
          <w:szCs w:val="20"/>
        </w:rPr>
        <w:t xml:space="preserve">. </w:t>
      </w:r>
      <w:r w:rsidRPr="00D91FAA">
        <w:rPr>
          <w:rFonts w:ascii="Calibri" w:hAnsi="Calibri" w:cs="Calibri"/>
          <w:sz w:val="20"/>
          <w:szCs w:val="20"/>
        </w:rPr>
        <w:t>Key columns include</w:t>
      </w:r>
      <w:r>
        <w:rPr>
          <w:rFonts w:ascii="Calibri" w:hAnsi="Calibri" w:cs="Calibri"/>
          <w:b/>
          <w:bCs/>
          <w:sz w:val="20"/>
          <w:szCs w:val="20"/>
        </w:rPr>
        <w:t xml:space="preserve"> </w:t>
      </w:r>
      <w:r w:rsidRPr="00D91FAA">
        <w:rPr>
          <w:rFonts w:ascii="Calibri" w:hAnsi="Calibri" w:cs="Calibri"/>
          <w:i/>
          <w:iCs/>
          <w:sz w:val="20"/>
          <w:szCs w:val="20"/>
        </w:rPr>
        <w:t>Severity Scores</w:t>
      </w:r>
      <w:r w:rsidRPr="00D91FAA">
        <w:rPr>
          <w:rFonts w:ascii="Calibri" w:hAnsi="Calibri" w:cs="Calibri"/>
          <w:sz w:val="20"/>
          <w:szCs w:val="20"/>
        </w:rPr>
        <w:t xml:space="preserve">: </w:t>
      </w:r>
      <w:r>
        <w:rPr>
          <w:rFonts w:ascii="Calibri" w:hAnsi="Calibri" w:cs="Calibri"/>
          <w:sz w:val="20"/>
          <w:szCs w:val="20"/>
        </w:rPr>
        <w:t>7</w:t>
      </w:r>
      <w:r w:rsidRPr="00D91FAA">
        <w:rPr>
          <w:rFonts w:ascii="Calibri" w:hAnsi="Calibri" w:cs="Calibri"/>
          <w:sz w:val="20"/>
          <w:szCs w:val="20"/>
        </w:rPr>
        <w:t xml:space="preserve"> columns, each representing the severity of COVID-19 cases for each hospital over </w:t>
      </w:r>
      <w:r>
        <w:rPr>
          <w:rFonts w:ascii="Calibri" w:hAnsi="Calibri" w:cs="Calibri"/>
          <w:sz w:val="20"/>
          <w:szCs w:val="20"/>
        </w:rPr>
        <w:t>7 days</w:t>
      </w:r>
      <w:r w:rsidRPr="00D91FAA">
        <w:rPr>
          <w:rFonts w:ascii="Calibri" w:hAnsi="Calibri" w:cs="Calibri"/>
          <w:sz w:val="20"/>
          <w:szCs w:val="20"/>
        </w:rPr>
        <w:t xml:space="preserve"> (from severity_1-day to severity_7-day).</w:t>
      </w:r>
      <w:r>
        <w:rPr>
          <w:rFonts w:ascii="Calibri" w:hAnsi="Calibri" w:cs="Calibri"/>
          <w:b/>
          <w:bCs/>
          <w:sz w:val="20"/>
          <w:szCs w:val="20"/>
        </w:rPr>
        <w:t xml:space="preserve"> </w:t>
      </w:r>
      <w:r>
        <w:rPr>
          <w:rFonts w:ascii="Calibri" w:hAnsi="Calibri" w:cs="Calibri"/>
          <w:sz w:val="20"/>
          <w:szCs w:val="20"/>
        </w:rPr>
        <w:t xml:space="preserve">Also, </w:t>
      </w:r>
      <w:r w:rsidRPr="00D91FAA">
        <w:rPr>
          <w:rFonts w:ascii="Calibri" w:hAnsi="Calibri" w:cs="Calibri"/>
          <w:i/>
          <w:iCs/>
          <w:sz w:val="20"/>
          <w:szCs w:val="20"/>
        </w:rPr>
        <w:t>Hospital Data</w:t>
      </w:r>
      <w:r w:rsidRPr="00D91FAA">
        <w:rPr>
          <w:rFonts w:ascii="Calibri" w:hAnsi="Calibri" w:cs="Calibri"/>
          <w:sz w:val="20"/>
          <w:szCs w:val="20"/>
        </w:rPr>
        <w:t>: Includes hospital-specific information such as total_deaths_hospital, hospital_name, countyname, statename, and geographical coordinates (latitude, longitude).</w:t>
      </w:r>
      <w:r>
        <w:rPr>
          <w:rFonts w:ascii="Calibri" w:hAnsi="Calibri" w:cs="Calibri"/>
          <w:b/>
          <w:bCs/>
          <w:sz w:val="20"/>
          <w:szCs w:val="20"/>
        </w:rPr>
        <w:t xml:space="preserve"> </w:t>
      </w:r>
    </w:p>
    <w:p w14:paraId="643F9978" w14:textId="77777777" w:rsidR="00D91FAA" w:rsidRPr="00D91FAA" w:rsidRDefault="00D91FAA" w:rsidP="00061B71">
      <w:pPr>
        <w:spacing w:line="240" w:lineRule="auto"/>
        <w:rPr>
          <w:rFonts w:ascii="Calibri" w:hAnsi="Calibri" w:cs="Calibri"/>
          <w:b/>
          <w:bCs/>
          <w:sz w:val="20"/>
          <w:szCs w:val="20"/>
        </w:rPr>
      </w:pPr>
      <w:r w:rsidRPr="00D91FAA">
        <w:rPr>
          <w:rFonts w:ascii="Calibri" w:hAnsi="Calibri" w:cs="Calibri"/>
          <w:b/>
          <w:bCs/>
          <w:sz w:val="20"/>
          <w:szCs w:val="20"/>
        </w:rPr>
        <w:t>Methodology</w:t>
      </w:r>
    </w:p>
    <w:p w14:paraId="78610E8F" w14:textId="32A177AA" w:rsidR="00D91FAA" w:rsidRPr="00D91FAA" w:rsidRDefault="00D91FAA" w:rsidP="00993A39">
      <w:pPr>
        <w:numPr>
          <w:ilvl w:val="0"/>
          <w:numId w:val="15"/>
        </w:numPr>
        <w:spacing w:line="240" w:lineRule="auto"/>
        <w:ind w:left="270" w:hanging="270"/>
        <w:rPr>
          <w:rFonts w:ascii="Calibri" w:hAnsi="Calibri" w:cs="Calibri"/>
          <w:sz w:val="20"/>
          <w:szCs w:val="20"/>
        </w:rPr>
      </w:pPr>
      <w:r w:rsidRPr="00D91FAA">
        <w:rPr>
          <w:rFonts w:ascii="Calibri" w:hAnsi="Calibri" w:cs="Calibri"/>
          <w:b/>
          <w:bCs/>
          <w:sz w:val="20"/>
          <w:szCs w:val="20"/>
        </w:rPr>
        <w:t>Data Preprocessing</w:t>
      </w:r>
      <w:r w:rsidRPr="00D91FAA">
        <w:rPr>
          <w:rFonts w:ascii="Calibri" w:hAnsi="Calibri" w:cs="Calibri"/>
          <w:sz w:val="20"/>
          <w:szCs w:val="20"/>
        </w:rPr>
        <w:t>:</w:t>
      </w:r>
      <w:r>
        <w:rPr>
          <w:rFonts w:ascii="Calibri" w:hAnsi="Calibri" w:cs="Calibri"/>
          <w:sz w:val="20"/>
          <w:szCs w:val="20"/>
        </w:rPr>
        <w:t xml:space="preserve"> T</w:t>
      </w:r>
      <w:r w:rsidRPr="00D91FAA">
        <w:rPr>
          <w:rFonts w:ascii="Calibri" w:hAnsi="Calibri" w:cs="Calibri"/>
          <w:sz w:val="20"/>
          <w:szCs w:val="20"/>
        </w:rPr>
        <w:t xml:space="preserve">he severity scores over the 7 days </w:t>
      </w:r>
      <w:r>
        <w:rPr>
          <w:rFonts w:ascii="Calibri" w:hAnsi="Calibri" w:cs="Calibri"/>
          <w:sz w:val="20"/>
          <w:szCs w:val="20"/>
        </w:rPr>
        <w:t>were selected as</w:t>
      </w:r>
      <w:r w:rsidRPr="00D91FAA">
        <w:rPr>
          <w:rFonts w:ascii="Calibri" w:hAnsi="Calibri" w:cs="Calibri"/>
          <w:sz w:val="20"/>
          <w:szCs w:val="20"/>
        </w:rPr>
        <w:t xml:space="preserve"> key features for clustering.</w:t>
      </w:r>
      <w:r>
        <w:rPr>
          <w:rFonts w:ascii="Calibri" w:hAnsi="Calibri" w:cs="Calibri"/>
          <w:sz w:val="20"/>
          <w:szCs w:val="20"/>
        </w:rPr>
        <w:t xml:space="preserve"> </w:t>
      </w:r>
      <w:r w:rsidRPr="00D91FAA">
        <w:rPr>
          <w:rFonts w:ascii="Calibri" w:hAnsi="Calibri" w:cs="Calibri"/>
          <w:sz w:val="20"/>
          <w:szCs w:val="20"/>
        </w:rPr>
        <w:t>Missing data was imputed with the average value for each column to ensure a clean dataset.</w:t>
      </w:r>
      <w:r w:rsidR="00C51E53">
        <w:rPr>
          <w:rFonts w:ascii="Calibri" w:hAnsi="Calibri" w:cs="Calibri"/>
          <w:sz w:val="20"/>
          <w:szCs w:val="20"/>
        </w:rPr>
        <w:t xml:space="preserve"> Also, t</w:t>
      </w:r>
      <w:r w:rsidRPr="00D91FAA">
        <w:rPr>
          <w:rFonts w:ascii="Calibri" w:hAnsi="Calibri" w:cs="Calibri"/>
          <w:sz w:val="20"/>
          <w:szCs w:val="20"/>
        </w:rPr>
        <w:t xml:space="preserve">he severity scores were standardized using </w:t>
      </w:r>
      <w:r w:rsidRPr="00D91FAA">
        <w:rPr>
          <w:rFonts w:ascii="Calibri" w:hAnsi="Calibri" w:cs="Calibri"/>
          <w:b/>
          <w:bCs/>
          <w:sz w:val="20"/>
          <w:szCs w:val="20"/>
        </w:rPr>
        <w:t>StandardScaler</w:t>
      </w:r>
      <w:r w:rsidRPr="00D91FAA">
        <w:rPr>
          <w:rFonts w:ascii="Calibri" w:hAnsi="Calibri" w:cs="Calibri"/>
          <w:sz w:val="20"/>
          <w:szCs w:val="20"/>
        </w:rPr>
        <w:t xml:space="preserve"> to ensure all features had equal importance during the clustering process.</w:t>
      </w:r>
    </w:p>
    <w:p w14:paraId="315E5350" w14:textId="1786DE1B" w:rsidR="00D91FAA" w:rsidRPr="00D91FAA" w:rsidRDefault="00D91FAA" w:rsidP="00993A39">
      <w:pPr>
        <w:numPr>
          <w:ilvl w:val="0"/>
          <w:numId w:val="15"/>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Clustering with K-Means</w:t>
      </w:r>
      <w:r w:rsidRPr="00D91FAA">
        <w:rPr>
          <w:rFonts w:ascii="Calibri" w:hAnsi="Calibri" w:cs="Calibri"/>
          <w:sz w:val="20"/>
          <w:szCs w:val="20"/>
        </w:rPr>
        <w:t>:</w:t>
      </w:r>
      <w:r>
        <w:rPr>
          <w:rFonts w:ascii="Calibri" w:hAnsi="Calibri" w:cs="Calibri"/>
          <w:sz w:val="20"/>
          <w:szCs w:val="20"/>
        </w:rPr>
        <w:t xml:space="preserve"> </w:t>
      </w:r>
      <w:r w:rsidRPr="00D91FAA">
        <w:rPr>
          <w:rFonts w:ascii="Calibri" w:hAnsi="Calibri" w:cs="Calibri"/>
          <w:sz w:val="20"/>
          <w:szCs w:val="20"/>
        </w:rPr>
        <w:t xml:space="preserve">The </w:t>
      </w:r>
      <w:r w:rsidRPr="00D91FAA">
        <w:rPr>
          <w:rFonts w:ascii="Calibri" w:hAnsi="Calibri" w:cs="Calibri"/>
          <w:b/>
          <w:bCs/>
          <w:sz w:val="20"/>
          <w:szCs w:val="20"/>
        </w:rPr>
        <w:t>K-Means algorithm</w:t>
      </w:r>
      <w:r w:rsidRPr="00D91FAA">
        <w:rPr>
          <w:rFonts w:ascii="Calibri" w:hAnsi="Calibri" w:cs="Calibri"/>
          <w:sz w:val="20"/>
          <w:szCs w:val="20"/>
        </w:rPr>
        <w:t xml:space="preserve"> was applied to group hospitals based on </w:t>
      </w:r>
      <w:r>
        <w:rPr>
          <w:rFonts w:ascii="Calibri" w:hAnsi="Calibri" w:cs="Calibri"/>
          <w:sz w:val="20"/>
          <w:szCs w:val="20"/>
        </w:rPr>
        <w:t>the</w:t>
      </w:r>
      <w:r w:rsidRPr="00D91FAA">
        <w:rPr>
          <w:rFonts w:ascii="Calibri" w:hAnsi="Calibri" w:cs="Calibri"/>
          <w:sz w:val="20"/>
          <w:szCs w:val="20"/>
        </w:rPr>
        <w:t xml:space="preserve"> severity scores. The optimal number of clusters was determined using the </w:t>
      </w:r>
      <w:r w:rsidRPr="001E23AD">
        <w:rPr>
          <w:rFonts w:ascii="Calibri" w:hAnsi="Calibri" w:cs="Calibri"/>
          <w:sz w:val="20"/>
          <w:szCs w:val="20"/>
        </w:rPr>
        <w:t>Elbow Method</w:t>
      </w:r>
      <w:r w:rsidRPr="00D91FAA">
        <w:rPr>
          <w:rFonts w:ascii="Calibri" w:hAnsi="Calibri" w:cs="Calibri"/>
          <w:sz w:val="20"/>
          <w:szCs w:val="20"/>
        </w:rPr>
        <w:t>, which suggested three distinct clusters</w:t>
      </w:r>
      <w:r w:rsidR="00C71A28">
        <w:rPr>
          <w:rFonts w:ascii="Calibri" w:hAnsi="Calibri" w:cs="Calibri"/>
          <w:sz w:val="20"/>
          <w:szCs w:val="20"/>
        </w:rPr>
        <w:t xml:space="preserve"> (</w:t>
      </w:r>
      <w:r w:rsidR="00C71A28" w:rsidRPr="00073C92">
        <w:rPr>
          <w:rFonts w:ascii="Calibri" w:hAnsi="Calibri" w:cs="Calibri"/>
          <w:sz w:val="20"/>
          <w:szCs w:val="20"/>
        </w:rPr>
        <w:t>Muhtasim</w:t>
      </w:r>
      <w:r w:rsidR="00C71A28">
        <w:rPr>
          <w:rFonts w:ascii="Calibri" w:hAnsi="Calibri" w:cs="Calibri"/>
          <w:sz w:val="20"/>
          <w:szCs w:val="20"/>
        </w:rPr>
        <w:t>, 2023)</w:t>
      </w:r>
      <w:r w:rsidRPr="00D91FAA">
        <w:rPr>
          <w:rFonts w:ascii="Calibri" w:hAnsi="Calibri" w:cs="Calibri"/>
          <w:sz w:val="20"/>
          <w:szCs w:val="20"/>
        </w:rPr>
        <w:t>.</w:t>
      </w:r>
    </w:p>
    <w:p w14:paraId="72A362E0" w14:textId="6D93E049" w:rsidR="00D91FAA" w:rsidRPr="00D91FAA" w:rsidRDefault="00D91FAA" w:rsidP="00993A39">
      <w:pPr>
        <w:numPr>
          <w:ilvl w:val="0"/>
          <w:numId w:val="15"/>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Dimensionality Reduction with PCA</w:t>
      </w:r>
      <w:r w:rsidRPr="00D91FAA">
        <w:rPr>
          <w:rFonts w:ascii="Calibri" w:hAnsi="Calibri" w:cs="Calibri"/>
          <w:sz w:val="20"/>
          <w:szCs w:val="20"/>
        </w:rPr>
        <w:t>:</w:t>
      </w:r>
      <w:r>
        <w:rPr>
          <w:rFonts w:ascii="Calibri" w:hAnsi="Calibri" w:cs="Calibri"/>
          <w:sz w:val="20"/>
          <w:szCs w:val="20"/>
        </w:rPr>
        <w:t xml:space="preserve"> </w:t>
      </w:r>
      <w:r w:rsidRPr="00D91FAA">
        <w:rPr>
          <w:rFonts w:ascii="Calibri" w:hAnsi="Calibri" w:cs="Calibri"/>
          <w:sz w:val="20"/>
          <w:szCs w:val="20"/>
        </w:rPr>
        <w:t xml:space="preserve">To better visualize the clusters, </w:t>
      </w:r>
      <w:r w:rsidRPr="001E23AD">
        <w:rPr>
          <w:rFonts w:ascii="Calibri" w:hAnsi="Calibri" w:cs="Calibri"/>
          <w:sz w:val="20"/>
          <w:szCs w:val="20"/>
        </w:rPr>
        <w:t>Principal Component Analysis (PCA)</w:t>
      </w:r>
      <w:r w:rsidRPr="00D91FAA">
        <w:rPr>
          <w:rFonts w:ascii="Calibri" w:hAnsi="Calibri" w:cs="Calibri"/>
          <w:sz w:val="20"/>
          <w:szCs w:val="20"/>
        </w:rPr>
        <w:t xml:space="preserve"> was used to reduce the data to two dimensions. This allowed us to plot the clusters and observe how hospitals grouped based on the severity scores.</w:t>
      </w:r>
    </w:p>
    <w:p w14:paraId="24DF36F6" w14:textId="21BD15D6" w:rsidR="00D91FAA" w:rsidRPr="00D91FAA" w:rsidRDefault="00D91FAA" w:rsidP="00061B71">
      <w:pPr>
        <w:spacing w:line="240" w:lineRule="auto"/>
        <w:rPr>
          <w:rFonts w:ascii="Calibri" w:hAnsi="Calibri" w:cs="Calibri"/>
          <w:b/>
          <w:bCs/>
          <w:sz w:val="20"/>
          <w:szCs w:val="20"/>
        </w:rPr>
      </w:pPr>
      <w:r w:rsidRPr="00D91FAA">
        <w:rPr>
          <w:rFonts w:ascii="Calibri" w:hAnsi="Calibri" w:cs="Calibri"/>
          <w:b/>
          <w:bCs/>
          <w:sz w:val="20"/>
          <w:szCs w:val="20"/>
        </w:rPr>
        <w:t>Results</w:t>
      </w:r>
      <w:r w:rsidR="00073C92">
        <w:rPr>
          <w:rFonts w:ascii="Calibri" w:hAnsi="Calibri" w:cs="Calibri"/>
          <w:b/>
          <w:bCs/>
          <w:sz w:val="20"/>
          <w:szCs w:val="20"/>
        </w:rPr>
        <w:t xml:space="preserve"> - </w:t>
      </w:r>
      <w:r w:rsidRPr="00D91FAA">
        <w:rPr>
          <w:rFonts w:ascii="Calibri" w:hAnsi="Calibri" w:cs="Calibri"/>
          <w:sz w:val="20"/>
          <w:szCs w:val="20"/>
        </w:rPr>
        <w:t xml:space="preserve">The analysis revealed </w:t>
      </w:r>
      <w:r w:rsidRPr="001E23AD">
        <w:rPr>
          <w:rFonts w:ascii="Calibri" w:hAnsi="Calibri" w:cs="Calibri"/>
          <w:sz w:val="20"/>
          <w:szCs w:val="20"/>
        </w:rPr>
        <w:t>three distinct clusters</w:t>
      </w:r>
      <w:r w:rsidRPr="00D91FAA">
        <w:rPr>
          <w:rFonts w:ascii="Calibri" w:hAnsi="Calibri" w:cs="Calibri"/>
          <w:sz w:val="20"/>
          <w:szCs w:val="20"/>
        </w:rPr>
        <w:t xml:space="preserve"> of hospitals based on their severity scores over </w:t>
      </w:r>
      <w:r>
        <w:rPr>
          <w:rFonts w:ascii="Calibri" w:hAnsi="Calibri" w:cs="Calibri"/>
          <w:sz w:val="20"/>
          <w:szCs w:val="20"/>
        </w:rPr>
        <w:t>7 days</w:t>
      </w:r>
      <w:r w:rsidRPr="00D91FAA">
        <w:rPr>
          <w:rFonts w:ascii="Calibri" w:hAnsi="Calibri" w:cs="Calibri"/>
          <w:sz w:val="20"/>
          <w:szCs w:val="20"/>
        </w:rPr>
        <w:t>:</w:t>
      </w:r>
    </w:p>
    <w:p w14:paraId="224C2F5F" w14:textId="77777777" w:rsidR="00D91FAA" w:rsidRPr="00D91FAA" w:rsidRDefault="00D91FAA" w:rsidP="00993A39">
      <w:pPr>
        <w:numPr>
          <w:ilvl w:val="0"/>
          <w:numId w:val="16"/>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Cluster 1</w:t>
      </w:r>
      <w:r w:rsidRPr="00D91FAA">
        <w:rPr>
          <w:rFonts w:ascii="Calibri" w:hAnsi="Calibri" w:cs="Calibri"/>
          <w:sz w:val="20"/>
          <w:szCs w:val="20"/>
        </w:rPr>
        <w:t>: Hospitals with consistently high severity scores across the seven days, indicating a high burden of COVID-19 cases.</w:t>
      </w:r>
    </w:p>
    <w:p w14:paraId="5FC210BC" w14:textId="77777777" w:rsidR="00D91FAA" w:rsidRPr="00D91FAA" w:rsidRDefault="00D91FAA" w:rsidP="00993A39">
      <w:pPr>
        <w:numPr>
          <w:ilvl w:val="0"/>
          <w:numId w:val="16"/>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Cluster 2</w:t>
      </w:r>
      <w:r w:rsidRPr="00D91FAA">
        <w:rPr>
          <w:rFonts w:ascii="Calibri" w:hAnsi="Calibri" w:cs="Calibri"/>
          <w:sz w:val="20"/>
          <w:szCs w:val="20"/>
        </w:rPr>
        <w:t>: Hospitals with moderate severity, showing fluctuations but generally lower severity levels than Cluster 1.</w:t>
      </w:r>
    </w:p>
    <w:p w14:paraId="3308EDDA" w14:textId="77777777" w:rsidR="00D91FAA" w:rsidRPr="00D91FAA" w:rsidRDefault="00D91FAA" w:rsidP="00993A39">
      <w:pPr>
        <w:numPr>
          <w:ilvl w:val="0"/>
          <w:numId w:val="16"/>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Cluster 3</w:t>
      </w:r>
      <w:r w:rsidRPr="00D91FAA">
        <w:rPr>
          <w:rFonts w:ascii="Calibri" w:hAnsi="Calibri" w:cs="Calibri"/>
          <w:sz w:val="20"/>
          <w:szCs w:val="20"/>
        </w:rPr>
        <w:t>: Hospitals with low severity scores, indicating relatively mild or controlled cases during the observed period.</w:t>
      </w:r>
    </w:p>
    <w:p w14:paraId="7899956A" w14:textId="77777777" w:rsidR="00D91FAA" w:rsidRPr="00D91FAA" w:rsidRDefault="00D91FAA" w:rsidP="00061B71">
      <w:pPr>
        <w:spacing w:line="240" w:lineRule="auto"/>
        <w:rPr>
          <w:rFonts w:ascii="Calibri" w:hAnsi="Calibri" w:cs="Calibri"/>
          <w:b/>
          <w:bCs/>
          <w:sz w:val="20"/>
          <w:szCs w:val="20"/>
        </w:rPr>
      </w:pPr>
      <w:r w:rsidRPr="00D91FAA">
        <w:rPr>
          <w:rFonts w:ascii="Calibri" w:hAnsi="Calibri" w:cs="Calibri"/>
          <w:b/>
          <w:bCs/>
          <w:sz w:val="20"/>
          <w:szCs w:val="20"/>
        </w:rPr>
        <w:t>Insights and Conclusions</w:t>
      </w:r>
    </w:p>
    <w:p w14:paraId="3705FFD1" w14:textId="743233FA" w:rsidR="00D91FAA" w:rsidRPr="00D91FAA" w:rsidRDefault="00D91FAA" w:rsidP="00562EA8">
      <w:pPr>
        <w:numPr>
          <w:ilvl w:val="0"/>
          <w:numId w:val="17"/>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Resource Allocation</w:t>
      </w:r>
      <w:r w:rsidRPr="00D91FAA">
        <w:rPr>
          <w:rFonts w:ascii="Calibri" w:hAnsi="Calibri" w:cs="Calibri"/>
          <w:sz w:val="20"/>
          <w:szCs w:val="20"/>
        </w:rPr>
        <w:t xml:space="preserve">: Hospitals in </w:t>
      </w:r>
      <w:r w:rsidRPr="00D91FAA">
        <w:rPr>
          <w:rFonts w:ascii="Calibri" w:hAnsi="Calibri" w:cs="Calibri"/>
          <w:b/>
          <w:bCs/>
          <w:sz w:val="20"/>
          <w:szCs w:val="20"/>
        </w:rPr>
        <w:t>Cluster 1</w:t>
      </w:r>
      <w:r w:rsidRPr="00D91FAA">
        <w:rPr>
          <w:rFonts w:ascii="Calibri" w:hAnsi="Calibri" w:cs="Calibri"/>
          <w:sz w:val="20"/>
          <w:szCs w:val="20"/>
        </w:rPr>
        <w:t xml:space="preserve">, with high severity, may require more immediate resources such as ICU beds, ventilators, and medical personnel. </w:t>
      </w:r>
      <w:r w:rsidR="00267A11">
        <w:rPr>
          <w:rFonts w:ascii="Calibri" w:hAnsi="Calibri" w:cs="Calibri"/>
          <w:sz w:val="20"/>
          <w:szCs w:val="20"/>
        </w:rPr>
        <w:t>This u</w:t>
      </w:r>
      <w:r w:rsidRPr="00D91FAA">
        <w:rPr>
          <w:rFonts w:ascii="Calibri" w:hAnsi="Calibri" w:cs="Calibri"/>
          <w:sz w:val="20"/>
          <w:szCs w:val="20"/>
        </w:rPr>
        <w:t>nderstanding can help public health officials allocate resources more effectively.</w:t>
      </w:r>
    </w:p>
    <w:p w14:paraId="7C33B596" w14:textId="77777777" w:rsidR="00D91FAA" w:rsidRPr="00D91FAA" w:rsidRDefault="00D91FAA" w:rsidP="00562EA8">
      <w:pPr>
        <w:numPr>
          <w:ilvl w:val="0"/>
          <w:numId w:val="17"/>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Trend Analysis</w:t>
      </w:r>
      <w:r w:rsidRPr="00D91FAA">
        <w:rPr>
          <w:rFonts w:ascii="Calibri" w:hAnsi="Calibri" w:cs="Calibri"/>
          <w:sz w:val="20"/>
          <w:szCs w:val="20"/>
        </w:rPr>
        <w:t xml:space="preserve">: The clustering provides a clearer picture of how hospitals in different regions are experiencing COVID-19 outbreaks. Hospitals in </w:t>
      </w:r>
      <w:r w:rsidRPr="00D91FAA">
        <w:rPr>
          <w:rFonts w:ascii="Calibri" w:hAnsi="Calibri" w:cs="Calibri"/>
          <w:b/>
          <w:bCs/>
          <w:sz w:val="20"/>
          <w:szCs w:val="20"/>
        </w:rPr>
        <w:t>Cluster 2</w:t>
      </w:r>
      <w:r w:rsidRPr="00D91FAA">
        <w:rPr>
          <w:rFonts w:ascii="Calibri" w:hAnsi="Calibri" w:cs="Calibri"/>
          <w:sz w:val="20"/>
          <w:szCs w:val="20"/>
        </w:rPr>
        <w:t xml:space="preserve"> and </w:t>
      </w:r>
      <w:r w:rsidRPr="00D91FAA">
        <w:rPr>
          <w:rFonts w:ascii="Calibri" w:hAnsi="Calibri" w:cs="Calibri"/>
          <w:b/>
          <w:bCs/>
          <w:sz w:val="20"/>
          <w:szCs w:val="20"/>
        </w:rPr>
        <w:t>Cluster 3</w:t>
      </w:r>
      <w:r w:rsidRPr="00D91FAA">
        <w:rPr>
          <w:rFonts w:ascii="Calibri" w:hAnsi="Calibri" w:cs="Calibri"/>
          <w:sz w:val="20"/>
          <w:szCs w:val="20"/>
        </w:rPr>
        <w:t xml:space="preserve"> may be experiencing fewer severe cases and could serve as potential overflow sites or examples of effective management strategies.</w:t>
      </w:r>
    </w:p>
    <w:p w14:paraId="66CA3254" w14:textId="376A4790" w:rsidR="00D91FAA" w:rsidRPr="00D91FAA" w:rsidRDefault="00D91FAA" w:rsidP="00562EA8">
      <w:pPr>
        <w:numPr>
          <w:ilvl w:val="0"/>
          <w:numId w:val="17"/>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PCA Visualization</w:t>
      </w:r>
      <w:r w:rsidRPr="00D91FAA">
        <w:rPr>
          <w:rFonts w:ascii="Calibri" w:hAnsi="Calibri" w:cs="Calibri"/>
          <w:sz w:val="20"/>
          <w:szCs w:val="20"/>
        </w:rPr>
        <w:t>: The PCA plot provides a clear, visual representation of how hospitals differ in COVID-19 severity. Hospitals in the same cluster tend to exhibit similar severity trends, which can inform decision-makers on regional response efforts</w:t>
      </w:r>
      <w:r w:rsidR="00C71A28">
        <w:rPr>
          <w:rFonts w:ascii="Calibri" w:hAnsi="Calibri" w:cs="Calibri"/>
          <w:sz w:val="20"/>
          <w:szCs w:val="20"/>
        </w:rPr>
        <w:t xml:space="preserve"> </w:t>
      </w:r>
      <w:r w:rsidR="00C71A28" w:rsidRPr="00C71A28">
        <w:rPr>
          <w:rFonts w:ascii="Calibri" w:hAnsi="Calibri" w:cs="Calibri"/>
          <w:sz w:val="20"/>
          <w:szCs w:val="20"/>
        </w:rPr>
        <w:t>(Jolliffe, 2002)</w:t>
      </w:r>
      <w:r w:rsidR="00C71A28">
        <w:rPr>
          <w:rFonts w:ascii="Calibri" w:hAnsi="Calibri" w:cs="Calibri"/>
          <w:sz w:val="20"/>
          <w:szCs w:val="20"/>
        </w:rPr>
        <w:t>.</w:t>
      </w:r>
    </w:p>
    <w:p w14:paraId="75F99DA6" w14:textId="77777777" w:rsidR="00D91FAA" w:rsidRPr="00D91FAA" w:rsidRDefault="00D91FAA" w:rsidP="00562EA8">
      <w:pPr>
        <w:numPr>
          <w:ilvl w:val="0"/>
          <w:numId w:val="17"/>
        </w:numPr>
        <w:tabs>
          <w:tab w:val="clear" w:pos="720"/>
          <w:tab w:val="num" w:pos="270"/>
        </w:tabs>
        <w:spacing w:line="240" w:lineRule="auto"/>
        <w:ind w:left="0" w:firstLine="0"/>
        <w:rPr>
          <w:rFonts w:ascii="Calibri" w:hAnsi="Calibri" w:cs="Calibri"/>
          <w:sz w:val="20"/>
          <w:szCs w:val="20"/>
        </w:rPr>
      </w:pPr>
      <w:r w:rsidRPr="00D91FAA">
        <w:rPr>
          <w:rFonts w:ascii="Calibri" w:hAnsi="Calibri" w:cs="Calibri"/>
          <w:b/>
          <w:bCs/>
          <w:sz w:val="20"/>
          <w:szCs w:val="20"/>
        </w:rPr>
        <w:t>Next Steps</w:t>
      </w:r>
      <w:r w:rsidRPr="00D91FAA">
        <w:rPr>
          <w:rFonts w:ascii="Calibri" w:hAnsi="Calibri" w:cs="Calibri"/>
          <w:sz w:val="20"/>
          <w:szCs w:val="20"/>
        </w:rPr>
        <w:t>: Further analysis could explore the factors contributing to these severity patterns, such as hospital capacity, geographic location, or health interventions. This could lead to more targeted responses in areas with high severity.</w:t>
      </w:r>
    </w:p>
    <w:p w14:paraId="0421E10B" w14:textId="77777777" w:rsidR="00D91FAA" w:rsidRPr="00D91FAA" w:rsidRDefault="00D91FAA" w:rsidP="00061B71">
      <w:pPr>
        <w:spacing w:line="240" w:lineRule="auto"/>
        <w:rPr>
          <w:rFonts w:ascii="Calibri" w:hAnsi="Calibri" w:cs="Calibri"/>
          <w:b/>
          <w:bCs/>
          <w:sz w:val="20"/>
          <w:szCs w:val="20"/>
        </w:rPr>
      </w:pPr>
      <w:r w:rsidRPr="00D91FAA">
        <w:rPr>
          <w:rFonts w:ascii="Calibri" w:hAnsi="Calibri" w:cs="Calibri"/>
          <w:b/>
          <w:bCs/>
          <w:sz w:val="20"/>
          <w:szCs w:val="20"/>
        </w:rPr>
        <w:t>Conclusion</w:t>
      </w:r>
    </w:p>
    <w:p w14:paraId="22C320AA" w14:textId="77777777" w:rsidR="00D91FAA" w:rsidRPr="00D91FAA" w:rsidRDefault="00D91FAA" w:rsidP="00061B71">
      <w:pPr>
        <w:spacing w:line="240" w:lineRule="auto"/>
        <w:rPr>
          <w:rFonts w:ascii="Calibri" w:hAnsi="Calibri" w:cs="Calibri"/>
          <w:sz w:val="20"/>
          <w:szCs w:val="20"/>
        </w:rPr>
      </w:pPr>
      <w:r w:rsidRPr="00D91FAA">
        <w:rPr>
          <w:rFonts w:ascii="Calibri" w:hAnsi="Calibri" w:cs="Calibri"/>
          <w:sz w:val="20"/>
          <w:szCs w:val="20"/>
        </w:rPr>
        <w:t>This clustering analysis helps healthcare providers and policymakers understand the varying levels of COVID-19 severity across hospitals. By using machine learning techniques like K-Means and PCA, we can identify areas of concern and take action to address potential resource shortages, improve preparedness, and optimize the response to the ongoing pandemic.</w:t>
      </w:r>
    </w:p>
    <w:p w14:paraId="1BAE0AF0" w14:textId="03AAAA79" w:rsidR="00C4701A" w:rsidRPr="00073C92" w:rsidRDefault="00073C92" w:rsidP="00061B71">
      <w:pPr>
        <w:spacing w:line="240" w:lineRule="auto"/>
        <w:rPr>
          <w:rFonts w:ascii="Calibri" w:hAnsi="Calibri" w:cs="Calibri"/>
          <w:b/>
          <w:bCs/>
          <w:sz w:val="20"/>
          <w:szCs w:val="20"/>
        </w:rPr>
      </w:pPr>
      <w:r w:rsidRPr="00073C92">
        <w:rPr>
          <w:rFonts w:ascii="Calibri" w:hAnsi="Calibri" w:cs="Calibri"/>
          <w:b/>
          <w:bCs/>
          <w:sz w:val="20"/>
          <w:szCs w:val="20"/>
        </w:rPr>
        <w:t>References</w:t>
      </w:r>
    </w:p>
    <w:p w14:paraId="40D79ED5" w14:textId="17107AB3" w:rsidR="00073C92" w:rsidRDefault="00073C92" w:rsidP="00061B71">
      <w:pPr>
        <w:spacing w:line="240" w:lineRule="auto"/>
        <w:rPr>
          <w:rFonts w:ascii="Calibri" w:hAnsi="Calibri" w:cs="Calibri"/>
          <w:sz w:val="20"/>
          <w:szCs w:val="20"/>
        </w:rPr>
      </w:pPr>
      <w:r w:rsidRPr="00073C92">
        <w:rPr>
          <w:rFonts w:ascii="Calibri" w:hAnsi="Calibri" w:cs="Calibri"/>
          <w:sz w:val="20"/>
          <w:szCs w:val="20"/>
        </w:rPr>
        <w:t xml:space="preserve">AWS. (2024). </w:t>
      </w:r>
      <w:r w:rsidRPr="00073C92">
        <w:rPr>
          <w:rFonts w:ascii="Calibri" w:hAnsi="Calibri" w:cs="Calibri"/>
          <w:i/>
          <w:iCs/>
          <w:sz w:val="20"/>
          <w:szCs w:val="20"/>
        </w:rPr>
        <w:t>COVID-19 Severity Index Dataset</w:t>
      </w:r>
      <w:r w:rsidRPr="00073C92">
        <w:rPr>
          <w:rFonts w:ascii="Calibri" w:hAnsi="Calibri" w:cs="Calibri"/>
          <w:sz w:val="20"/>
          <w:szCs w:val="20"/>
        </w:rPr>
        <w:t>. Retrieved</w:t>
      </w:r>
      <w:r>
        <w:rPr>
          <w:rFonts w:ascii="Calibri" w:hAnsi="Calibri" w:cs="Calibri"/>
          <w:sz w:val="20"/>
          <w:szCs w:val="20"/>
        </w:rPr>
        <w:t xml:space="preserve"> from</w:t>
      </w:r>
      <w:r w:rsidRPr="00073C92">
        <w:rPr>
          <w:rFonts w:ascii="Calibri" w:hAnsi="Calibri" w:cs="Calibri"/>
          <w:sz w:val="20"/>
          <w:szCs w:val="20"/>
        </w:rPr>
        <w:t xml:space="preserve"> </w:t>
      </w:r>
      <w:hyperlink r:id="rId7" w:history="1">
        <w:r w:rsidRPr="004C5EEC">
          <w:rPr>
            <w:rStyle w:val="Hyperlink"/>
            <w:rFonts w:ascii="Calibri" w:hAnsi="Calibri" w:cs="Calibri"/>
            <w:sz w:val="20"/>
            <w:szCs w:val="20"/>
          </w:rPr>
          <w:t>https://covid19-lake.s3.amazonaws.com/index.html</w:t>
        </w:r>
      </w:hyperlink>
    </w:p>
    <w:p w14:paraId="48092334" w14:textId="39C35543" w:rsidR="00073C92" w:rsidRDefault="00073C92" w:rsidP="00061B71">
      <w:pPr>
        <w:spacing w:line="240" w:lineRule="auto"/>
        <w:rPr>
          <w:rFonts w:ascii="Calibri" w:hAnsi="Calibri" w:cs="Calibri"/>
          <w:sz w:val="20"/>
          <w:szCs w:val="20"/>
        </w:rPr>
      </w:pPr>
      <w:r w:rsidRPr="00073C92">
        <w:rPr>
          <w:rFonts w:ascii="Calibri" w:hAnsi="Calibri" w:cs="Calibri"/>
          <w:sz w:val="20"/>
          <w:szCs w:val="20"/>
        </w:rPr>
        <w:t xml:space="preserve">Jolliffe, I. T. (2002). </w:t>
      </w:r>
      <w:r w:rsidRPr="00073C92">
        <w:rPr>
          <w:rFonts w:ascii="Calibri" w:hAnsi="Calibri" w:cs="Calibri"/>
          <w:i/>
          <w:iCs/>
          <w:sz w:val="20"/>
          <w:szCs w:val="20"/>
        </w:rPr>
        <w:t>Principal component analysis</w:t>
      </w:r>
      <w:r w:rsidRPr="00073C92">
        <w:rPr>
          <w:rFonts w:ascii="Calibri" w:hAnsi="Calibri" w:cs="Calibri"/>
          <w:sz w:val="20"/>
          <w:szCs w:val="20"/>
        </w:rPr>
        <w:t xml:space="preserve"> (2nd ed.). Springer-Verlag. </w:t>
      </w:r>
      <w:hyperlink r:id="rId8" w:history="1">
        <w:r w:rsidRPr="004C5EEC">
          <w:rPr>
            <w:rStyle w:val="Hyperlink"/>
            <w:rFonts w:ascii="Calibri" w:hAnsi="Calibri" w:cs="Calibri"/>
            <w:sz w:val="20"/>
            <w:szCs w:val="20"/>
          </w:rPr>
          <w:t>https://doi.org/10.1007/b98835</w:t>
        </w:r>
      </w:hyperlink>
    </w:p>
    <w:p w14:paraId="372DFE46" w14:textId="299A3ED7" w:rsidR="0008173F" w:rsidRPr="009A263C" w:rsidRDefault="00073C92" w:rsidP="00061B71">
      <w:pPr>
        <w:spacing w:line="240" w:lineRule="auto"/>
        <w:rPr>
          <w:rFonts w:ascii="Calibri" w:hAnsi="Calibri" w:cs="Calibri"/>
          <w:sz w:val="20"/>
          <w:szCs w:val="20"/>
        </w:rPr>
      </w:pPr>
      <w:r w:rsidRPr="00073C92">
        <w:rPr>
          <w:rFonts w:ascii="Calibri" w:hAnsi="Calibri" w:cs="Calibri"/>
          <w:sz w:val="20"/>
          <w:szCs w:val="20"/>
        </w:rPr>
        <w:t xml:space="preserve">Muhtasim, Md. Abdul Masud. (2023). Clustering Countries on COVID-19 Data among Different Waves Using K-Means Clustering. </w:t>
      </w:r>
      <w:hyperlink r:id="rId9" w:history="1">
        <w:r w:rsidR="0008173F" w:rsidRPr="004C5EEC">
          <w:rPr>
            <w:rStyle w:val="Hyperlink"/>
            <w:rFonts w:ascii="Calibri" w:hAnsi="Calibri" w:cs="Calibri"/>
            <w:sz w:val="20"/>
            <w:szCs w:val="20"/>
          </w:rPr>
          <w:t>https://doi.org/10.4236/jcc.2023.117001</w:t>
        </w:r>
      </w:hyperlink>
    </w:p>
    <w:sectPr w:rsidR="0008173F" w:rsidRPr="009A263C" w:rsidSect="00061B71">
      <w:headerReference w:type="default" r:id="rId10"/>
      <w:pgSz w:w="12240" w:h="15840"/>
      <w:pgMar w:top="720" w:right="450" w:bottom="72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72690" w14:textId="77777777" w:rsidR="003220B3" w:rsidRDefault="003220B3" w:rsidP="00AE325D">
      <w:pPr>
        <w:spacing w:after="0" w:line="240" w:lineRule="auto"/>
      </w:pPr>
      <w:r>
        <w:separator/>
      </w:r>
    </w:p>
  </w:endnote>
  <w:endnote w:type="continuationSeparator" w:id="0">
    <w:p w14:paraId="1821678C" w14:textId="77777777" w:rsidR="003220B3" w:rsidRDefault="003220B3" w:rsidP="00AE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FDE3D" w14:textId="77777777" w:rsidR="003220B3" w:rsidRDefault="003220B3" w:rsidP="00AE325D">
      <w:pPr>
        <w:spacing w:after="0" w:line="240" w:lineRule="auto"/>
      </w:pPr>
      <w:r>
        <w:separator/>
      </w:r>
    </w:p>
  </w:footnote>
  <w:footnote w:type="continuationSeparator" w:id="0">
    <w:p w14:paraId="0F2868AA" w14:textId="77777777" w:rsidR="003220B3" w:rsidRDefault="003220B3" w:rsidP="00AE3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D672C" w14:textId="26BE1872" w:rsidR="00AE325D" w:rsidRPr="00AE325D" w:rsidRDefault="00AE325D" w:rsidP="00AE325D">
    <w:pPr>
      <w:pStyle w:val="Heading1"/>
      <w:tabs>
        <w:tab w:val="left" w:pos="7560"/>
      </w:tabs>
      <w:spacing w:before="0" w:after="0" w:line="240" w:lineRule="auto"/>
      <w:jc w:val="center"/>
      <w:rPr>
        <w:rFonts w:ascii="Calibri" w:eastAsia="Roboto" w:hAnsi="Calibri" w:cs="Calibri"/>
        <w:b/>
        <w:color w:val="auto"/>
        <w:sz w:val="20"/>
        <w:szCs w:val="20"/>
      </w:rPr>
    </w:pPr>
    <w:r w:rsidRPr="00AE325D">
      <w:rPr>
        <w:rFonts w:ascii="Calibri" w:eastAsia="Roboto" w:hAnsi="Calibri" w:cs="Calibri"/>
        <w:b/>
        <w:color w:val="auto"/>
        <w:sz w:val="20"/>
        <w:szCs w:val="20"/>
      </w:rPr>
      <w:t xml:space="preserve">BAN 6440: </w:t>
    </w:r>
    <w:hyperlink r:id="rId1" w:history="1">
      <w:r w:rsidRPr="00AE325D">
        <w:rPr>
          <w:rStyle w:val="Hyperlink"/>
          <w:rFonts w:ascii="Calibri" w:eastAsia="Roboto" w:hAnsi="Calibri" w:cs="Calibri"/>
          <w:b/>
          <w:color w:val="auto"/>
          <w:sz w:val="20"/>
          <w:szCs w:val="20"/>
          <w:u w:val="none"/>
        </w:rPr>
        <w:t>Applied Machine Learning for Analytics</w:t>
      </w:r>
    </w:hyperlink>
  </w:p>
  <w:p w14:paraId="296BD482" w14:textId="05DC24B2" w:rsidR="00AE325D" w:rsidRPr="00AE325D" w:rsidRDefault="00AE325D" w:rsidP="00AE325D">
    <w:pPr>
      <w:pStyle w:val="Heading1"/>
      <w:tabs>
        <w:tab w:val="left" w:pos="7560"/>
      </w:tabs>
      <w:spacing w:before="0" w:after="0" w:line="240" w:lineRule="auto"/>
      <w:jc w:val="center"/>
      <w:rPr>
        <w:rFonts w:ascii="Calibri" w:eastAsia="Roboto" w:hAnsi="Calibri" w:cs="Calibri"/>
        <w:color w:val="auto"/>
        <w:sz w:val="20"/>
        <w:szCs w:val="20"/>
      </w:rPr>
    </w:pPr>
    <w:r w:rsidRPr="00AE325D">
      <w:rPr>
        <w:rFonts w:ascii="Calibri" w:eastAsia="Roboto" w:hAnsi="Calibri" w:cs="Calibri"/>
        <w:color w:val="auto"/>
        <w:sz w:val="20"/>
        <w:szCs w:val="20"/>
      </w:rPr>
      <w:t>Module 4 Assignment: K-Means Python Application</w:t>
    </w:r>
  </w:p>
  <w:p w14:paraId="769BA9A5" w14:textId="6368BC83" w:rsidR="00AE325D" w:rsidRPr="00AE325D" w:rsidRDefault="00AE325D" w:rsidP="00AE325D">
    <w:pPr>
      <w:jc w:val="center"/>
      <w:rPr>
        <w:rFonts w:ascii="Calibri" w:hAnsi="Calibri" w:cs="Calibri"/>
        <w:sz w:val="20"/>
        <w:szCs w:val="20"/>
      </w:rPr>
    </w:pPr>
    <w:r w:rsidRPr="00AE325D">
      <w:rPr>
        <w:rFonts w:ascii="Calibri" w:hAnsi="Calibri" w:cs="Calibri"/>
        <w:b/>
        <w:bCs/>
        <w:sz w:val="20"/>
        <w:szCs w:val="20"/>
      </w:rPr>
      <w:t>Name:</w:t>
    </w:r>
    <w:r w:rsidRPr="00AE325D">
      <w:rPr>
        <w:rFonts w:ascii="Calibri" w:hAnsi="Calibri" w:cs="Calibri"/>
        <w:sz w:val="20"/>
        <w:szCs w:val="20"/>
      </w:rPr>
      <w:t xml:space="preserve"> Voke Harrison Edafejimue | </w:t>
    </w:r>
    <w:r w:rsidRPr="00AE325D">
      <w:rPr>
        <w:rFonts w:ascii="Calibri" w:hAnsi="Calibri" w:cs="Calibri"/>
        <w:b/>
        <w:bCs/>
        <w:sz w:val="20"/>
        <w:szCs w:val="20"/>
      </w:rPr>
      <w:t>Learner ID:</w:t>
    </w:r>
    <w:r w:rsidRPr="00AE325D">
      <w:rPr>
        <w:rFonts w:ascii="Calibri" w:hAnsi="Calibri" w:cs="Calibri"/>
        <w:sz w:val="20"/>
        <w:szCs w:val="20"/>
      </w:rPr>
      <w:t xml:space="preserve"> 143304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5A1A"/>
    <w:multiLevelType w:val="multilevel"/>
    <w:tmpl w:val="B806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58AB"/>
    <w:multiLevelType w:val="multilevel"/>
    <w:tmpl w:val="C3F2D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32B47"/>
    <w:multiLevelType w:val="multilevel"/>
    <w:tmpl w:val="EED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F4F7E"/>
    <w:multiLevelType w:val="multilevel"/>
    <w:tmpl w:val="968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738E4"/>
    <w:multiLevelType w:val="multilevel"/>
    <w:tmpl w:val="9BC2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C346F"/>
    <w:multiLevelType w:val="multilevel"/>
    <w:tmpl w:val="706C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674FB"/>
    <w:multiLevelType w:val="multilevel"/>
    <w:tmpl w:val="178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036C7"/>
    <w:multiLevelType w:val="multilevel"/>
    <w:tmpl w:val="595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F3619"/>
    <w:multiLevelType w:val="multilevel"/>
    <w:tmpl w:val="2F9A9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A05E5"/>
    <w:multiLevelType w:val="multilevel"/>
    <w:tmpl w:val="956CC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5434A"/>
    <w:multiLevelType w:val="multilevel"/>
    <w:tmpl w:val="7CA2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94430"/>
    <w:multiLevelType w:val="multilevel"/>
    <w:tmpl w:val="4C32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57487"/>
    <w:multiLevelType w:val="multilevel"/>
    <w:tmpl w:val="757C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6508F"/>
    <w:multiLevelType w:val="multilevel"/>
    <w:tmpl w:val="90E0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63200"/>
    <w:multiLevelType w:val="multilevel"/>
    <w:tmpl w:val="F01CF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E5729"/>
    <w:multiLevelType w:val="multilevel"/>
    <w:tmpl w:val="0AF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67E67"/>
    <w:multiLevelType w:val="multilevel"/>
    <w:tmpl w:val="018CC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725098">
    <w:abstractNumId w:val="12"/>
  </w:num>
  <w:num w:numId="2" w16cid:durableId="811169956">
    <w:abstractNumId w:val="14"/>
  </w:num>
  <w:num w:numId="3" w16cid:durableId="1974938687">
    <w:abstractNumId w:val="4"/>
  </w:num>
  <w:num w:numId="4" w16cid:durableId="1415710277">
    <w:abstractNumId w:val="15"/>
  </w:num>
  <w:num w:numId="5" w16cid:durableId="1507673795">
    <w:abstractNumId w:val="9"/>
  </w:num>
  <w:num w:numId="6" w16cid:durableId="2054886467">
    <w:abstractNumId w:val="16"/>
  </w:num>
  <w:num w:numId="7" w16cid:durableId="1763842596">
    <w:abstractNumId w:val="3"/>
  </w:num>
  <w:num w:numId="8" w16cid:durableId="595020021">
    <w:abstractNumId w:val="6"/>
  </w:num>
  <w:num w:numId="9" w16cid:durableId="91174397">
    <w:abstractNumId w:val="8"/>
  </w:num>
  <w:num w:numId="10" w16cid:durableId="32121689">
    <w:abstractNumId w:val="13"/>
  </w:num>
  <w:num w:numId="11" w16cid:durableId="806243260">
    <w:abstractNumId w:val="11"/>
  </w:num>
  <w:num w:numId="12" w16cid:durableId="1139691231">
    <w:abstractNumId w:val="10"/>
  </w:num>
  <w:num w:numId="13" w16cid:durableId="384259499">
    <w:abstractNumId w:val="2"/>
  </w:num>
  <w:num w:numId="14" w16cid:durableId="1885676519">
    <w:abstractNumId w:val="7"/>
  </w:num>
  <w:num w:numId="15" w16cid:durableId="1756244584">
    <w:abstractNumId w:val="1"/>
  </w:num>
  <w:num w:numId="16" w16cid:durableId="227880626">
    <w:abstractNumId w:val="0"/>
  </w:num>
  <w:num w:numId="17" w16cid:durableId="1963925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95"/>
    <w:rsid w:val="00061B71"/>
    <w:rsid w:val="0006568F"/>
    <w:rsid w:val="00073C92"/>
    <w:rsid w:val="0008173F"/>
    <w:rsid w:val="00117680"/>
    <w:rsid w:val="001733AC"/>
    <w:rsid w:val="00177D50"/>
    <w:rsid w:val="001E23AD"/>
    <w:rsid w:val="00267A11"/>
    <w:rsid w:val="002D6B58"/>
    <w:rsid w:val="003220B3"/>
    <w:rsid w:val="003F6A95"/>
    <w:rsid w:val="00562EA8"/>
    <w:rsid w:val="005B7FE9"/>
    <w:rsid w:val="005E1562"/>
    <w:rsid w:val="007244D0"/>
    <w:rsid w:val="007647D3"/>
    <w:rsid w:val="007A49E3"/>
    <w:rsid w:val="007B6452"/>
    <w:rsid w:val="007F7A33"/>
    <w:rsid w:val="0086790C"/>
    <w:rsid w:val="008E283C"/>
    <w:rsid w:val="008F00D7"/>
    <w:rsid w:val="009758CB"/>
    <w:rsid w:val="00993A39"/>
    <w:rsid w:val="009A263C"/>
    <w:rsid w:val="00A2717D"/>
    <w:rsid w:val="00AE325D"/>
    <w:rsid w:val="00C11C08"/>
    <w:rsid w:val="00C42117"/>
    <w:rsid w:val="00C4701A"/>
    <w:rsid w:val="00C51E53"/>
    <w:rsid w:val="00C55BD3"/>
    <w:rsid w:val="00C71A28"/>
    <w:rsid w:val="00D91FAA"/>
    <w:rsid w:val="00E20183"/>
    <w:rsid w:val="00F02514"/>
    <w:rsid w:val="00F8749E"/>
    <w:rsid w:val="00FF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4B704"/>
  <w15:chartTrackingRefBased/>
  <w15:docId w15:val="{5DDD71AD-74CD-44DF-A46C-36B712C3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A95"/>
    <w:rPr>
      <w:rFonts w:eastAsiaTheme="majorEastAsia" w:cstheme="majorBidi"/>
      <w:color w:val="272727" w:themeColor="text1" w:themeTint="D8"/>
    </w:rPr>
  </w:style>
  <w:style w:type="paragraph" w:styleId="Title">
    <w:name w:val="Title"/>
    <w:basedOn w:val="Normal"/>
    <w:next w:val="Normal"/>
    <w:link w:val="TitleChar"/>
    <w:uiPriority w:val="10"/>
    <w:qFormat/>
    <w:rsid w:val="003F6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A95"/>
    <w:pPr>
      <w:spacing w:before="160"/>
      <w:jc w:val="center"/>
    </w:pPr>
    <w:rPr>
      <w:i/>
      <w:iCs/>
      <w:color w:val="404040" w:themeColor="text1" w:themeTint="BF"/>
    </w:rPr>
  </w:style>
  <w:style w:type="character" w:customStyle="1" w:styleId="QuoteChar">
    <w:name w:val="Quote Char"/>
    <w:basedOn w:val="DefaultParagraphFont"/>
    <w:link w:val="Quote"/>
    <w:uiPriority w:val="29"/>
    <w:rsid w:val="003F6A95"/>
    <w:rPr>
      <w:i/>
      <w:iCs/>
      <w:color w:val="404040" w:themeColor="text1" w:themeTint="BF"/>
    </w:rPr>
  </w:style>
  <w:style w:type="paragraph" w:styleId="ListParagraph">
    <w:name w:val="List Paragraph"/>
    <w:basedOn w:val="Normal"/>
    <w:uiPriority w:val="34"/>
    <w:qFormat/>
    <w:rsid w:val="003F6A95"/>
    <w:pPr>
      <w:ind w:left="720"/>
      <w:contextualSpacing/>
    </w:pPr>
  </w:style>
  <w:style w:type="character" w:styleId="IntenseEmphasis">
    <w:name w:val="Intense Emphasis"/>
    <w:basedOn w:val="DefaultParagraphFont"/>
    <w:uiPriority w:val="21"/>
    <w:qFormat/>
    <w:rsid w:val="003F6A95"/>
    <w:rPr>
      <w:i/>
      <w:iCs/>
      <w:color w:val="0F4761" w:themeColor="accent1" w:themeShade="BF"/>
    </w:rPr>
  </w:style>
  <w:style w:type="paragraph" w:styleId="IntenseQuote">
    <w:name w:val="Intense Quote"/>
    <w:basedOn w:val="Normal"/>
    <w:next w:val="Normal"/>
    <w:link w:val="IntenseQuoteChar"/>
    <w:uiPriority w:val="30"/>
    <w:qFormat/>
    <w:rsid w:val="003F6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A95"/>
    <w:rPr>
      <w:i/>
      <w:iCs/>
      <w:color w:val="0F4761" w:themeColor="accent1" w:themeShade="BF"/>
    </w:rPr>
  </w:style>
  <w:style w:type="character" w:styleId="IntenseReference">
    <w:name w:val="Intense Reference"/>
    <w:basedOn w:val="DefaultParagraphFont"/>
    <w:uiPriority w:val="32"/>
    <w:qFormat/>
    <w:rsid w:val="003F6A95"/>
    <w:rPr>
      <w:b/>
      <w:bCs/>
      <w:smallCaps/>
      <w:color w:val="0F4761" w:themeColor="accent1" w:themeShade="BF"/>
      <w:spacing w:val="5"/>
    </w:rPr>
  </w:style>
  <w:style w:type="paragraph" w:styleId="Header">
    <w:name w:val="header"/>
    <w:basedOn w:val="Normal"/>
    <w:link w:val="HeaderChar"/>
    <w:uiPriority w:val="99"/>
    <w:unhideWhenUsed/>
    <w:rsid w:val="00AE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25D"/>
  </w:style>
  <w:style w:type="paragraph" w:styleId="Footer">
    <w:name w:val="footer"/>
    <w:basedOn w:val="Normal"/>
    <w:link w:val="FooterChar"/>
    <w:uiPriority w:val="99"/>
    <w:unhideWhenUsed/>
    <w:rsid w:val="00AE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25D"/>
  </w:style>
  <w:style w:type="character" w:styleId="Hyperlink">
    <w:name w:val="Hyperlink"/>
    <w:basedOn w:val="DefaultParagraphFont"/>
    <w:uiPriority w:val="99"/>
    <w:unhideWhenUsed/>
    <w:rsid w:val="00AE325D"/>
    <w:rPr>
      <w:color w:val="467886" w:themeColor="hyperlink"/>
      <w:u w:val="single"/>
    </w:rPr>
  </w:style>
  <w:style w:type="character" w:styleId="UnresolvedMention">
    <w:name w:val="Unresolved Mention"/>
    <w:basedOn w:val="DefaultParagraphFont"/>
    <w:uiPriority w:val="99"/>
    <w:semiHidden/>
    <w:unhideWhenUsed/>
    <w:rsid w:val="00073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089237">
      <w:bodyDiv w:val="1"/>
      <w:marLeft w:val="0"/>
      <w:marRight w:val="0"/>
      <w:marTop w:val="0"/>
      <w:marBottom w:val="0"/>
      <w:divBdr>
        <w:top w:val="none" w:sz="0" w:space="0" w:color="auto"/>
        <w:left w:val="none" w:sz="0" w:space="0" w:color="auto"/>
        <w:bottom w:val="none" w:sz="0" w:space="0" w:color="auto"/>
        <w:right w:val="none" w:sz="0" w:space="0" w:color="auto"/>
      </w:divBdr>
    </w:div>
    <w:div w:id="488207761">
      <w:bodyDiv w:val="1"/>
      <w:marLeft w:val="0"/>
      <w:marRight w:val="0"/>
      <w:marTop w:val="0"/>
      <w:marBottom w:val="0"/>
      <w:divBdr>
        <w:top w:val="none" w:sz="0" w:space="0" w:color="auto"/>
        <w:left w:val="none" w:sz="0" w:space="0" w:color="auto"/>
        <w:bottom w:val="none" w:sz="0" w:space="0" w:color="auto"/>
        <w:right w:val="none" w:sz="0" w:space="0" w:color="auto"/>
      </w:divBdr>
    </w:div>
    <w:div w:id="603616352">
      <w:bodyDiv w:val="1"/>
      <w:marLeft w:val="0"/>
      <w:marRight w:val="0"/>
      <w:marTop w:val="0"/>
      <w:marBottom w:val="0"/>
      <w:divBdr>
        <w:top w:val="none" w:sz="0" w:space="0" w:color="auto"/>
        <w:left w:val="none" w:sz="0" w:space="0" w:color="auto"/>
        <w:bottom w:val="none" w:sz="0" w:space="0" w:color="auto"/>
        <w:right w:val="none" w:sz="0" w:space="0" w:color="auto"/>
      </w:divBdr>
    </w:div>
    <w:div w:id="754327906">
      <w:bodyDiv w:val="1"/>
      <w:marLeft w:val="0"/>
      <w:marRight w:val="0"/>
      <w:marTop w:val="0"/>
      <w:marBottom w:val="0"/>
      <w:divBdr>
        <w:top w:val="none" w:sz="0" w:space="0" w:color="auto"/>
        <w:left w:val="none" w:sz="0" w:space="0" w:color="auto"/>
        <w:bottom w:val="none" w:sz="0" w:space="0" w:color="auto"/>
        <w:right w:val="none" w:sz="0" w:space="0" w:color="auto"/>
      </w:divBdr>
    </w:div>
    <w:div w:id="904533396">
      <w:bodyDiv w:val="1"/>
      <w:marLeft w:val="0"/>
      <w:marRight w:val="0"/>
      <w:marTop w:val="0"/>
      <w:marBottom w:val="0"/>
      <w:divBdr>
        <w:top w:val="none" w:sz="0" w:space="0" w:color="auto"/>
        <w:left w:val="none" w:sz="0" w:space="0" w:color="auto"/>
        <w:bottom w:val="none" w:sz="0" w:space="0" w:color="auto"/>
        <w:right w:val="none" w:sz="0" w:space="0" w:color="auto"/>
      </w:divBdr>
    </w:div>
    <w:div w:id="937517092">
      <w:bodyDiv w:val="1"/>
      <w:marLeft w:val="0"/>
      <w:marRight w:val="0"/>
      <w:marTop w:val="0"/>
      <w:marBottom w:val="0"/>
      <w:divBdr>
        <w:top w:val="none" w:sz="0" w:space="0" w:color="auto"/>
        <w:left w:val="none" w:sz="0" w:space="0" w:color="auto"/>
        <w:bottom w:val="none" w:sz="0" w:space="0" w:color="auto"/>
        <w:right w:val="none" w:sz="0" w:space="0" w:color="auto"/>
      </w:divBdr>
    </w:div>
    <w:div w:id="988096952">
      <w:bodyDiv w:val="1"/>
      <w:marLeft w:val="0"/>
      <w:marRight w:val="0"/>
      <w:marTop w:val="0"/>
      <w:marBottom w:val="0"/>
      <w:divBdr>
        <w:top w:val="none" w:sz="0" w:space="0" w:color="auto"/>
        <w:left w:val="none" w:sz="0" w:space="0" w:color="auto"/>
        <w:bottom w:val="none" w:sz="0" w:space="0" w:color="auto"/>
        <w:right w:val="none" w:sz="0" w:space="0" w:color="auto"/>
      </w:divBdr>
    </w:div>
    <w:div w:id="1446996304">
      <w:bodyDiv w:val="1"/>
      <w:marLeft w:val="0"/>
      <w:marRight w:val="0"/>
      <w:marTop w:val="0"/>
      <w:marBottom w:val="0"/>
      <w:divBdr>
        <w:top w:val="none" w:sz="0" w:space="0" w:color="auto"/>
        <w:left w:val="none" w:sz="0" w:space="0" w:color="auto"/>
        <w:bottom w:val="none" w:sz="0" w:space="0" w:color="auto"/>
        <w:right w:val="none" w:sz="0" w:space="0" w:color="auto"/>
      </w:divBdr>
    </w:div>
    <w:div w:id="1548451354">
      <w:bodyDiv w:val="1"/>
      <w:marLeft w:val="0"/>
      <w:marRight w:val="0"/>
      <w:marTop w:val="0"/>
      <w:marBottom w:val="0"/>
      <w:divBdr>
        <w:top w:val="none" w:sz="0" w:space="0" w:color="auto"/>
        <w:left w:val="none" w:sz="0" w:space="0" w:color="auto"/>
        <w:bottom w:val="none" w:sz="0" w:space="0" w:color="auto"/>
        <w:right w:val="none" w:sz="0" w:space="0" w:color="auto"/>
      </w:divBdr>
    </w:div>
    <w:div w:id="158125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98835" TargetMode="External"/><Relationship Id="rId3" Type="http://schemas.openxmlformats.org/officeDocument/2006/relationships/settings" Target="settings.xml"/><Relationship Id="rId7" Type="http://schemas.openxmlformats.org/officeDocument/2006/relationships/hyperlink" Target="https://covid19-lake.s3.amazonaws.com/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4236/jcc.2023.11700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nexford.instructure.com/courses/5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586</Words>
  <Characters>3689</Characters>
  <Application>Microsoft Office Word</Application>
  <DocSecurity>0</DocSecurity>
  <Lines>41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Voke Harrison Edafejimue</dc:creator>
  <cp:keywords/>
  <dc:description/>
  <cp:lastModifiedBy>Voke Harrison Edafejimue</cp:lastModifiedBy>
  <cp:revision>29</cp:revision>
  <dcterms:created xsi:type="dcterms:W3CDTF">2024-12-29T14:42:00Z</dcterms:created>
  <dcterms:modified xsi:type="dcterms:W3CDTF">2024-12-29T16:42:00Z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e3fca569-91e8-46d5-9045-819740e1e17e</vt:lpwstr>
  </property>
</Properties>
</file>