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right"/>
        <w:rPr>
          <w:rFonts w:ascii="Times New Roman" w:cs="Times New Roman" w:eastAsia="Times New Roman" w:hAnsi="Times New Roman"/>
        </w:rPr>
      </w:pPr>
      <w:bookmarkStart w:colFirst="0" w:colLast="0" w:name="_jnh47tjanw3r" w:id="0"/>
      <w:bookmarkEnd w:id="0"/>
      <w:r w:rsidDel="00000000" w:rsidR="00000000" w:rsidRPr="00000000">
        <w:rPr>
          <w:rFonts w:ascii="Times New Roman" w:cs="Times New Roman" w:eastAsia="Times New Roman" w:hAnsi="Times New Roman"/>
          <w:rtl w:val="0"/>
        </w:rPr>
        <w:t xml:space="preserve">Documento de Diseño</w:t>
      </w:r>
    </w:p>
    <w:p w:rsidR="00000000" w:rsidDel="00000000" w:rsidP="00000000" w:rsidRDefault="00000000" w:rsidRPr="00000000" w14:paraId="00000002">
      <w:pPr>
        <w:spacing w:line="36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spacing w:line="360" w:lineRule="auto"/>
        <w:jc w:val="both"/>
        <w:rPr>
          <w:rFonts w:ascii="Times New Roman" w:cs="Times New Roman" w:eastAsia="Times New Roman" w:hAnsi="Times New Roman"/>
        </w:rPr>
      </w:pPr>
      <w:bookmarkStart w:colFirst="0" w:colLast="0" w:name="_fp2h7vlobghl" w:id="1"/>
      <w:bookmarkEnd w:id="1"/>
      <w:r w:rsidDel="00000000" w:rsidR="00000000" w:rsidRPr="00000000">
        <w:rPr>
          <w:rFonts w:ascii="Times New Roman" w:cs="Times New Roman" w:eastAsia="Times New Roman" w:hAnsi="Times New Roman"/>
          <w:rtl w:val="0"/>
        </w:rPr>
        <w:t xml:space="preserve">Índice</w:t>
      </w:r>
    </w:p>
    <w:sdt>
      <w:sdtPr>
        <w:id w:val="-160776941"/>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p2h7vlobgh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xojkqssajt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Arquitectura</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xr0wv4jkk3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Modelo de Datos</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y1fcqjmb7k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Diagramas UML</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o14cubjm79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Diagrama de Clases</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jof6kivg25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Diagrama de Componentes</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8n32ud129u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Diagrama de Despliegue</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s9cecijzfv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Diagrama de Casos de Uso</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fgxkzb47xq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Diagrama de Secuencia</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1zgagdi7go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Diagrama de Actividades</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iegxq3cx78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Componentes</w:t>
              <w:tab/>
              <w:t xml:space="preserve">10</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iy6udtgigz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Consideraciones de diseño</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spacing w:line="36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line="360" w:lineRule="auto"/>
        <w:jc w:val="both"/>
        <w:rPr>
          <w:rFonts w:ascii="Times New Roman" w:cs="Times New Roman" w:eastAsia="Times New Roman" w:hAnsi="Times New Roman"/>
        </w:rPr>
      </w:pPr>
      <w:bookmarkStart w:colFirst="0" w:colLast="0" w:name="_dxojkqssajto" w:id="2"/>
      <w:bookmarkEnd w:id="2"/>
      <w:r w:rsidDel="00000000" w:rsidR="00000000" w:rsidRPr="00000000">
        <w:rPr>
          <w:rFonts w:ascii="Times New Roman" w:cs="Times New Roman" w:eastAsia="Times New Roman" w:hAnsi="Times New Roman"/>
          <w:rtl w:val="0"/>
        </w:rPr>
        <w:t xml:space="preserve">Arquitectura</w:t>
      </w:r>
    </w:p>
    <w:p w:rsidR="00000000" w:rsidDel="00000000" w:rsidP="00000000" w:rsidRDefault="00000000" w:rsidRPr="00000000" w14:paraId="0000001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Panoramap se organiza mediante tres capas lógicas: presentación, negocio/procesamiento y datos. Esta separación permite mantener la interfaz independiente de la lógica que gestiona la información y de los servicios que la almacenan.</w:t>
      </w:r>
    </w:p>
    <w:p w:rsidR="00000000" w:rsidDel="00000000" w:rsidP="00000000" w:rsidRDefault="00000000" w:rsidRPr="00000000" w14:paraId="0000001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8735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Capa de presentación</w:t>
      </w:r>
      <w:r w:rsidDel="00000000" w:rsidR="00000000" w:rsidRPr="00000000">
        <w:rPr>
          <w:rFonts w:ascii="Times New Roman" w:cs="Times New Roman" w:eastAsia="Times New Roman" w:hAnsi="Times New Roman"/>
          <w:rtl w:val="0"/>
        </w:rPr>
        <w:t xml:space="preserve">: corresponde a la aplicación desarrollada con Flutter. Incluye la interfaz, el mapa, la búsqueda y los filtros que permiten explorar eventos. La interfaz envía solicitudes a los servicios de la aplicación y presenta los resultados al usuario.</w:t>
      </w:r>
    </w:p>
    <w:p w:rsidR="00000000" w:rsidDel="00000000" w:rsidP="00000000" w:rsidRDefault="00000000" w:rsidRPr="00000000" w14:paraId="0000001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Capa de negocio y procesamiento</w:t>
      </w:r>
      <w:r w:rsidDel="00000000" w:rsidR="00000000" w:rsidRPr="00000000">
        <w:rPr>
          <w:rFonts w:ascii="Times New Roman" w:cs="Times New Roman" w:eastAsia="Times New Roman" w:hAnsi="Times New Roman"/>
          <w:rtl w:val="0"/>
        </w:rPr>
        <w:t xml:space="preserve">: agrupa la API, los módulos de eventos, la planificación de tareas y los procesos de ingesta. En esta capa se coordinan las solicitudes de la aplicación y la recopilación de información desde fuentes externas mediante API públicas y scrapers.</w:t>
      </w:r>
    </w:p>
    <w:p w:rsidR="00000000" w:rsidDel="00000000" w:rsidP="00000000" w:rsidRDefault="00000000" w:rsidRPr="00000000" w14:paraId="0000001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Capa de datos</w:t>
      </w:r>
      <w:r w:rsidDel="00000000" w:rsidR="00000000" w:rsidRPr="00000000">
        <w:rPr>
          <w:rFonts w:ascii="Times New Roman" w:cs="Times New Roman" w:eastAsia="Times New Roman" w:hAnsi="Times New Roman"/>
          <w:rtl w:val="0"/>
        </w:rPr>
        <w:t xml:space="preserve">: contempla PostgreSQL alojado en Neon como base de datos principal y Redis como servicio complementario de almacenamiento en memoria o caché, según la configuración representada en los diagramas.</w:t>
      </w:r>
    </w:p>
    <w:p w:rsidR="00000000" w:rsidDel="00000000" w:rsidP="00000000" w:rsidRDefault="00000000" w:rsidRPr="00000000" w14:paraId="0000001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Integraciones externas</w:t>
      </w:r>
      <w:r w:rsidDel="00000000" w:rsidR="00000000" w:rsidRPr="00000000">
        <w:rPr>
          <w:rFonts w:ascii="Times New Roman" w:cs="Times New Roman" w:eastAsia="Times New Roman" w:hAnsi="Times New Roman"/>
          <w:rtl w:val="0"/>
        </w:rPr>
        <w:t xml:space="preserve">: el sistema se comunica con servicios de mapas, geocodificación y fuentes públicas de eventos. Estas integraciones dependen de la disponibilidad y de las condiciones de acceso de cada proveedor.</w:t>
      </w:r>
    </w:p>
    <w:p w:rsidR="00000000" w:rsidDel="00000000" w:rsidP="00000000" w:rsidRDefault="00000000" w:rsidRPr="00000000" w14:paraId="0000001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pStyle w:val="Heading1"/>
        <w:spacing w:line="360" w:lineRule="auto"/>
        <w:jc w:val="both"/>
        <w:rPr>
          <w:rFonts w:ascii="Times New Roman" w:cs="Times New Roman" w:eastAsia="Times New Roman" w:hAnsi="Times New Roman"/>
        </w:rPr>
      </w:pPr>
      <w:bookmarkStart w:colFirst="0" w:colLast="0" w:name="_bxr0wv4jkk32" w:id="3"/>
      <w:bookmarkEnd w:id="3"/>
      <w:r w:rsidDel="00000000" w:rsidR="00000000" w:rsidRPr="00000000">
        <w:rPr>
          <w:rFonts w:ascii="Times New Roman" w:cs="Times New Roman" w:eastAsia="Times New Roman" w:hAnsi="Times New Roman"/>
          <w:rtl w:val="0"/>
        </w:rPr>
        <w:t xml:space="preserve">Modelo de Datos</w:t>
      </w:r>
    </w:p>
    <w:p w:rsidR="00000000" w:rsidDel="00000000" w:rsidP="00000000" w:rsidRDefault="00000000" w:rsidRPr="00000000" w14:paraId="0000001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de datos representa la información que la plataforma necesita para publicar, consultar y organizar eventos. Las entidades y sus relaciones permiten asociar cada evento con sus datos descriptivos, ubicación, fuente de origen y acciones realizadas por los usuarios, como guardar elementos de interés.</w:t>
      </w:r>
    </w:p>
    <w:p w:rsidR="00000000" w:rsidDel="00000000" w:rsidP="00000000" w:rsidRDefault="00000000" w:rsidRPr="00000000" w14:paraId="0000001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base de datos principal utiliza PostgreSQL a través de Neon. Las relaciones del diagrama buscan reducir la duplicación y mantener la consistencia entre registros. Antes de incorporar información recolectada desde fuentes externas, los procesos de ingesta deben normalizar los campos relevantes y validar los datos disponibles.</w:t>
      </w:r>
    </w:p>
    <w:p w:rsidR="00000000" w:rsidDel="00000000" w:rsidP="00000000" w:rsidRDefault="00000000" w:rsidRPr="00000000" w14:paraId="0000002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022600"/>
            <wp:effectExtent b="0" l="0" r="0" t="0"/>
            <wp:docPr id="5"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Nota</w:t>
      </w:r>
      <w:r w:rsidDel="00000000" w:rsidR="00000000" w:rsidRPr="00000000">
        <w:rPr>
          <w:rFonts w:ascii="Times New Roman" w:cs="Times New Roman" w:eastAsia="Times New Roman" w:hAnsi="Times New Roman"/>
          <w:rtl w:val="0"/>
        </w:rPr>
        <w:t xml:space="preserve">: el diagrama incluido es la referencia visual del modelo. Los atributos, claves y cardinalidades concretos deben interpretarse según lo representado en él; este texto describe su propósito general sin añadir campos que no estén especificados.</w:t>
      </w:r>
    </w:p>
    <w:p w:rsidR="00000000" w:rsidDel="00000000" w:rsidP="00000000" w:rsidRDefault="00000000" w:rsidRPr="00000000" w14:paraId="00000025">
      <w:pPr>
        <w:pStyle w:val="Heading1"/>
        <w:spacing w:line="360" w:lineRule="auto"/>
        <w:jc w:val="both"/>
        <w:rPr>
          <w:rFonts w:ascii="Times New Roman" w:cs="Times New Roman" w:eastAsia="Times New Roman" w:hAnsi="Times New Roman"/>
        </w:rPr>
      </w:pPr>
      <w:bookmarkStart w:colFirst="0" w:colLast="0" w:name="_iy1fcqjmb7kd" w:id="4"/>
      <w:bookmarkEnd w:id="4"/>
      <w:r w:rsidDel="00000000" w:rsidR="00000000" w:rsidRPr="00000000">
        <w:rPr>
          <w:rFonts w:ascii="Times New Roman" w:cs="Times New Roman" w:eastAsia="Times New Roman" w:hAnsi="Times New Roman"/>
          <w:rtl w:val="0"/>
        </w:rPr>
        <w:t xml:space="preserve">Diagramas UML</w:t>
      </w:r>
    </w:p>
    <w:p w:rsidR="00000000" w:rsidDel="00000000" w:rsidP="00000000" w:rsidRDefault="00000000" w:rsidRPr="00000000" w14:paraId="00000026">
      <w:pPr>
        <w:pStyle w:val="Heading2"/>
        <w:spacing w:line="360" w:lineRule="auto"/>
        <w:ind w:firstLine="720"/>
        <w:jc w:val="both"/>
        <w:rPr>
          <w:rFonts w:ascii="Times New Roman" w:cs="Times New Roman" w:eastAsia="Times New Roman" w:hAnsi="Times New Roman"/>
        </w:rPr>
      </w:pPr>
      <w:bookmarkStart w:colFirst="0" w:colLast="0" w:name="_to14cubjm79e" w:id="5"/>
      <w:bookmarkEnd w:id="5"/>
      <w:r w:rsidDel="00000000" w:rsidR="00000000" w:rsidRPr="00000000">
        <w:rPr>
          <w:rFonts w:ascii="Times New Roman" w:cs="Times New Roman" w:eastAsia="Times New Roman" w:hAnsi="Times New Roman"/>
          <w:rtl w:val="0"/>
        </w:rPr>
        <w:t xml:space="preserve">Diagrama de Clases</w:t>
      </w:r>
    </w:p>
    <w:p w:rsidR="00000000" w:rsidDel="00000000" w:rsidP="00000000" w:rsidRDefault="00000000" w:rsidRPr="00000000" w14:paraId="0000002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de clases muestra la estructura estática del sistema mediante las clases, atributos, operaciones y asociaciones representadas. Sirve como referencia para organizar las entidades del dominio y orientar la implementación de las funcionalidades de búsqueda, consulta y gestión de eventos.</w:t>
      </w:r>
    </w:p>
    <w:p w:rsidR="00000000" w:rsidDel="00000000" w:rsidP="00000000" w:rsidRDefault="00000000" w:rsidRPr="00000000" w14:paraId="0000002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relaciones entre clases deben mantenerse coherentes con el modelo de datos y con las responsabilidades de cada módulo. La persistencia y las reglas de negocio no deberían quedar concentradas en la interfaz gráfica.</w:t>
      </w:r>
    </w:p>
    <w:p w:rsidR="00000000" w:rsidDel="00000000" w:rsidP="00000000" w:rsidRDefault="00000000" w:rsidRPr="00000000" w14:paraId="0000002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0701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2"/>
        <w:spacing w:line="360" w:lineRule="auto"/>
        <w:ind w:firstLine="720"/>
        <w:jc w:val="both"/>
        <w:rPr>
          <w:rFonts w:ascii="Times New Roman" w:cs="Times New Roman" w:eastAsia="Times New Roman" w:hAnsi="Times New Roman"/>
        </w:rPr>
      </w:pPr>
      <w:bookmarkStart w:colFirst="0" w:colLast="0" w:name="_5jof6kivg25c" w:id="6"/>
      <w:bookmarkEnd w:id="6"/>
      <w:r w:rsidDel="00000000" w:rsidR="00000000" w:rsidRPr="00000000">
        <w:rPr>
          <w:rFonts w:ascii="Times New Roman" w:cs="Times New Roman" w:eastAsia="Times New Roman" w:hAnsi="Times New Roman"/>
          <w:rtl w:val="0"/>
        </w:rPr>
        <w:t xml:space="preserve">Diagrama de Componentes</w:t>
      </w:r>
    </w:p>
    <w:p w:rsidR="00000000" w:rsidDel="00000000" w:rsidP="00000000" w:rsidRDefault="00000000" w:rsidRPr="00000000" w14:paraId="0000002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de componentes presenta la organización modular de Panoramap y las interfaces que conectan sus partes. En el lado cliente se identifican componentes de interfaz, estado y mapa; en el backend se distinguen servicios de API, procesamiento de eventos, ingesta y almacenamiento.</w:t>
      </w:r>
    </w:p>
    <w:p w:rsidR="00000000" w:rsidDel="00000000" w:rsidP="00000000" w:rsidRDefault="00000000" w:rsidRPr="00000000" w14:paraId="0000002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módulos de ingesta obtienen información desde fuentes externas y la preparan para su almacenamiento. La API expone las operaciones que necesita la aplicación, mientras que los servicios de infraestructura aportan persistencia y capacidades auxiliares.</w:t>
      </w:r>
    </w:p>
    <w:p w:rsidR="00000000" w:rsidDel="00000000" w:rsidP="00000000" w:rsidRDefault="00000000" w:rsidRPr="00000000" w14:paraId="0000003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7846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2"/>
        <w:spacing w:line="360" w:lineRule="auto"/>
        <w:ind w:firstLine="720"/>
        <w:jc w:val="both"/>
        <w:rPr>
          <w:rFonts w:ascii="Times New Roman" w:cs="Times New Roman" w:eastAsia="Times New Roman" w:hAnsi="Times New Roman"/>
        </w:rPr>
      </w:pPr>
      <w:bookmarkStart w:colFirst="0" w:colLast="0" w:name="_j8n32ud129ue" w:id="7"/>
      <w:bookmarkEnd w:id="7"/>
      <w:r w:rsidDel="00000000" w:rsidR="00000000" w:rsidRPr="00000000">
        <w:rPr>
          <w:rFonts w:ascii="Times New Roman" w:cs="Times New Roman" w:eastAsia="Times New Roman" w:hAnsi="Times New Roman"/>
          <w:rtl w:val="0"/>
        </w:rPr>
        <w:t xml:space="preserve">Diagrama de Despliegue</w:t>
      </w:r>
    </w:p>
    <w:p w:rsidR="00000000" w:rsidDel="00000000" w:rsidP="00000000" w:rsidRDefault="00000000" w:rsidRPr="00000000" w14:paraId="0000003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de despliegue describe dónde se ejecutan los principales elementos del sistema y cómo se comunican. La aplicación se ejecuta en el dispositivo del usuario, mientras que los servicios de backend y los procesos de ingesta se alojan en Google Cloud Platform (GCP), de acuerdo con la arquitectura definida para el proyecto.</w:t>
      </w:r>
    </w:p>
    <w:p w:rsidR="00000000" w:rsidDel="00000000" w:rsidP="00000000" w:rsidRDefault="00000000" w:rsidRPr="00000000" w14:paraId="0000003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comunicación entre el cliente y los servicios se realiza mediante solicitudes HTTP/HTTPS según el flujo representado. PostgreSQL se aloja en Neon y Redis cumple una función complementaria. Esta distribución separa la experiencia de usuario de los procesos que requieren ejecución continua.</w:t>
      </w:r>
    </w:p>
    <w:p w:rsidR="00000000" w:rsidDel="00000000" w:rsidP="00000000" w:rsidRDefault="00000000" w:rsidRPr="00000000" w14:paraId="0000003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114800"/>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2"/>
        <w:spacing w:line="360" w:lineRule="auto"/>
        <w:ind w:firstLine="720"/>
        <w:jc w:val="both"/>
        <w:rPr>
          <w:rFonts w:ascii="Times New Roman" w:cs="Times New Roman" w:eastAsia="Times New Roman" w:hAnsi="Times New Roman"/>
        </w:rPr>
      </w:pPr>
      <w:bookmarkStart w:colFirst="0" w:colLast="0" w:name="_us9cecijzfv1" w:id="8"/>
      <w:bookmarkEnd w:id="8"/>
      <w:r w:rsidDel="00000000" w:rsidR="00000000" w:rsidRPr="00000000">
        <w:rPr>
          <w:rFonts w:ascii="Times New Roman" w:cs="Times New Roman" w:eastAsia="Times New Roman" w:hAnsi="Times New Roman"/>
          <w:rtl w:val="0"/>
        </w:rPr>
        <w:t xml:space="preserve">Diagrama de Casos de Uso</w:t>
      </w:r>
    </w:p>
    <w:p w:rsidR="00000000" w:rsidDel="00000000" w:rsidP="00000000" w:rsidRDefault="00000000" w:rsidRPr="00000000" w14:paraId="0000003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de casos de uso resume las interacciones que ofrece la plataforma desde la perspectiva del usuario. Entre las acciones representadas se encuentran explorar eventos cercanos, ajustar el radio de búsqueda, filtrar por tipo, buscar por nombre, revisar detalles y visualizar los resultados en una lista o en el mapa.</w:t>
      </w:r>
    </w:p>
    <w:p w:rsidR="00000000" w:rsidDel="00000000" w:rsidP="00000000" w:rsidRDefault="00000000" w:rsidRPr="00000000" w14:paraId="0000003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se consideran acciones relacionadas con la gestión de eventos y los elementos guardados, según los casos incluidos en el diagrama. El objetivo es delimitar las funcionalidades visibles para el usuario y relacionarlas con los servicios que debe proporcionar el sistema.</w:t>
      </w:r>
    </w:p>
    <w:p w:rsidR="00000000" w:rsidDel="00000000" w:rsidP="00000000" w:rsidRDefault="00000000" w:rsidRPr="00000000" w14:paraId="0000003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45770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2"/>
        <w:spacing w:line="360" w:lineRule="auto"/>
        <w:ind w:firstLine="720"/>
        <w:jc w:val="both"/>
        <w:rPr>
          <w:rFonts w:ascii="Times New Roman" w:cs="Times New Roman" w:eastAsia="Times New Roman" w:hAnsi="Times New Roman"/>
        </w:rPr>
      </w:pPr>
      <w:bookmarkStart w:colFirst="0" w:colLast="0" w:name="_qfgxkzb47xqq" w:id="9"/>
      <w:bookmarkEnd w:id="9"/>
      <w:r w:rsidDel="00000000" w:rsidR="00000000" w:rsidRPr="00000000">
        <w:rPr>
          <w:rFonts w:ascii="Times New Roman" w:cs="Times New Roman" w:eastAsia="Times New Roman" w:hAnsi="Times New Roman"/>
          <w:rtl w:val="0"/>
        </w:rPr>
        <w:t xml:space="preserve">Diagrama de Secuencia</w:t>
      </w:r>
    </w:p>
    <w:p w:rsidR="00000000" w:rsidDel="00000000" w:rsidP="00000000" w:rsidRDefault="00000000" w:rsidRPr="00000000" w14:paraId="0000003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de secuencia describe el intercambio de mensajes durante una consulta de eventos. El usuario inicia una búsqueda desde la aplicación; esta solicita los datos a la API, que consulta el módulo de eventos y la base de datos, y devuelve los resultados para que la interfaz los presente.</w:t>
      </w:r>
    </w:p>
    <w:p w:rsidR="00000000" w:rsidDel="00000000" w:rsidP="00000000" w:rsidRDefault="00000000" w:rsidRPr="00000000" w14:paraId="0000003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flujo contempla también la actualización de la visualización del mapa y el tratamiento de resultados vacíos o no disponibles. La separación de responsabilidades permite que la interfaz se centre en mostrar información, mientras que la API y los módulos de backend procesan la consulta.</w:t>
      </w:r>
    </w:p>
    <w:p w:rsidR="00000000" w:rsidDel="00000000" w:rsidP="00000000" w:rsidRDefault="00000000" w:rsidRPr="00000000" w14:paraId="0000003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292600"/>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2"/>
        <w:spacing w:line="360" w:lineRule="auto"/>
        <w:ind w:firstLine="720"/>
        <w:jc w:val="both"/>
        <w:rPr>
          <w:rFonts w:ascii="Times New Roman" w:cs="Times New Roman" w:eastAsia="Times New Roman" w:hAnsi="Times New Roman"/>
        </w:rPr>
      </w:pPr>
      <w:bookmarkStart w:colFirst="0" w:colLast="0" w:name="_k1zgagdi7got" w:id="10"/>
      <w:bookmarkEnd w:id="10"/>
      <w:r w:rsidDel="00000000" w:rsidR="00000000" w:rsidRPr="00000000">
        <w:rPr>
          <w:rFonts w:ascii="Times New Roman" w:cs="Times New Roman" w:eastAsia="Times New Roman" w:hAnsi="Times New Roman"/>
          <w:rtl w:val="0"/>
        </w:rPr>
        <w:t xml:space="preserve">Diagrama de Actividades</w:t>
      </w:r>
    </w:p>
    <w:p w:rsidR="00000000" w:rsidDel="00000000" w:rsidP="00000000" w:rsidRDefault="00000000" w:rsidRPr="00000000" w14:paraId="0000004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de actividades representa el flujo de trabajo general para buscar y visualizar panoramas. Comienza con el acceso a la aplicación y la configuración de la búsqueda; luego el usuario puede ingresar criterios, aplicar filtros y consultar los eventos obtenidos.</w:t>
      </w:r>
    </w:p>
    <w:p w:rsidR="00000000" w:rsidDel="00000000" w:rsidP="00000000" w:rsidRDefault="00000000" w:rsidRPr="00000000" w14:paraId="0000004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 los resultados, el flujo permite revisar información y elegir la forma de visualización disponible. Las decisiones y caminos alternativos reflejan que el resultado depende de los criterios ingresados y de la existencia de eventos que coincidan con ellos.</w:t>
      </w:r>
    </w:p>
    <w:p w:rsidR="00000000" w:rsidDel="00000000" w:rsidP="00000000" w:rsidRDefault="00000000" w:rsidRPr="00000000" w14:paraId="0000004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8420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1"/>
        <w:spacing w:line="360" w:lineRule="auto"/>
        <w:jc w:val="both"/>
        <w:rPr>
          <w:rFonts w:ascii="Times New Roman" w:cs="Times New Roman" w:eastAsia="Times New Roman" w:hAnsi="Times New Roman"/>
        </w:rPr>
      </w:pPr>
      <w:bookmarkStart w:colFirst="0" w:colLast="0" w:name="_1iegxq3cx78y" w:id="11"/>
      <w:bookmarkEnd w:id="11"/>
      <w:r w:rsidDel="00000000" w:rsidR="00000000" w:rsidRPr="00000000">
        <w:rPr>
          <w:rFonts w:ascii="Times New Roman" w:cs="Times New Roman" w:eastAsia="Times New Roman" w:hAnsi="Times New Roman"/>
          <w:rtl w:val="0"/>
        </w:rPr>
        <w:t xml:space="preserve">Componentes</w:t>
      </w:r>
    </w:p>
    <w:p w:rsidR="00000000" w:rsidDel="00000000" w:rsidP="00000000" w:rsidRDefault="00000000" w:rsidRPr="00000000" w14:paraId="0000004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sección resume los componentes tecnológicos y funcionales identificados en los diagramas de arquitectura y despliegue.</w:t>
      </w:r>
    </w:p>
    <w:p w:rsidR="00000000" w:rsidDel="00000000" w:rsidP="00000000" w:rsidRDefault="00000000" w:rsidRPr="00000000" w14:paraId="0000004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keepNext w:val="0"/>
        <w:keepLines w:val="0"/>
        <w:spacing w:line="360" w:lineRule="auto"/>
        <w:ind w:left="0"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Aplicación cliente (Flutter)</w:t>
      </w:r>
    </w:p>
    <w:p w:rsidR="00000000" w:rsidDel="00000000" w:rsidP="00000000" w:rsidRDefault="00000000" w:rsidRPr="00000000" w14:paraId="0000004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Interfaz móvil desde la que se realizan búsquedas, se consultan fichas de eventos y se visualizan ubicaciones en el mapa.</w:t>
      </w:r>
    </w:p>
    <w:p w:rsidR="00000000" w:rsidDel="00000000" w:rsidP="00000000" w:rsidRDefault="00000000" w:rsidRPr="00000000" w14:paraId="0000004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keepNext w:val="0"/>
        <w:keepLines w:val="0"/>
        <w:spacing w:after="8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API REST</w:t>
      </w:r>
    </w:p>
    <w:p w:rsidR="00000000" w:rsidDel="00000000" w:rsidP="00000000" w:rsidRDefault="00000000" w:rsidRPr="00000000" w14:paraId="0000004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Punto de comunicación entre la aplicación cliente y la lógica del servidor. Recibe solicitudes, coordina consultas y entrega resultados a la interfaz.</w:t>
      </w:r>
    </w:p>
    <w:p w:rsidR="00000000" w:rsidDel="00000000" w:rsidP="00000000" w:rsidRDefault="00000000" w:rsidRPr="00000000" w14:paraId="0000004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keepNext w:val="0"/>
        <w:keepLines w:val="0"/>
        <w:spacing w:after="8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Módulo de eventos</w:t>
      </w:r>
    </w:p>
    <w:p w:rsidR="00000000" w:rsidDel="00000000" w:rsidP="00000000" w:rsidRDefault="00000000" w:rsidRPr="00000000" w14:paraId="0000004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operaciones relacionadas con la consulta y organización de eventos almacenados, incluyendo la entrega de resultados para búsqueda y visualización.</w:t>
      </w:r>
    </w:p>
    <w:p w:rsidR="00000000" w:rsidDel="00000000" w:rsidP="00000000" w:rsidRDefault="00000000" w:rsidRPr="00000000" w14:paraId="0000005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keepNext w:val="0"/>
        <w:keepLines w:val="0"/>
        <w:spacing w:after="8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Módulos de ingesta y scraping</w:t>
      </w:r>
    </w:p>
    <w:p w:rsidR="00000000" w:rsidDel="00000000" w:rsidP="00000000" w:rsidRDefault="00000000" w:rsidRPr="00000000" w14:paraId="0000005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Obtienen información desde fuentes externas públicas o accesibles. Los datos recolectados deben normalizarse y revisarse antes de incorporarse al sistema.</w:t>
      </w:r>
    </w:p>
    <w:p w:rsidR="00000000" w:rsidDel="00000000" w:rsidP="00000000" w:rsidRDefault="00000000" w:rsidRPr="00000000" w14:paraId="0000005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keepNext w:val="0"/>
        <w:keepLines w:val="0"/>
        <w:spacing w:after="8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Planificador de tareas</w:t>
      </w:r>
    </w:p>
    <w:p w:rsidR="00000000" w:rsidDel="00000000" w:rsidP="00000000" w:rsidRDefault="00000000" w:rsidRPr="00000000" w14:paraId="0000005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 la ejecución periódica de procesos de ingesta para mantener actualizada la información disponible.</w:t>
      </w:r>
    </w:p>
    <w:p w:rsidR="00000000" w:rsidDel="00000000" w:rsidP="00000000" w:rsidRDefault="00000000" w:rsidRPr="00000000" w14:paraId="0000005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keepNext w:val="0"/>
        <w:keepLines w:val="0"/>
        <w:spacing w:after="8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PostgreSQL en Neon</w:t>
      </w:r>
    </w:p>
    <w:p w:rsidR="00000000" w:rsidDel="00000000" w:rsidP="00000000" w:rsidRDefault="00000000" w:rsidRPr="00000000" w14:paraId="0000005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Almacenamiento relacional principal para conservar los datos estructurados de la plataforma.</w:t>
      </w:r>
    </w:p>
    <w:p w:rsidR="00000000" w:rsidDel="00000000" w:rsidP="00000000" w:rsidRDefault="00000000" w:rsidRPr="00000000" w14:paraId="0000005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keepNext w:val="0"/>
        <w:keepLines w:val="0"/>
        <w:spacing w:after="8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Redis</w:t>
      </w:r>
    </w:p>
    <w:p w:rsidR="00000000" w:rsidDel="00000000" w:rsidP="00000000" w:rsidRDefault="00000000" w:rsidRPr="00000000" w14:paraId="0000005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 complementario de almacenamiento en memoria o caché, utilizado de acuerdo con la configuración de infraestructura del proyecto.</w:t>
      </w:r>
    </w:p>
    <w:p w:rsidR="00000000" w:rsidDel="00000000" w:rsidP="00000000" w:rsidRDefault="00000000" w:rsidRPr="00000000" w14:paraId="0000005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keepNext w:val="0"/>
        <w:keepLines w:val="0"/>
        <w:spacing w:after="8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Servicios de mapas y geocodificación</w:t>
      </w:r>
    </w:p>
    <w:p w:rsidR="00000000" w:rsidDel="00000000" w:rsidP="00000000" w:rsidRDefault="00000000" w:rsidRPr="00000000" w14:paraId="0000005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Integraciones externas que permiten representar ubicaciones, obtener datos geográficos y apoyar la búsqueda de eventos cercanos.</w:t>
      </w:r>
    </w:p>
    <w:p w:rsidR="00000000" w:rsidDel="00000000" w:rsidP="00000000" w:rsidRDefault="00000000" w:rsidRPr="00000000" w14:paraId="0000005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keepNext w:val="0"/>
        <w:keepLines w:val="0"/>
        <w:spacing w:after="8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Fuentes externas de eventos</w:t>
      </w:r>
    </w:p>
    <w:p w:rsidR="00000000" w:rsidDel="00000000" w:rsidP="00000000" w:rsidRDefault="00000000" w:rsidRPr="00000000" w14:paraId="0000006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públicas y páginas web desde las que se obtiene información. La disponibilidad, los formatos y las condiciones de acceso pueden variar entre proveedores.</w:t>
      </w:r>
    </w:p>
    <w:p w:rsidR="00000000" w:rsidDel="00000000" w:rsidP="00000000" w:rsidRDefault="00000000" w:rsidRPr="00000000" w14:paraId="0000006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keepNext w:val="0"/>
        <w:keepLines w:val="0"/>
        <w:spacing w:after="8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Infraestructura en Google Cloud Platform</w:t>
      </w:r>
    </w:p>
    <w:p w:rsidR="00000000" w:rsidDel="00000000" w:rsidP="00000000" w:rsidRDefault="00000000" w:rsidRPr="00000000" w14:paraId="0000006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Entorno destinado a ejecutar los servicios backend y los procesos de ingesta de forma continua, con posibilidad de escalar según las necesidades del proyecto.</w:t>
      </w:r>
    </w:p>
    <w:p w:rsidR="00000000" w:rsidDel="00000000" w:rsidP="00000000" w:rsidRDefault="00000000" w:rsidRPr="00000000" w14:paraId="00000065">
      <w:pPr>
        <w:pStyle w:val="Heading2"/>
        <w:keepNext w:val="0"/>
        <w:keepLines w:val="0"/>
        <w:spacing w:before="480" w:line="360" w:lineRule="auto"/>
        <w:jc w:val="both"/>
        <w:rPr>
          <w:rFonts w:ascii="Times New Roman" w:cs="Times New Roman" w:eastAsia="Times New Roman" w:hAnsi="Times New Roman"/>
        </w:rPr>
      </w:pPr>
      <w:bookmarkStart w:colFirst="0" w:colLast="0" w:name="_hiy6udtgigzj" w:id="12"/>
      <w:bookmarkEnd w:id="12"/>
      <w:r w:rsidDel="00000000" w:rsidR="00000000" w:rsidRPr="00000000">
        <w:rPr>
          <w:rFonts w:ascii="Times New Roman" w:cs="Times New Roman" w:eastAsia="Times New Roman" w:hAnsi="Times New Roman"/>
          <w:rtl w:val="0"/>
        </w:rPr>
        <w:t xml:space="preserve">Consideraciones de diseño</w:t>
      </w:r>
    </w:p>
    <w:p w:rsidR="00000000" w:rsidDel="00000000" w:rsidP="00000000" w:rsidRDefault="00000000" w:rsidRPr="00000000" w14:paraId="0000006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solución prioriza la separación entre presentación, lógica de negocio y persistencia, junto con una arquitectura modular que permite mantener la aplicación y los procesos de recopilación de datos de manera independiente.</w:t>
      </w:r>
    </w:p>
    <w:p w:rsidR="00000000" w:rsidDel="00000000" w:rsidP="00000000" w:rsidRDefault="00000000" w:rsidRPr="00000000" w14:paraId="0000006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 los principales riesgos técnicos se encuentran los cambios en las fuentes externas, las restricciones de acceso automatizado, la calidad de los datos y la disponibilidad de los servicios de terceros. Por ello, se recomienda validar los datos antes de publicarlos, manejar errores de conexión y evitar que la aplicación dependa de una única fuente.</w:t>
      </w:r>
    </w:p>
    <w:p w:rsidR="00000000" w:rsidDel="00000000" w:rsidP="00000000" w:rsidRDefault="00000000" w:rsidRPr="00000000" w14:paraId="0000006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trabajo pendiente, conviene verificar que los nombres de clases, módulos, tablas y servicios del documento coincidan exactamente con la implementación vigente. También se deben documentar las decisiones finales de autenticación, autorización, protección de datos, monitoreo y respaldo cuando estas funcionalidades se incorporen al alcance.</w:t>
      </w:r>
    </w:p>
    <w:p w:rsidR="00000000" w:rsidDel="00000000" w:rsidP="00000000" w:rsidRDefault="00000000" w:rsidRPr="00000000" w14:paraId="0000006B">
      <w:pPr>
        <w:spacing w:line="360" w:lineRule="auto"/>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4.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