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spacing w:line="360" w:lineRule="auto"/>
        <w:jc w:val="right"/>
        <w:rPr>
          <w:rFonts w:ascii="Times New Roman" w:cs="Times New Roman" w:eastAsia="Times New Roman" w:hAnsi="Times New Roman"/>
          <w:b w:val="1"/>
          <w:bCs w:val="1"/>
        </w:rPr>
      </w:pPr>
      <w:bookmarkStart w:colFirst="0" w:colLast="0" w:name="_pxx9x4g0065e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Plan de gestión de riesgos</w:t>
      </w:r>
    </w:p>
    <w:p w:rsidR="00000000" w:rsidDel="00000000" w:rsidP="00000000" w:rsidRDefault="00000000" w:rsidRPr="00000000" w14:paraId="00000002">
      <w:pPr>
        <w:spacing w:line="3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spacing w:line="360" w:lineRule="auto"/>
        <w:rPr>
          <w:rFonts w:ascii="Times New Roman" w:cs="Times New Roman" w:eastAsia="Times New Roman" w:hAnsi="Times New Roman"/>
        </w:rPr>
      </w:pPr>
      <w:bookmarkStart w:colFirst="0" w:colLast="0" w:name="_g6zr2ivt3566" w:id="1"/>
      <w:bookmarkEnd w:id="1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Índice</w:t>
      </w:r>
    </w:p>
    <w:sdt>
      <w:sdtPr>
        <w:id w:val="-2144582910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04">
          <w:pPr>
            <w:widowControl w:val="0"/>
            <w:tabs>
              <w:tab w:val="right" w:leader="dot" w:pos="12000"/>
            </w:tabs>
            <w:spacing w:before="60" w:line="360" w:lineRule="auto"/>
            <w:rPr>
              <w:rFonts w:ascii="Times New Roman" w:cs="Times New Roman" w:eastAsia="Times New Roman" w:hAnsi="Times New Roman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_g6zr2ivt3566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Índice</w:t>
              <w:tab/>
              <w:t xml:space="preserve">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5">
          <w:pPr>
            <w:widowControl w:val="0"/>
            <w:tabs>
              <w:tab w:val="right" w:leader="dot" w:pos="12000"/>
            </w:tabs>
            <w:spacing w:before="60" w:line="360" w:lineRule="auto"/>
            <w:rPr>
              <w:rFonts w:ascii="Times New Roman" w:cs="Times New Roman" w:eastAsia="Times New Roman" w:hAnsi="Times New Roman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aviw9kudk2sj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Introducción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6">
          <w:pPr>
            <w:widowControl w:val="0"/>
            <w:tabs>
              <w:tab w:val="right" w:leader="dot" w:pos="12000"/>
            </w:tabs>
            <w:spacing w:before="60" w:line="360" w:lineRule="auto"/>
            <w:rPr>
              <w:rFonts w:ascii="Times New Roman" w:cs="Times New Roman" w:eastAsia="Times New Roman" w:hAnsi="Times New Roman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jlybrixfldyr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Metodología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7">
          <w:pPr>
            <w:widowControl w:val="0"/>
            <w:tabs>
              <w:tab w:val="right" w:leader="dot" w:pos="12000"/>
            </w:tabs>
            <w:spacing w:before="60" w:line="360" w:lineRule="auto"/>
            <w:rPr>
              <w:rFonts w:ascii="Times New Roman" w:cs="Times New Roman" w:eastAsia="Times New Roman" w:hAnsi="Times New Roman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ufqgl18nvcdc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Estructura de desglose de riesgos (RBS)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8">
          <w:pPr>
            <w:widowControl w:val="0"/>
            <w:tabs>
              <w:tab w:val="right" w:leader="dot" w:pos="12000"/>
            </w:tabs>
            <w:spacing w:before="60" w:line="360" w:lineRule="auto"/>
            <w:rPr>
              <w:rFonts w:ascii="Times New Roman" w:cs="Times New Roman" w:eastAsia="Times New Roman" w:hAnsi="Times New Roman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21hozymlfvk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Matriz de evaluación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9">
          <w:pPr>
            <w:widowControl w:val="0"/>
            <w:tabs>
              <w:tab w:val="right" w:leader="dot" w:pos="12000"/>
            </w:tabs>
            <w:spacing w:before="60" w:line="360" w:lineRule="auto"/>
            <w:rPr>
              <w:rFonts w:ascii="Times New Roman" w:cs="Times New Roman" w:eastAsia="Times New Roman" w:hAnsi="Times New Roman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6ke8msc5ibai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Identificación de riesgos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A">
          <w:pPr>
            <w:widowControl w:val="0"/>
            <w:tabs>
              <w:tab w:val="right" w:leader="dot" w:pos="12000"/>
            </w:tabs>
            <w:spacing w:before="60" w:line="360" w:lineRule="auto"/>
            <w:rPr>
              <w:rFonts w:ascii="Times New Roman" w:cs="Times New Roman" w:eastAsia="Times New Roman" w:hAnsi="Times New Roman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co5uar3qk5c3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Estrategias de respuesta a los riesgos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B">
          <w:pPr>
            <w:widowControl w:val="0"/>
            <w:tabs>
              <w:tab w:val="right" w:leader="dot" w:pos="12000"/>
            </w:tabs>
            <w:spacing w:before="60" w:line="360" w:lineRule="auto"/>
            <w:rPr>
              <w:rFonts w:ascii="Times New Roman" w:cs="Times New Roman" w:eastAsia="Times New Roman" w:hAnsi="Times New Roman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6hpturj04rg7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Monitoreo, control y reporte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C">
          <w:pPr>
            <w:widowControl w:val="0"/>
            <w:tabs>
              <w:tab w:val="right" w:leader="dot" w:pos="12000"/>
            </w:tabs>
            <w:spacing w:before="60" w:line="360" w:lineRule="auto"/>
            <w:rPr>
              <w:rFonts w:ascii="Times New Roman" w:cs="Times New Roman" w:eastAsia="Times New Roman" w:hAnsi="Times New Roman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bsvbi7163jyi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Anexos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0D">
      <w:pPr>
        <w:spacing w:line="3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1"/>
        <w:spacing w:line="360" w:lineRule="auto"/>
        <w:rPr>
          <w:rFonts w:ascii="Times New Roman" w:cs="Times New Roman" w:eastAsia="Times New Roman" w:hAnsi="Times New Roman"/>
        </w:rPr>
      </w:pPr>
      <w:bookmarkStart w:colFirst="0" w:colLast="0" w:name="_aviw9kudk2sj" w:id="2"/>
      <w:bookmarkEnd w:id="2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Introducción</w:t>
      </w:r>
    </w:p>
    <w:p w:rsidR="00000000" w:rsidDel="00000000" w:rsidP="00000000" w:rsidRDefault="00000000" w:rsidRPr="00000000" w14:paraId="0000000F">
      <w:pPr>
        <w:spacing w:line="3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El presente Plan de Gestión de Riesgos establece la forma en que el proyecto Panoramap identifica, evalúa, responde y realiza seguimiento a los riesgos que pueden afectar su desarrollo. El documento se construye a partir del listado de riesgos entregado para el proyecto, considerando amenazas y oportunidades relacionadas con factores externos, técnicos, organizacionales y de gestión. Debido a que Panoramap corresponde a un proyecto desarrollado por un equipo universitario, las respuestas propuestas buscan ser aplicables con recursos acotados y sin depender de soluciones de alto costo.</w:t>
      </w:r>
    </w:p>
    <w:p w:rsidR="00000000" w:rsidDel="00000000" w:rsidP="00000000" w:rsidRDefault="00000000" w:rsidRPr="00000000" w14:paraId="00000010">
      <w:pPr>
        <w:pStyle w:val="Heading1"/>
        <w:spacing w:line="360" w:lineRule="auto"/>
        <w:rPr>
          <w:rFonts w:ascii="Times New Roman" w:cs="Times New Roman" w:eastAsia="Times New Roman" w:hAnsi="Times New Roman"/>
        </w:rPr>
      </w:pPr>
      <w:bookmarkStart w:colFirst="0" w:colLast="0" w:name="_jlybrixfldyr" w:id="3"/>
      <w:bookmarkEnd w:id="3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Metodología</w:t>
      </w:r>
    </w:p>
    <w:p w:rsidR="00000000" w:rsidDel="00000000" w:rsidP="00000000" w:rsidRDefault="00000000" w:rsidRPr="00000000" w14:paraId="00000011">
      <w:pPr>
        <w:spacing w:line="3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La gestión se inicia con la identificación de los riesgos y oportunidades registrados en el listado. Cada registro considera su causa, tipo, categoría, prioridad, estrategia y plan de respuesta. Posteriormente, los riesgos se valoran mediante cuatro criterios: gravedad, importancia, probabilidad e impacto, cada uno con una escala de 1 a 5. El puntaje se obtiene sumando estos cuatro valores y permite clasificar los riesgos en cuatro niveles: Bajo (1–8), Medio (9–12), Alto (13–16) y Crítico (17–20). Esta clasificación permite concentrar el seguimiento en los riesgos que podrían afectar con mayor fuerza el cumplimiento del proyecto y su fecha de entrega.</w:t>
      </w:r>
    </w:p>
    <w:p w:rsidR="00000000" w:rsidDel="00000000" w:rsidP="00000000" w:rsidRDefault="00000000" w:rsidRPr="00000000" w14:paraId="00000012">
      <w:pPr>
        <w:pStyle w:val="Heading1"/>
        <w:spacing w:line="360" w:lineRule="auto"/>
        <w:rPr>
          <w:rFonts w:ascii="Times New Roman" w:cs="Times New Roman" w:eastAsia="Times New Roman" w:hAnsi="Times New Roman"/>
        </w:rPr>
      </w:pPr>
      <w:bookmarkStart w:colFirst="0" w:colLast="0" w:name="_ufqgl18nvcdc" w:id="4"/>
      <w:bookmarkEnd w:id="4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Estructura de desglose de riesgos (RBS)</w:t>
      </w:r>
    </w:p>
    <w:p w:rsidR="00000000" w:rsidDel="00000000" w:rsidP="00000000" w:rsidRDefault="00000000" w:rsidRPr="00000000" w14:paraId="00000013">
      <w:pPr>
        <w:spacing w:line="3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La RBS organiza los riesgos de Panoramap desde el nivel general del proyecto hacia categorías y subcategorías más específicas.</w:t>
      </w:r>
    </w:p>
    <w:p w:rsidR="00000000" w:rsidDel="00000000" w:rsidP="00000000" w:rsidRDefault="00000000" w:rsidRPr="00000000" w14:paraId="00000014">
      <w:pPr>
        <w:spacing w:line="36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5048250" cy="64008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48250" cy="6400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1"/>
        <w:spacing w:line="360" w:lineRule="auto"/>
        <w:rPr>
          <w:rFonts w:ascii="Times New Roman" w:cs="Times New Roman" w:eastAsia="Times New Roman" w:hAnsi="Times New Roman"/>
        </w:rPr>
      </w:pPr>
      <w:bookmarkStart w:colFirst="0" w:colLast="0" w:name="_21hozymlfvk" w:id="5"/>
      <w:bookmarkEnd w:id="5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Matriz de evaluación</w:t>
      </w:r>
    </w:p>
    <w:p w:rsidR="00000000" w:rsidDel="00000000" w:rsidP="00000000" w:rsidRDefault="00000000" w:rsidRPr="00000000" w14:paraId="00000016">
      <w:pPr>
        <w:spacing w:line="3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La evaluación utiliza una escala de 1 a 5 para gravedad, importancia, probabilidad e impacto. El puntaje corresponde a la suma de estos cuatro criterios. Según el archivo de evaluación, la clasificación utilizada es la siguiente:</w:t>
      </w:r>
    </w:p>
    <w:p w:rsidR="00000000" w:rsidDel="00000000" w:rsidP="00000000" w:rsidRDefault="00000000" w:rsidRPr="00000000" w14:paraId="00000017">
      <w:pPr>
        <w:spacing w:line="3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line="3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25.511811023624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2993.683720569412"/>
        <w:gridCol w:w="2964.043287692487"/>
        <w:gridCol w:w="3067.7848027617247"/>
        <w:tblGridChange w:id="0">
          <w:tblGrid>
            <w:gridCol w:w="2993.683720569412"/>
            <w:gridCol w:w="2964.043287692487"/>
            <w:gridCol w:w="3067.7848027617247"/>
          </w:tblGrid>
        </w:tblGridChange>
      </w:tblGrid>
      <w:tr>
        <w:trPr>
          <w:cantSplit w:val="0"/>
          <w:trHeight w:val="22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spacing w:line="360" w:lineRule="auto"/>
              <w:rPr>
                <w:rFonts w:ascii="Times New Roman" w:cs="Times New Roman" w:eastAsia="Times New Roman" w:hAnsi="Times New Roman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6"/>
                <w:szCs w:val="16"/>
                <w:rtl w:val="0"/>
              </w:rPr>
              <w:t xml:space="preserve">Puntaje</w:t>
            </w:r>
          </w:p>
        </w:tc>
        <w:tc>
          <w:tcPr>
            <w:tcBorders>
              <w:top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spacing w:line="360" w:lineRule="auto"/>
              <w:rPr>
                <w:rFonts w:ascii="Times New Roman" w:cs="Times New Roman" w:eastAsia="Times New Roman" w:hAnsi="Times New Roman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6"/>
                <w:szCs w:val="16"/>
                <w:rtl w:val="0"/>
              </w:rPr>
              <w:t xml:space="preserve">Nivel</w:t>
            </w:r>
          </w:p>
        </w:tc>
        <w:tc>
          <w:tcPr>
            <w:tcBorders>
              <w:top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spacing w:line="360" w:lineRule="auto"/>
              <w:rPr>
                <w:rFonts w:ascii="Times New Roman" w:cs="Times New Roman" w:eastAsia="Times New Roman" w:hAnsi="Times New Roman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6"/>
                <w:szCs w:val="16"/>
                <w:rtl w:val="0"/>
              </w:rPr>
              <w:t xml:space="preserve">Criterio de uso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spacing w:line="360" w:lineRule="auto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1–8</w:t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spacing w:line="360" w:lineRule="auto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Bajo</w:t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spacing w:line="360" w:lineRule="auto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Seguimiento simple; aplicar las medidas definidas cuando corresponda.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spacing w:line="360" w:lineRule="auto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9–12</w:t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spacing w:line="360" w:lineRule="auto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Medio</w:t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spacing w:line="360" w:lineRule="auto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Mantener seguimiento periódico y aplicar medidas preventivas.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spacing w:line="360" w:lineRule="auto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13–16</w:t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spacing w:line="360" w:lineRule="auto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Alto</w:t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spacing w:line="360" w:lineRule="auto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Requiere seguimiento frecuente y acciones concretas de respuesta.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spacing w:line="360" w:lineRule="auto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17–20</w:t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spacing w:line="360" w:lineRule="auto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Crítico</w:t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spacing w:line="360" w:lineRule="auto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Prioridad alta; requiere atención y control cercano del equipo.</w:t>
            </w:r>
          </w:p>
        </w:tc>
      </w:tr>
    </w:tbl>
    <w:p w:rsidR="00000000" w:rsidDel="00000000" w:rsidP="00000000" w:rsidRDefault="00000000" w:rsidRPr="00000000" w14:paraId="00000028">
      <w:pPr>
        <w:spacing w:line="3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line="3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En el listado evaluado se registran 144 riesgos. La distribución es: 11 bajos, 31 medios, 42 altos y 60 críticos. Esto muestra que una parte importante de los riesgos requiere seguimiento durante el desarrollo, especialmente aquellos relacionados con la continuidad de la plataforma, integración, rendimiento, disponibilidad de servicios y cumplimiento de la fecha final.</w:t>
      </w:r>
    </w:p>
    <w:p w:rsidR="00000000" w:rsidDel="00000000" w:rsidP="00000000" w:rsidRDefault="00000000" w:rsidRPr="00000000" w14:paraId="0000002A">
      <w:pPr>
        <w:pStyle w:val="Heading1"/>
        <w:spacing w:line="360" w:lineRule="auto"/>
        <w:rPr>
          <w:rFonts w:ascii="Times New Roman" w:cs="Times New Roman" w:eastAsia="Times New Roman" w:hAnsi="Times New Roman"/>
        </w:rPr>
      </w:pPr>
      <w:bookmarkStart w:colFirst="0" w:colLast="0" w:name="_6ke8msc5ibai" w:id="6"/>
      <w:bookmarkEnd w:id="6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Identificación de riesgos</w:t>
      </w:r>
    </w:p>
    <w:p w:rsidR="00000000" w:rsidDel="00000000" w:rsidP="00000000" w:rsidRDefault="00000000" w:rsidRPr="00000000" w14:paraId="0000002B">
      <w:pPr>
        <w:spacing w:line="3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 continuación se presentan algunos de los riesgos registrados en el listado, para revisar la totalidad de los riesgos y en mayor detalle, se recomienda revisar el archivo “Listado de Riesgos” referenciado en los anexos.</w:t>
      </w:r>
    </w:p>
    <w:p w:rsidR="00000000" w:rsidDel="00000000" w:rsidP="00000000" w:rsidRDefault="00000000" w:rsidRPr="00000000" w14:paraId="0000002C">
      <w:pPr>
        <w:spacing w:line="3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line="3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5731200" cy="2603500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603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1"/>
        <w:spacing w:line="360" w:lineRule="auto"/>
        <w:rPr>
          <w:rFonts w:ascii="Times New Roman" w:cs="Times New Roman" w:eastAsia="Times New Roman" w:hAnsi="Times New Roman"/>
        </w:rPr>
      </w:pPr>
      <w:bookmarkStart w:colFirst="0" w:colLast="0" w:name="_co5uar3qk5c3" w:id="7"/>
      <w:bookmarkEnd w:id="7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Estrategias de respuesta a los riesgos</w:t>
      </w:r>
    </w:p>
    <w:p w:rsidR="00000000" w:rsidDel="00000000" w:rsidP="00000000" w:rsidRDefault="00000000" w:rsidRPr="00000000" w14:paraId="0000002F">
      <w:pPr>
        <w:spacing w:line="3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Las estrategias y planes de respuesta se toman del listado de riesgos y se presentan de manera conjunta para facilitar su aplicación. Las medidas consideran el contexto del proyecto, por lo que priorizan acciones de bajo costo, organización del trabajo, respaldos, pruebas y uso eficiente de herramientas disponibles.</w:t>
      </w:r>
    </w:p>
    <w:p w:rsidR="00000000" w:rsidDel="00000000" w:rsidP="00000000" w:rsidRDefault="00000000" w:rsidRPr="00000000" w14:paraId="00000030">
      <w:pPr>
        <w:spacing w:line="36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5731200" cy="35560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556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1"/>
        <w:spacing w:line="360" w:lineRule="auto"/>
        <w:rPr>
          <w:rFonts w:ascii="Times New Roman" w:cs="Times New Roman" w:eastAsia="Times New Roman" w:hAnsi="Times New Roman"/>
        </w:rPr>
      </w:pPr>
      <w:bookmarkStart w:colFirst="0" w:colLast="0" w:name="_6hpturj04rg7" w:id="8"/>
      <w:bookmarkEnd w:id="8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Monitoreo, control y reporte</w:t>
      </w:r>
    </w:p>
    <w:p w:rsidR="00000000" w:rsidDel="00000000" w:rsidP="00000000" w:rsidRDefault="00000000" w:rsidRPr="00000000" w14:paraId="00000032">
      <w:pPr>
        <w:spacing w:line="3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El monitoreo de riesgos será realizado por el equipo del proyecto durante las reuniones y revisiones de avance. Se recomienda revisar semanalmente los riesgos con prioridad alta o crítica y, para los demás, realizar una revisión al menos durante cada hito importante del proyecto. Si cambia la probabilidad, el impacto o la situación que origina un riesgo, el registro deberá actualizarse.</w:t>
      </w:r>
    </w:p>
    <w:p w:rsidR="00000000" w:rsidDel="00000000" w:rsidP="00000000" w:rsidRDefault="00000000" w:rsidRPr="00000000" w14:paraId="00000033">
      <w:pPr>
        <w:spacing w:line="3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numPr>
          <w:ilvl w:val="0"/>
          <w:numId w:val="1"/>
        </w:numPr>
        <w:spacing w:line="36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Revisar semanalmente los riesgos críticos y altos, verificando si las acciones definidas siguen siendo suficientes.</w:t>
      </w:r>
    </w:p>
    <w:p w:rsidR="00000000" w:rsidDel="00000000" w:rsidP="00000000" w:rsidRDefault="00000000" w:rsidRPr="00000000" w14:paraId="00000035">
      <w:pPr>
        <w:numPr>
          <w:ilvl w:val="0"/>
          <w:numId w:val="1"/>
        </w:numPr>
        <w:spacing w:line="36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Registrar nuevos riesgos cuando aparezcan problemas técnicos, de coordinación, servicios externos o cambios en los requisitos.</w:t>
      </w:r>
    </w:p>
    <w:p w:rsidR="00000000" w:rsidDel="00000000" w:rsidP="00000000" w:rsidRDefault="00000000" w:rsidRPr="00000000" w14:paraId="00000036">
      <w:pPr>
        <w:numPr>
          <w:ilvl w:val="0"/>
          <w:numId w:val="1"/>
        </w:numPr>
        <w:spacing w:line="36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Comprobar que las acciones de mitigación se están realizando y no queden solo como medidas planificadas.</w:t>
      </w:r>
    </w:p>
    <w:p w:rsidR="00000000" w:rsidDel="00000000" w:rsidP="00000000" w:rsidRDefault="00000000" w:rsidRPr="00000000" w14:paraId="00000037">
      <w:pPr>
        <w:numPr>
          <w:ilvl w:val="0"/>
          <w:numId w:val="1"/>
        </w:numPr>
        <w:spacing w:line="36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Dar seguimiento especial a los riesgos relacionados con scraping, servidores, APIs, integración, rendimiento y publicación.</w:t>
      </w:r>
    </w:p>
    <w:p w:rsidR="00000000" w:rsidDel="00000000" w:rsidP="00000000" w:rsidRDefault="00000000" w:rsidRPr="00000000" w14:paraId="00000038">
      <w:pPr>
        <w:numPr>
          <w:ilvl w:val="0"/>
          <w:numId w:val="1"/>
        </w:numPr>
        <w:spacing w:line="36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Revisar el avance respecto de los hitos del proyecto y la fecha final del 30-11-2026.</w:t>
      </w:r>
    </w:p>
    <w:p w:rsidR="00000000" w:rsidDel="00000000" w:rsidP="00000000" w:rsidRDefault="00000000" w:rsidRPr="00000000" w14:paraId="00000039">
      <w:pPr>
        <w:numPr>
          <w:ilvl w:val="0"/>
          <w:numId w:val="1"/>
        </w:numPr>
        <w:spacing w:line="36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Informar al equipo cuando un riesgo pase a una situación crítica o cuando se active un plan de contingencia.</w:t>
      </w:r>
    </w:p>
    <w:p w:rsidR="00000000" w:rsidDel="00000000" w:rsidP="00000000" w:rsidRDefault="00000000" w:rsidRPr="00000000" w14:paraId="0000003A">
      <w:pPr>
        <w:numPr>
          <w:ilvl w:val="0"/>
          <w:numId w:val="1"/>
        </w:numPr>
        <w:spacing w:line="36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Al finalizar cada hito, revisar los riesgos ocurridos y registrar las lecciones aprendidas para evitar repetir los mismos problemas.</w:t>
      </w:r>
    </w:p>
    <w:p w:rsidR="00000000" w:rsidDel="00000000" w:rsidP="00000000" w:rsidRDefault="00000000" w:rsidRPr="00000000" w14:paraId="0000003B">
      <w:pPr>
        <w:spacing w:line="360" w:lineRule="auto"/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line="3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El control se mantendrá principalmente mediante el registro de riesgos, el repositorio del proyecto y las reuniones del equipo. De esta forma, el seguimiento no requiere herramientas adicionales de alto costo y puede ser gestionado por los tres integrantes del proyecto.</w:t>
      </w:r>
    </w:p>
    <w:p w:rsidR="00000000" w:rsidDel="00000000" w:rsidP="00000000" w:rsidRDefault="00000000" w:rsidRPr="00000000" w14:paraId="0000003D">
      <w:pPr>
        <w:pStyle w:val="Heading1"/>
        <w:spacing w:line="360" w:lineRule="auto"/>
        <w:rPr>
          <w:rFonts w:ascii="Times New Roman" w:cs="Times New Roman" w:eastAsia="Times New Roman" w:hAnsi="Times New Roman"/>
        </w:rPr>
      </w:pPr>
      <w:bookmarkStart w:colFirst="0" w:colLast="0" w:name="_bsvbi7163jyi" w:id="9"/>
      <w:bookmarkEnd w:id="9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Anexos</w:t>
      </w:r>
    </w:p>
    <w:p w:rsidR="00000000" w:rsidDel="00000000" w:rsidP="00000000" w:rsidRDefault="00000000" w:rsidRPr="00000000" w14:paraId="0000003E">
      <w:pPr>
        <w:numPr>
          <w:ilvl w:val="0"/>
          <w:numId w:val="2"/>
        </w:numPr>
        <w:spacing w:line="360" w:lineRule="auto"/>
        <w:ind w:left="720" w:hanging="360"/>
        <w:rPr>
          <w:rFonts w:ascii="Times New Roman" w:cs="Times New Roman" w:eastAsia="Times New Roman" w:hAnsi="Times New Roman"/>
        </w:rPr>
      </w:pPr>
      <w:hyperlink r:id="rId9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Listado de Riesgos.xlsx</w:t>
        </w:r>
      </w:hyperlink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 2026</w:t>
      </w:r>
      <w:r w:rsidDel="00000000" w:rsidR="00000000" w:rsidRPr="00000000">
        <w:rPr>
          <w:rtl w:val="0"/>
        </w:rPr>
      </w:r>
    </w:p>
    <w:sectPr>
      <w:footerReference r:id="rId10" w:type="default"/>
      <w:footerReference r:id="rId11" w:type="first"/>
      <w:pgSz w:h="16834" w:w="11909" w:orient="portrait"/>
      <w:pgMar w:bottom="1440" w:top="1440" w:left="1440" w:right="1440" w:header="720" w:footer="720"/>
      <w:pgNumType w:start="0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F">
    <w:pPr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0">
    <w:pPr>
      <w:rPr/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2.xml"/><Relationship Id="rId10" Type="http://schemas.openxmlformats.org/officeDocument/2006/relationships/footer" Target="footer1.xml"/><Relationship Id="rId9" Type="http://schemas.openxmlformats.org/officeDocument/2006/relationships/hyperlink" Target="https://docs.google.com/spreadsheets/d/1KN14XHUVRKwpMIUlIHg8yeJyBz3EJ_Jx/edit?gid=2117112972#gid=2117112972" TargetMode="Externa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3.png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